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D78D" w14:textId="77777777" w:rsidR="00000000" w:rsidRDefault="00C27B10">
      <w:pPr>
        <w:widowControl w:val="0"/>
        <w:autoSpaceDE w:val="0"/>
        <w:autoSpaceDN w:val="0"/>
        <w:adjustRightInd w:val="0"/>
        <w:spacing w:after="0" w:line="240" w:lineRule="auto"/>
        <w:rPr>
          <w:rFonts w:ascii="Times New Roman" w:hAnsi="Times New Roman" w:cs="Times New Roman"/>
          <w:color w:val="000000"/>
          <w:sz w:val="24"/>
          <w:szCs w:val="24"/>
        </w:rPr>
      </w:pPr>
    </w:p>
    <w:p w14:paraId="13E9F8D8" w14:textId="77777777" w:rsidR="00000000" w:rsidRDefault="00C27B10">
      <w:pPr>
        <w:widowControl w:val="0"/>
        <w:autoSpaceDE w:val="0"/>
        <w:autoSpaceDN w:val="0"/>
        <w:adjustRightInd w:val="0"/>
        <w:spacing w:after="0" w:line="240" w:lineRule="auto"/>
        <w:rPr>
          <w:rFonts w:ascii="Arial" w:hAnsi="Arial" w:cs="Arial"/>
          <w:sz w:val="24"/>
          <w:szCs w:val="24"/>
        </w:rPr>
        <w:sectPr w:rsidR="00000000">
          <w:headerReference w:type="default" r:id="rId6"/>
          <w:footerReference w:type="default" r:id="rId7"/>
          <w:pgSz w:w="12240" w:h="15840"/>
          <w:pgMar w:top="1080" w:right="1080" w:bottom="1080" w:left="1080" w:header="720" w:footer="720" w:gutter="0"/>
          <w:cols w:space="720"/>
          <w:noEndnote/>
        </w:sectPr>
      </w:pPr>
    </w:p>
    <w:p w14:paraId="11FC27ED"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co_document_1"/>
      <w:bookmarkStart w:id="1" w:name="I3ab197c0922311eb86f0fe514fc262aa_Target"/>
      <w:bookmarkEnd w:id="0"/>
      <w:bookmarkEnd w:id="1"/>
    </w:p>
    <w:p w14:paraId="11945E15" w14:textId="77777777" w:rsidR="00000000" w:rsidRDefault="00C27B10">
      <w:pPr>
        <w:widowControl w:val="0"/>
        <w:autoSpaceDE w:val="0"/>
        <w:autoSpaceDN w:val="0"/>
        <w:adjustRightInd w:val="0"/>
        <w:spacing w:before="100" w:after="0" w:line="240" w:lineRule="auto"/>
        <w:jc w:val="center"/>
        <w:rPr>
          <w:rFonts w:ascii="Georgia" w:hAnsi="Georgia" w:cs="Georgia"/>
          <w:color w:val="000000"/>
          <w:sz w:val="20"/>
          <w:szCs w:val="20"/>
        </w:rPr>
      </w:pPr>
      <w:r>
        <w:rPr>
          <w:rFonts w:ascii="Georgia" w:hAnsi="Georgia" w:cs="Georgia"/>
          <w:color w:val="000000"/>
          <w:sz w:val="20"/>
          <w:szCs w:val="20"/>
        </w:rPr>
        <w:t>2021 WL 1199205</w:t>
      </w:r>
    </w:p>
    <w:p w14:paraId="03E9FAD6" w14:textId="77777777" w:rsidR="00000000" w:rsidRDefault="00C27B10">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Only the Westlaw citation is currently available.</w:t>
      </w:r>
    </w:p>
    <w:p w14:paraId="4248A7DA" w14:textId="77777777" w:rsidR="00000000" w:rsidRDefault="00C27B10">
      <w:pPr>
        <w:widowControl w:val="0"/>
        <w:autoSpaceDE w:val="0"/>
        <w:autoSpaceDN w:val="0"/>
        <w:adjustRightInd w:val="0"/>
        <w:spacing w:before="200" w:after="200" w:line="240" w:lineRule="auto"/>
        <w:jc w:val="center"/>
        <w:rPr>
          <w:rFonts w:ascii="Georgia" w:hAnsi="Georgia" w:cs="Georgia"/>
          <w:color w:val="000000"/>
          <w:sz w:val="20"/>
          <w:szCs w:val="20"/>
        </w:rPr>
      </w:pPr>
      <w:r>
        <w:rPr>
          <w:rFonts w:ascii="Georgia" w:hAnsi="Georgia" w:cs="Georgia"/>
          <w:b/>
          <w:bCs/>
          <w:color w:val="252525"/>
          <w:sz w:val="20"/>
          <w:szCs w:val="20"/>
          <w:shd w:val="clear" w:color="auto" w:fill="FFFF66"/>
        </w:rPr>
        <w:t>NOTE</w:t>
      </w:r>
      <w:r>
        <w:rPr>
          <w:rFonts w:ascii="Georgia" w:hAnsi="Georgia" w:cs="Georgia"/>
          <w:color w:val="000000"/>
          <w:sz w:val="20"/>
          <w:szCs w:val="20"/>
        </w:rPr>
        <w:t>: UNPUBLISHED OPINION, SEE WA R GEN GR 14.1</w:t>
      </w:r>
    </w:p>
    <w:p w14:paraId="785C344D" w14:textId="77777777" w:rsidR="00000000" w:rsidRDefault="00C27B10">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Court of Appeals of Washington, Division 2.</w:t>
      </w:r>
    </w:p>
    <w:p w14:paraId="044F7393" w14:textId="77777777" w:rsidR="00000000" w:rsidRDefault="00C27B10">
      <w:pPr>
        <w:widowControl w:val="0"/>
        <w:autoSpaceDE w:val="0"/>
        <w:autoSpaceDN w:val="0"/>
        <w:adjustRightInd w:val="0"/>
        <w:spacing w:before="240" w:after="0" w:line="240" w:lineRule="auto"/>
        <w:ind w:left="120" w:right="120"/>
        <w:jc w:val="center"/>
        <w:rPr>
          <w:rFonts w:ascii="Georgia" w:hAnsi="Georgia" w:cs="Georgia"/>
          <w:color w:val="252525"/>
          <w:sz w:val="24"/>
          <w:szCs w:val="24"/>
        </w:rPr>
      </w:pPr>
      <w:r>
        <w:rPr>
          <w:rFonts w:ascii="Georgia" w:hAnsi="Georgia" w:cs="Georgia"/>
          <w:color w:val="252525"/>
          <w:sz w:val="24"/>
          <w:szCs w:val="24"/>
        </w:rPr>
        <w:t>KENNETH P. ZIMMERMAN, JR. and VICTORIA L. ZIMMERMAN, husband and wife, Appellants,</w:t>
      </w:r>
    </w:p>
    <w:p w14:paraId="77117CC8" w14:textId="77777777" w:rsidR="00000000" w:rsidRDefault="00C27B10">
      <w:pPr>
        <w:widowControl w:val="0"/>
        <w:autoSpaceDE w:val="0"/>
        <w:autoSpaceDN w:val="0"/>
        <w:adjustRightInd w:val="0"/>
        <w:spacing w:after="0" w:line="240" w:lineRule="auto"/>
        <w:ind w:left="120" w:right="120"/>
        <w:jc w:val="center"/>
        <w:rPr>
          <w:rFonts w:ascii="Georgia" w:hAnsi="Georgia" w:cs="Georgia"/>
          <w:color w:val="252525"/>
          <w:sz w:val="24"/>
          <w:szCs w:val="24"/>
        </w:rPr>
      </w:pPr>
      <w:r>
        <w:rPr>
          <w:rFonts w:ascii="Georgia" w:hAnsi="Georgia" w:cs="Georgia"/>
          <w:color w:val="252525"/>
          <w:sz w:val="24"/>
          <w:szCs w:val="24"/>
        </w:rPr>
        <w:t>v.</w:t>
      </w:r>
    </w:p>
    <w:p w14:paraId="74ECEF34" w14:textId="77777777" w:rsidR="00000000" w:rsidRDefault="00C27B10">
      <w:pPr>
        <w:widowControl w:val="0"/>
        <w:autoSpaceDE w:val="0"/>
        <w:autoSpaceDN w:val="0"/>
        <w:adjustRightInd w:val="0"/>
        <w:spacing w:after="0" w:line="240" w:lineRule="auto"/>
        <w:ind w:left="120" w:right="120"/>
        <w:jc w:val="center"/>
        <w:rPr>
          <w:rFonts w:ascii="Georgia" w:hAnsi="Georgia" w:cs="Georgia"/>
          <w:color w:val="252525"/>
          <w:sz w:val="24"/>
          <w:szCs w:val="24"/>
        </w:rPr>
      </w:pPr>
      <w:r>
        <w:rPr>
          <w:rFonts w:ascii="Georgia" w:hAnsi="Georgia" w:cs="Georgia"/>
          <w:color w:val="252525"/>
          <w:sz w:val="24"/>
          <w:szCs w:val="24"/>
        </w:rPr>
        <w:t>WILMINGTON S</w:t>
      </w:r>
      <w:r>
        <w:rPr>
          <w:rFonts w:ascii="Georgia" w:hAnsi="Georgia" w:cs="Georgia"/>
          <w:color w:val="252525"/>
          <w:sz w:val="24"/>
          <w:szCs w:val="24"/>
        </w:rPr>
        <w:t>AVINGS FUND SOCIETY FSB, as trustee for STANWICH MORTGAGE LOAN TRUST A, Respondents,</w:t>
      </w:r>
    </w:p>
    <w:p w14:paraId="40A1831E" w14:textId="77777777" w:rsidR="00000000" w:rsidRDefault="00C27B10">
      <w:pPr>
        <w:widowControl w:val="0"/>
        <w:autoSpaceDE w:val="0"/>
        <w:autoSpaceDN w:val="0"/>
        <w:adjustRightInd w:val="0"/>
        <w:spacing w:after="240" w:line="240" w:lineRule="auto"/>
        <w:ind w:left="120" w:right="120"/>
        <w:jc w:val="center"/>
        <w:rPr>
          <w:rFonts w:ascii="Georgia" w:hAnsi="Georgia" w:cs="Georgia"/>
          <w:color w:val="252525"/>
          <w:sz w:val="24"/>
          <w:szCs w:val="24"/>
        </w:rPr>
      </w:pPr>
      <w:r>
        <w:rPr>
          <w:rFonts w:ascii="Georgia" w:hAnsi="Georgia" w:cs="Georgia"/>
          <w:color w:val="252525"/>
          <w:sz w:val="24"/>
          <w:szCs w:val="24"/>
        </w:rPr>
        <w:t>NORTH CASCADE TRUSTEE SERVICES, INC., trustee to deed of trust, Defendant.</w:t>
      </w:r>
    </w:p>
    <w:p w14:paraId="0F2FFF07" w14:textId="77777777" w:rsidR="00000000" w:rsidRDefault="00C27B10">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No. 53763-0-II</w:t>
      </w:r>
    </w:p>
    <w:p w14:paraId="3F575CF3" w14:textId="77777777" w:rsidR="00000000" w:rsidRDefault="00C27B10">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w:t>
      </w:r>
    </w:p>
    <w:p w14:paraId="1595B2F7" w14:textId="77777777" w:rsidR="00000000" w:rsidRDefault="00C27B10">
      <w:pPr>
        <w:widowControl w:val="0"/>
        <w:autoSpaceDE w:val="0"/>
        <w:autoSpaceDN w:val="0"/>
        <w:adjustRightInd w:val="0"/>
        <w:spacing w:after="200" w:line="240" w:lineRule="auto"/>
        <w:ind w:left="200"/>
        <w:jc w:val="center"/>
        <w:rPr>
          <w:rFonts w:ascii="Georgia" w:hAnsi="Georgia" w:cs="Georgia"/>
          <w:color w:val="000000"/>
          <w:sz w:val="20"/>
          <w:szCs w:val="20"/>
        </w:rPr>
      </w:pPr>
      <w:r>
        <w:rPr>
          <w:rFonts w:ascii="Georgia" w:hAnsi="Georgia" w:cs="Georgia"/>
          <w:color w:val="000000"/>
          <w:sz w:val="20"/>
          <w:szCs w:val="20"/>
        </w:rPr>
        <w:t>March 30, 2021</w:t>
      </w:r>
    </w:p>
    <w:p w14:paraId="2AFF7BA8" w14:textId="77777777" w:rsidR="00000000" w:rsidRDefault="00C27B10">
      <w:pPr>
        <w:widowControl w:val="0"/>
        <w:autoSpaceDE w:val="0"/>
        <w:autoSpaceDN w:val="0"/>
        <w:adjustRightInd w:val="0"/>
        <w:spacing w:after="0" w:line="240" w:lineRule="auto"/>
        <w:jc w:val="both"/>
        <w:rPr>
          <w:rFonts w:ascii="Times New Roman" w:hAnsi="Times New Roman" w:cs="Times New Roman"/>
          <w:b/>
          <w:bCs/>
          <w:color w:val="212121"/>
          <w:sz w:val="20"/>
          <w:szCs w:val="20"/>
        </w:rPr>
      </w:pPr>
      <w:bookmarkStart w:id="2" w:name="co_opinion_1"/>
      <w:bookmarkEnd w:id="2"/>
    </w:p>
    <w:p w14:paraId="2637B24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 w:name="co_anchor_Ibb07ade4922511eba933d0c1d26dd"/>
      <w:bookmarkEnd w:id="3"/>
    </w:p>
    <w:p w14:paraId="41BF03E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58052136"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 w:name="co_anchor_Ibb0e64a1922511eba933d0c1d26dd"/>
      <w:bookmarkEnd w:id="4"/>
    </w:p>
    <w:p w14:paraId="57D7F739" w14:textId="77777777" w:rsidR="00000000" w:rsidRDefault="00C27B10">
      <w:pPr>
        <w:widowControl w:val="0"/>
        <w:autoSpaceDE w:val="0"/>
        <w:autoSpaceDN w:val="0"/>
        <w:adjustRightInd w:val="0"/>
        <w:spacing w:before="800"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UNPUBLISHED O</w:t>
      </w:r>
      <w:r>
        <w:rPr>
          <w:rFonts w:ascii="Times New Roman" w:hAnsi="Times New Roman" w:cs="Times New Roman"/>
          <w:color w:val="000000"/>
          <w:sz w:val="20"/>
          <w:szCs w:val="20"/>
        </w:rPr>
        <w:t>PINION</w:t>
      </w:r>
    </w:p>
    <w:p w14:paraId="1334210C" w14:textId="77777777" w:rsidR="00000000" w:rsidRDefault="00C27B10">
      <w:pPr>
        <w:widowControl w:val="0"/>
        <w:autoSpaceDE w:val="0"/>
        <w:autoSpaceDN w:val="0"/>
        <w:adjustRightInd w:val="0"/>
        <w:spacing w:before="200" w:after="200" w:line="240" w:lineRule="auto"/>
        <w:jc w:val="both"/>
        <w:rPr>
          <w:rFonts w:ascii="Times New Roman" w:hAnsi="Times New Roman" w:cs="Times New Roman"/>
          <w:color w:val="000000"/>
          <w:sz w:val="20"/>
          <w:szCs w:val="20"/>
        </w:rPr>
      </w:pPr>
      <w:hyperlink r:id="rId8" w:history="1">
        <w:r>
          <w:rPr>
            <w:rFonts w:ascii="Times New Roman" w:hAnsi="Times New Roman" w:cs="Times New Roman"/>
            <w:color w:val="0000FF"/>
            <w:sz w:val="20"/>
            <w:szCs w:val="20"/>
          </w:rPr>
          <w:t>Glasgow</w:t>
        </w:r>
      </w:hyperlink>
      <w:r>
        <w:rPr>
          <w:rFonts w:ascii="Times New Roman" w:hAnsi="Times New Roman" w:cs="Times New Roman"/>
          <w:color w:val="000000"/>
          <w:sz w:val="20"/>
          <w:szCs w:val="20"/>
        </w:rPr>
        <w:t>, J.</w:t>
      </w:r>
    </w:p>
    <w:p w14:paraId="51E48CF2"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 w:name="co_pp_sp_999_1_1"/>
      <w:bookmarkEnd w:id="5"/>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GLASGOW, J.</w:t>
      </w:r>
      <w:r>
        <w:rPr>
          <w:rFonts w:ascii="Times New Roman" w:hAnsi="Times New Roman" w:cs="Times New Roman"/>
          <w:color w:val="000000"/>
          <w:sz w:val="20"/>
          <w:szCs w:val="20"/>
        </w:rPr>
        <w:t>—</w:t>
      </w:r>
      <w:r>
        <w:rPr>
          <w:rFonts w:ascii="Times New Roman" w:hAnsi="Times New Roman" w:cs="Times New Roman"/>
          <w:color w:val="000000"/>
          <w:sz w:val="20"/>
          <w:szCs w:val="20"/>
        </w:rPr>
        <w:t>Kenneth and Victoria Zimmerman defaulted on their mortgage. Six years later, they filed an action seeking to quiet title against their deed of trust because any action to foreclose would</w:t>
      </w:r>
      <w:r>
        <w:rPr>
          <w:rFonts w:ascii="Times New Roman" w:hAnsi="Times New Roman" w:cs="Times New Roman"/>
          <w:color w:val="000000"/>
          <w:sz w:val="20"/>
          <w:szCs w:val="20"/>
        </w:rPr>
        <w:t xml:space="preserve"> be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They personally served defendant Wilmington Savings Fund Society FSB in Delaware, but they failed to file a declaration stating that Wilmington could not be served in Washington as required by our long arm statute.</w:t>
      </w:r>
    </w:p>
    <w:p w14:paraId="47FFF39C"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317D6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Wilmington failed to appear, and the trial court granted the Zimmermans a default order and judgment. Wilmington later moved to vacate the default order and judgment, arguing that the trial court lacked personal jurisdiction </w:t>
      </w:r>
      <w:r>
        <w:rPr>
          <w:rFonts w:ascii="Times New Roman" w:hAnsi="Times New Roman" w:cs="Times New Roman"/>
          <w:color w:val="000000"/>
          <w:sz w:val="20"/>
          <w:szCs w:val="20"/>
        </w:rPr>
        <w:t>based on failure to comply w</w:t>
      </w:r>
      <w:r>
        <w:rPr>
          <w:rFonts w:ascii="Times New Roman" w:hAnsi="Times New Roman" w:cs="Times New Roman"/>
          <w:color w:val="000000"/>
          <w:sz w:val="20"/>
          <w:szCs w:val="20"/>
        </w:rPr>
        <w:t>ith the long arm statute. The trial court vacated the default order and judgment.</w:t>
      </w:r>
    </w:p>
    <w:p w14:paraId="22A4376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ED33B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Zimmermans appeal, asserting that they substantially complied with the long arm statute because the record contains an affidavit from which the trial court could logica</w:t>
      </w:r>
      <w:r>
        <w:rPr>
          <w:rFonts w:ascii="Times New Roman" w:hAnsi="Times New Roman" w:cs="Times New Roman"/>
          <w:color w:val="000000"/>
          <w:sz w:val="20"/>
          <w:szCs w:val="20"/>
        </w:rPr>
        <w:t>lly conclude that Wilmington could not be served in Washington and, if Wilmington was properly served, there is no defect in the default order and judgment. We disagree and affirm.</w:t>
      </w:r>
    </w:p>
    <w:p w14:paraId="76E6E001"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2C7A5B"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 w:name="co_anchor_Ibb0f4f01922511eba933d0c1d26dd"/>
      <w:bookmarkEnd w:id="6"/>
    </w:p>
    <w:p w14:paraId="4F5EAF6D" w14:textId="77777777" w:rsidR="00000000" w:rsidRDefault="00C27B10">
      <w:pPr>
        <w:widowControl w:val="0"/>
        <w:autoSpaceDE w:val="0"/>
        <w:autoSpaceDN w:val="0"/>
        <w:adjustRightInd w:val="0"/>
        <w:spacing w:before="400"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FACTS</w:t>
      </w:r>
    </w:p>
    <w:p w14:paraId="7E7CD58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Wilmington held a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t>
      </w:r>
      <w:r>
        <w:rPr>
          <w:rFonts w:ascii="Times New Roman" w:hAnsi="Times New Roman" w:cs="Times New Roman"/>
          <w:b/>
          <w:bCs/>
          <w:color w:val="252525"/>
          <w:sz w:val="20"/>
          <w:szCs w:val="20"/>
          <w:shd w:val="clear" w:color="auto" w:fill="FFFF66"/>
        </w:rPr>
        <w:t>secured</w:t>
      </w:r>
      <w:r>
        <w:rPr>
          <w:rFonts w:ascii="Times New Roman" w:hAnsi="Times New Roman" w:cs="Times New Roman"/>
          <w:color w:val="000000"/>
          <w:sz w:val="20"/>
          <w:szCs w:val="20"/>
        </w:rPr>
        <w:t xml:space="preserve"> by a deed of trust on the Zimmermans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home.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required monthly installment payments until 2038. It is undisputed that the Zimmermans stopped making their monthly payments and that they were in </w:t>
      </w:r>
      <w:r>
        <w:rPr>
          <w:rFonts w:ascii="Times New Roman" w:hAnsi="Times New Roman" w:cs="Times New Roman"/>
          <w:color w:val="000000"/>
          <w:sz w:val="20"/>
          <w:szCs w:val="20"/>
        </w:rPr>
        <w:t>default as of July 1, 2010. Wilmington did not accelerate the debt, and the Zimmermans never resumed payments.</w:t>
      </w:r>
    </w:p>
    <w:p w14:paraId="16191362"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096101"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9" w:history="1">
        <w:r>
          <w:rPr>
            <w:rFonts w:ascii="Times New Roman" w:hAnsi="Times New Roman" w:cs="Times New Roman"/>
            <w:color w:val="0000FF"/>
            <w:sz w:val="20"/>
            <w:szCs w:val="20"/>
          </w:rPr>
          <w:t>RCW 7.28.300</w:t>
        </w:r>
      </w:hyperlink>
      <w:r>
        <w:rPr>
          <w:rFonts w:ascii="Times New Roman" w:hAnsi="Times New Roman" w:cs="Times New Roman"/>
          <w:color w:val="000000"/>
          <w:sz w:val="20"/>
          <w:szCs w:val="20"/>
        </w:rPr>
        <w:t xml:space="preserve"> allows the owner of real estate to quiet title against a deed of trust where an action to foreclose would be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In 2016, the Zimmermans brought an action to quiet title over the deed of trust based on </w:t>
      </w:r>
      <w:hyperlink r:id="rId10" w:history="1">
        <w:r>
          <w:rPr>
            <w:rFonts w:ascii="Times New Roman" w:hAnsi="Times New Roman" w:cs="Times New Roman"/>
            <w:color w:val="0000FF"/>
            <w:sz w:val="20"/>
            <w:szCs w:val="20"/>
          </w:rPr>
          <w:t>RCW 7.28.300</w:t>
        </w:r>
      </w:hyperlink>
      <w:r>
        <w:rPr>
          <w:rFonts w:ascii="Times New Roman" w:hAnsi="Times New Roman" w:cs="Times New Roman"/>
          <w:color w:val="000000"/>
          <w:sz w:val="20"/>
          <w:szCs w:val="20"/>
        </w:rPr>
        <w:t xml:space="preserve"> seeking to have the deed of trust declared null and void.</w:t>
      </w:r>
    </w:p>
    <w:p w14:paraId="11DB4B5E"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70D1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Zimmermans filed two affidavits related to service on Wilmington. First, a process server attempted to serve Wilmington at 500 Delaware Avenue in Wilmington, Delaware. The </w:t>
      </w:r>
      <w:r>
        <w:rPr>
          <w:rFonts w:ascii="Times New Roman" w:hAnsi="Times New Roman" w:cs="Times New Roman"/>
          <w:color w:val="000000"/>
          <w:sz w:val="20"/>
          <w:szCs w:val="20"/>
        </w:rPr>
        <w:t xml:space="preserve">process server’s first affidavit explained that service was rejected and a </w:t>
      </w:r>
      <w:r>
        <w:rPr>
          <w:rFonts w:ascii="Times New Roman" w:hAnsi="Times New Roman" w:cs="Times New Roman"/>
          <w:color w:val="000000"/>
          <w:sz w:val="20"/>
          <w:szCs w:val="20"/>
        </w:rPr>
        <w:t>“</w:t>
      </w:r>
      <w:r>
        <w:rPr>
          <w:rFonts w:ascii="Times New Roman" w:hAnsi="Times New Roman" w:cs="Times New Roman"/>
          <w:color w:val="000000"/>
          <w:sz w:val="20"/>
          <w:szCs w:val="20"/>
        </w:rPr>
        <w:t>[l]egal [a]dministrator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told them that </w:t>
      </w:r>
      <w:r>
        <w:rPr>
          <w:rFonts w:ascii="Times New Roman" w:hAnsi="Times New Roman" w:cs="Times New Roman"/>
          <w:color w:val="000000"/>
          <w:sz w:val="20"/>
          <w:szCs w:val="20"/>
        </w:rPr>
        <w:t>“</w:t>
      </w:r>
      <w:r>
        <w:rPr>
          <w:rFonts w:ascii="Times New Roman" w:hAnsi="Times New Roman" w:cs="Times New Roman"/>
          <w:color w:val="000000"/>
          <w:sz w:val="20"/>
          <w:szCs w:val="20"/>
        </w:rPr>
        <w:t>[a]ll documents related to a trust must be served on their trust division at 501 Carr Road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Wilmington, Delaware. Clerk’s Papers (CP) at</w:t>
      </w:r>
      <w:r>
        <w:rPr>
          <w:rFonts w:ascii="Times New Roman" w:hAnsi="Times New Roman" w:cs="Times New Roman"/>
          <w:color w:val="000000"/>
          <w:sz w:val="20"/>
          <w:szCs w:val="20"/>
        </w:rPr>
        <w:t xml:space="preserve"> 15. The second affidavit established personal service of the summons and complaint at the Carr Road address. Neither affidavit mentioned any attempt to serve Wilmington in Washington. Nor is there any information in this record explaining why Wilmington c</w:t>
      </w:r>
      <w:r>
        <w:rPr>
          <w:rFonts w:ascii="Times New Roman" w:hAnsi="Times New Roman" w:cs="Times New Roman"/>
          <w:color w:val="000000"/>
          <w:sz w:val="20"/>
          <w:szCs w:val="20"/>
        </w:rPr>
        <w:t>ould not be served in Washington.</w:t>
      </w:r>
    </w:p>
    <w:p w14:paraId="4EEF2C09"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7943F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North Cascade Trustee Services answered the complaint and was dismissed by agreed order. Wilmington did not appear and the trial court entered an order of default in February 2017. The trial court also entered a final or</w:t>
      </w:r>
      <w:r>
        <w:rPr>
          <w:rFonts w:ascii="Times New Roman" w:hAnsi="Times New Roman" w:cs="Times New Roman"/>
          <w:color w:val="000000"/>
          <w:sz w:val="20"/>
          <w:szCs w:val="20"/>
        </w:rPr>
        <w:t xml:space="preserve">der concluding that the underlying debt </w:t>
      </w:r>
      <w:r>
        <w:rPr>
          <w:rFonts w:ascii="Times New Roman" w:hAnsi="Times New Roman" w:cs="Times New Roman"/>
          <w:b/>
          <w:bCs/>
          <w:color w:val="252525"/>
          <w:sz w:val="20"/>
          <w:szCs w:val="20"/>
          <w:shd w:val="clear" w:color="auto" w:fill="FFFF66"/>
        </w:rPr>
        <w:t>secured</w:t>
      </w:r>
      <w:r>
        <w:rPr>
          <w:rFonts w:ascii="Times New Roman" w:hAnsi="Times New Roman" w:cs="Times New Roman"/>
          <w:color w:val="000000"/>
          <w:sz w:val="20"/>
          <w:szCs w:val="20"/>
        </w:rPr>
        <w:t xml:space="preserve"> by the deed of trust would be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quieting title, and requiring that the deed of trust be removed from the county auditor’s record.</w:t>
      </w:r>
    </w:p>
    <w:p w14:paraId="6F3032E3"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271D337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Then in December 2018, Wilmington filed </w:t>
      </w:r>
      <w:r>
        <w:rPr>
          <w:rFonts w:ascii="Times New Roman" w:hAnsi="Times New Roman" w:cs="Times New Roman"/>
          <w:color w:val="000000"/>
          <w:sz w:val="20"/>
          <w:szCs w:val="20"/>
        </w:rPr>
        <w:t xml:space="preserve">a </w:t>
      </w:r>
      <w:hyperlink r:id="rId11" w:history="1">
        <w:r>
          <w:rPr>
            <w:rFonts w:ascii="Times New Roman" w:hAnsi="Times New Roman" w:cs="Times New Roman"/>
            <w:color w:val="0000FF"/>
            <w:sz w:val="20"/>
            <w:szCs w:val="20"/>
          </w:rPr>
          <w:t>CR 60</w:t>
        </w:r>
      </w:hyperlink>
      <w:r>
        <w:rPr>
          <w:rFonts w:ascii="Times New Roman" w:hAnsi="Times New Roman" w:cs="Times New Roman"/>
          <w:color w:val="000000"/>
          <w:sz w:val="20"/>
          <w:szCs w:val="20"/>
        </w:rPr>
        <w:t xml:space="preserve"> motion to show cause why default should not be set aside and vacated. Wilmington argued that under </w:t>
      </w:r>
      <w:hyperlink r:id="rId12" w:history="1">
        <w:r>
          <w:rPr>
            <w:rFonts w:ascii="Times New Roman" w:hAnsi="Times New Roman" w:cs="Times New Roman"/>
            <w:color w:val="0000FF"/>
            <w:sz w:val="20"/>
            <w:szCs w:val="20"/>
          </w:rPr>
          <w:t>RCW 4.28.185(4)</w:t>
        </w:r>
      </w:hyperlink>
      <w:r>
        <w:rPr>
          <w:rFonts w:ascii="Times New Roman" w:hAnsi="Times New Roman" w:cs="Times New Roman"/>
          <w:color w:val="000000"/>
          <w:sz w:val="20"/>
          <w:szCs w:val="20"/>
        </w:rPr>
        <w:t>, Washington’s long arm statute, the Zimmermans were required to file an affidavit establishing</w:t>
      </w:r>
      <w:r>
        <w:rPr>
          <w:rFonts w:ascii="Times New Roman" w:hAnsi="Times New Roman" w:cs="Times New Roman"/>
          <w:color w:val="000000"/>
          <w:sz w:val="20"/>
          <w:szCs w:val="20"/>
        </w:rPr>
        <w:t xml:space="preserve"> that Wilmington could not be served in Washington, but they failed to do so. As a result, the trial court lacked personal jurisdiction over Wilmington. Wilmington argued that the default judgment was therefore void and had to be vacated.</w:t>
      </w:r>
    </w:p>
    <w:p w14:paraId="264C1F98"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64C902"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pp_sp_999_2_1"/>
      <w:bookmarkEnd w:id="7"/>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The trial court entered an order requiring the Zimmermans to show cause. In response, the Zimmermans argued that they had substantially complied with the long arm affidavit requirement because they had submitted an affidavit explaining </w:t>
      </w:r>
      <w:r>
        <w:rPr>
          <w:rFonts w:ascii="Times New Roman" w:hAnsi="Times New Roman" w:cs="Times New Roman"/>
          <w:color w:val="000000"/>
          <w:sz w:val="20"/>
          <w:szCs w:val="20"/>
        </w:rPr>
        <w:t>that all documents related to a trust had to be served at Wilmington’s Carr Road address in Delaware. The logical conclusion from this affidavit, they said, was that Wilmington could not be served in Washington.</w:t>
      </w:r>
    </w:p>
    <w:p w14:paraId="228033C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505D2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trial court initially declined to vaca</w:t>
      </w:r>
      <w:r>
        <w:rPr>
          <w:rFonts w:ascii="Times New Roman" w:hAnsi="Times New Roman" w:cs="Times New Roman"/>
          <w:color w:val="000000"/>
          <w:sz w:val="20"/>
          <w:szCs w:val="20"/>
        </w:rPr>
        <w:t xml:space="preserve">te the default order, finding substantial compliance. Wilmington moved for reconsideration. Recognizing that a substantial compliance analysis included consideration of harm or injury, Wilmington argued on reconsideration that the entire amount owed under </w:t>
      </w:r>
      <w:r>
        <w:rPr>
          <w:rFonts w:ascii="Times New Roman" w:hAnsi="Times New Roman" w:cs="Times New Roman"/>
          <w:color w:val="000000"/>
          <w:sz w:val="20"/>
          <w:szCs w:val="20"/>
        </w:rPr>
        <w:t xml:space="preserve">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should not have been excused as a result of the six-year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required monthly installment payments, and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accrued for each missed payment when that payment became due. </w:t>
      </w:r>
      <w:r>
        <w:rPr>
          <w:rFonts w:ascii="Times New Roman" w:hAnsi="Times New Roman" w:cs="Times New Roman"/>
          <w:i/>
          <w:iCs/>
          <w:color w:val="000000"/>
          <w:sz w:val="20"/>
          <w:szCs w:val="20"/>
        </w:rPr>
        <w:t xml:space="preserve">See </w:t>
      </w:r>
      <w:hyperlink r:id="rId13" w:history="1">
        <w:r>
          <w:rPr>
            <w:rFonts w:ascii="Times New Roman" w:hAnsi="Times New Roman" w:cs="Times New Roman"/>
            <w:i/>
            <w:iCs/>
            <w:color w:val="0000FF"/>
            <w:sz w:val="20"/>
            <w:szCs w:val="20"/>
          </w:rPr>
          <w:t>Edmundson v. Bank of Am. N.A.</w:t>
        </w:r>
        <w:r>
          <w:rPr>
            <w:rFonts w:ascii="Times New Roman" w:hAnsi="Times New Roman" w:cs="Times New Roman"/>
            <w:color w:val="0000FF"/>
            <w:sz w:val="20"/>
            <w:szCs w:val="20"/>
          </w:rPr>
          <w:t>, 194 Wn. App. 920, 927-28, 378 P.3d 272 (2016)</w:t>
        </w:r>
      </w:hyperlink>
      <w:r>
        <w:rPr>
          <w:rFonts w:ascii="Times New Roman" w:hAnsi="Times New Roman" w:cs="Times New Roman"/>
          <w:color w:val="000000"/>
          <w:sz w:val="20"/>
          <w:szCs w:val="20"/>
        </w:rPr>
        <w:t>. Thus, when Wilmington filed its motion for reconsideration in 2019,</w:t>
      </w:r>
      <w:r>
        <w:rPr>
          <w:rFonts w:ascii="Times New Roman" w:hAnsi="Times New Roman" w:cs="Times New Roman"/>
          <w:color w:val="000000"/>
          <w:sz w:val="20"/>
          <w:szCs w:val="20"/>
        </w:rPr>
        <w:t xml:space="preserve"> only two to three years of payments that had been due for more than six years were barred. But the default order deprived Wilmington of the ability to enforce payment obligations that were not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w:t>
      </w:r>
    </w:p>
    <w:p w14:paraId="45114EB2"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04D3BD"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Upon reconsideration, </w:t>
      </w:r>
      <w:r>
        <w:rPr>
          <w:rFonts w:ascii="Times New Roman" w:hAnsi="Times New Roman" w:cs="Times New Roman"/>
          <w:color w:val="000000"/>
          <w:sz w:val="20"/>
          <w:szCs w:val="20"/>
        </w:rPr>
        <w:t xml:space="preserve">the trial court entered an order that effectively granted the relief Wilmington was requesting. The final order on reconsideration stated: </w:t>
      </w:r>
      <w:r>
        <w:rPr>
          <w:rFonts w:ascii="Times New Roman" w:hAnsi="Times New Roman" w:cs="Times New Roman"/>
          <w:color w:val="000000"/>
          <w:sz w:val="20"/>
          <w:szCs w:val="20"/>
        </w:rPr>
        <w:t>“</w:t>
      </w:r>
      <w:r>
        <w:rPr>
          <w:rFonts w:ascii="Times New Roman" w:hAnsi="Times New Roman" w:cs="Times New Roman"/>
          <w:color w:val="000000"/>
          <w:sz w:val="20"/>
          <w:szCs w:val="20"/>
        </w:rPr>
        <w:t>The [d]efault and [d]efault [j]udgment entered against Wilmington are vacated only with respect to installment payme</w:t>
      </w:r>
      <w:r>
        <w:rPr>
          <w:rFonts w:ascii="Times New Roman" w:hAnsi="Times New Roman" w:cs="Times New Roman"/>
          <w:color w:val="000000"/>
          <w:sz w:val="20"/>
          <w:szCs w:val="20"/>
        </w:rPr>
        <w:t xml:space="preserve">nts not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related to [p]laintiffs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complaint.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CP at 206. The trial court also included language stating that it </w:t>
      </w:r>
      <w:r>
        <w:rPr>
          <w:rFonts w:ascii="Times New Roman" w:hAnsi="Times New Roman" w:cs="Times New Roman"/>
          <w:color w:val="000000"/>
          <w:sz w:val="20"/>
          <w:szCs w:val="20"/>
        </w:rPr>
        <w:t>“</w:t>
      </w:r>
      <w:r>
        <w:rPr>
          <w:rFonts w:ascii="Times New Roman" w:hAnsi="Times New Roman" w:cs="Times New Roman"/>
          <w:color w:val="000000"/>
          <w:sz w:val="20"/>
          <w:szCs w:val="20"/>
        </w:rPr>
        <w:t>hereby finds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[p]laintiffs substantially complied with </w:t>
      </w:r>
      <w:hyperlink r:id="rId14" w:history="1">
        <w:r>
          <w:rPr>
            <w:rFonts w:ascii="Times New Roman" w:hAnsi="Times New Roman" w:cs="Times New Roman"/>
            <w:color w:val="0000FF"/>
            <w:sz w:val="20"/>
            <w:szCs w:val="20"/>
          </w:rPr>
          <w:t>RCW 4.28.185</w:t>
        </w:r>
      </w:hyperlink>
      <w:r>
        <w:rPr>
          <w:rFonts w:ascii="Times New Roman" w:hAnsi="Times New Roman" w:cs="Times New Roman"/>
          <w:color w:val="000000"/>
          <w:sz w:val="20"/>
          <w:szCs w:val="20"/>
        </w:rPr>
        <w:t xml:space="preserve"> and service was valid on </w:t>
      </w:r>
      <w:r>
        <w:rPr>
          <w:rFonts w:ascii="Times New Roman" w:hAnsi="Times New Roman" w:cs="Times New Roman"/>
          <w:color w:val="000000"/>
          <w:sz w:val="20"/>
          <w:szCs w:val="20"/>
        </w:rPr>
        <w:t xml:space="preserve">the [d]efendants in Delaware. The court finds there was no injury to the [d]efendants with respect to the [d]efault of payments not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8" w:name="co_fnRef_B00012053355267_ID0EOKAC_1"/>
      <w:bookmarkEnd w:id="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"#co_f</w:instrText>
      </w:r>
      <w:r>
        <w:rPr>
          <w:rFonts w:ascii="Times New Roman" w:hAnsi="Times New Roman" w:cs="Times New Roman"/>
          <w:color w:val="000000"/>
          <w:sz w:val="16"/>
          <w:szCs w:val="16"/>
        </w:rPr>
        <w:instrText xml:space="preserve">ootnote_B00012053355267_1" </w:instrText>
      </w:r>
      <w:r w:rsidR="00454183">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CP at 205.</w:t>
      </w:r>
    </w:p>
    <w:p w14:paraId="083BC1AC"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8185F3"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trial court later entered a judgment for money and decree of foreclosure in Wilmington’s favor under the same cause number. In part, this later order granted summary judgment to Wilmington on the Zimmermans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quiet title claim.</w:t>
      </w:r>
    </w:p>
    <w:p w14:paraId="3EFCAA65"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21CCE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Zimmermans appeal the order on reconsideration vacating the default order and judgment against Wilmington. Wilmington did not cross appeal.</w:t>
      </w:r>
    </w:p>
    <w:p w14:paraId="71BF203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44F8D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 w:name="co_anchor_Ibb131f91922511eba933d0c1d26dd"/>
      <w:bookmarkEnd w:id="9"/>
    </w:p>
    <w:p w14:paraId="0D0A1B02" w14:textId="77777777" w:rsidR="00000000" w:rsidRDefault="00C27B10">
      <w:pPr>
        <w:widowControl w:val="0"/>
        <w:autoSpaceDE w:val="0"/>
        <w:autoSpaceDN w:val="0"/>
        <w:adjustRightInd w:val="0"/>
        <w:spacing w:before="400"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ANALYSI</w:t>
      </w:r>
      <w:r>
        <w:rPr>
          <w:rFonts w:ascii="Times New Roman" w:hAnsi="Times New Roman" w:cs="Times New Roman"/>
          <w:color w:val="000000"/>
          <w:sz w:val="20"/>
          <w:szCs w:val="20"/>
        </w:rPr>
        <w:t>S</w:t>
      </w:r>
    </w:p>
    <w:p w14:paraId="57BACE3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Zimmermans contend that the trial court erred when it granted Wilmington’s </w:t>
      </w:r>
      <w:hyperlink r:id="rId15" w:history="1">
        <w:r>
          <w:rPr>
            <w:rFonts w:ascii="Times New Roman" w:hAnsi="Times New Roman" w:cs="Times New Roman"/>
            <w:color w:val="0000FF"/>
            <w:sz w:val="20"/>
            <w:szCs w:val="20"/>
          </w:rPr>
          <w:t>CR 60</w:t>
        </w:r>
      </w:hyperlink>
      <w:r>
        <w:rPr>
          <w:rFonts w:ascii="Times New Roman" w:hAnsi="Times New Roman" w:cs="Times New Roman"/>
          <w:color w:val="000000"/>
          <w:sz w:val="20"/>
          <w:szCs w:val="20"/>
        </w:rPr>
        <w:t xml:space="preserve"> motion to vacate the default order and judgment. They assert that the portion of the order finding substantial compliance with the affidavit requirement in </w:t>
      </w:r>
      <w:hyperlink r:id="rId16" w:history="1">
        <w:r>
          <w:rPr>
            <w:rFonts w:ascii="Times New Roman" w:hAnsi="Times New Roman" w:cs="Times New Roman"/>
            <w:color w:val="0000FF"/>
            <w:sz w:val="20"/>
            <w:szCs w:val="20"/>
          </w:rPr>
          <w:t>RCW 4.28.185(4)</w:t>
        </w:r>
      </w:hyperlink>
      <w:r>
        <w:rPr>
          <w:rFonts w:ascii="Times New Roman" w:hAnsi="Times New Roman" w:cs="Times New Roman"/>
          <w:color w:val="000000"/>
          <w:sz w:val="20"/>
          <w:szCs w:val="20"/>
        </w:rPr>
        <w:t>, the long arm statute, cannot be revisited because Wilmi</w:t>
      </w:r>
      <w:r>
        <w:rPr>
          <w:rFonts w:ascii="Times New Roman" w:hAnsi="Times New Roman" w:cs="Times New Roman"/>
          <w:color w:val="000000"/>
          <w:sz w:val="20"/>
          <w:szCs w:val="20"/>
        </w:rPr>
        <w:t>ngton did not appeal. Alternatively, the Zimmermans argue that service was proper because they substantially complied by filing an affidavit explaining that Wilmington would only accept service at the Carr Road address in Delaware. The Zimmermans assert th</w:t>
      </w:r>
      <w:r>
        <w:rPr>
          <w:rFonts w:ascii="Times New Roman" w:hAnsi="Times New Roman" w:cs="Times New Roman"/>
          <w:color w:val="000000"/>
          <w:sz w:val="20"/>
          <w:szCs w:val="20"/>
        </w:rPr>
        <w:t xml:space="preserve">at if service was proper, then Wilmington raised no valid basis under </w:t>
      </w:r>
      <w:hyperlink r:id="rId17" w:history="1">
        <w:r>
          <w:rPr>
            <w:rFonts w:ascii="Times New Roman" w:hAnsi="Times New Roman" w:cs="Times New Roman"/>
            <w:color w:val="0000FF"/>
            <w:sz w:val="20"/>
            <w:szCs w:val="20"/>
          </w:rPr>
          <w:t>CR 60</w:t>
        </w:r>
      </w:hyperlink>
      <w:r>
        <w:rPr>
          <w:rFonts w:ascii="Times New Roman" w:hAnsi="Times New Roman" w:cs="Times New Roman"/>
          <w:color w:val="000000"/>
          <w:sz w:val="20"/>
          <w:szCs w:val="20"/>
        </w:rPr>
        <w:t xml:space="preserve"> to vacate the default order and judgment, and they contend that the trial court improperly modified a final order. Finally, the Zimmermans argue that there was no basis</w:t>
      </w:r>
      <w:r>
        <w:rPr>
          <w:rFonts w:ascii="Times New Roman" w:hAnsi="Times New Roman" w:cs="Times New Roman"/>
          <w:color w:val="000000"/>
          <w:sz w:val="20"/>
          <w:szCs w:val="20"/>
        </w:rPr>
        <w:t xml:space="preserve"> for the trial court to consider the merits of the underlying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issue when addressing the motion to vacate. We disagree and conclude that the trial court was correct to vacate the default order and judgment.</w:t>
      </w:r>
    </w:p>
    <w:p w14:paraId="3486713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B3402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 w:name="co_pp_sp_999_3_1"/>
      <w:bookmarkEnd w:id="10"/>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Default judgments are generally disfavored because we prefer to determine cases on their merits. </w:t>
      </w:r>
      <w:hyperlink r:id="rId18" w:history="1">
        <w:r>
          <w:rPr>
            <w:rFonts w:ascii="Times New Roman" w:hAnsi="Times New Roman" w:cs="Times New Roman"/>
            <w:i/>
            <w:iCs/>
            <w:color w:val="0000FF"/>
            <w:sz w:val="20"/>
            <w:szCs w:val="20"/>
          </w:rPr>
          <w:t>Ha v. Signal Elec., Inc.</w:t>
        </w:r>
        <w:r>
          <w:rPr>
            <w:rFonts w:ascii="Times New Roman" w:hAnsi="Times New Roman" w:cs="Times New Roman"/>
            <w:color w:val="0000FF"/>
            <w:sz w:val="20"/>
            <w:szCs w:val="20"/>
          </w:rPr>
          <w:t>, 182 Wn. App. 436, 446, 332 P.3d 991 (2014)</w:t>
        </w:r>
      </w:hyperlink>
      <w:r>
        <w:rPr>
          <w:rFonts w:ascii="Times New Roman" w:hAnsi="Times New Roman" w:cs="Times New Roman"/>
          <w:color w:val="000000"/>
          <w:sz w:val="20"/>
          <w:szCs w:val="20"/>
        </w:rPr>
        <w:t xml:space="preserve">. Under </w:t>
      </w:r>
      <w:hyperlink r:id="rId19" w:history="1">
        <w:r>
          <w:rPr>
            <w:rFonts w:ascii="Times New Roman" w:hAnsi="Times New Roman" w:cs="Times New Roman"/>
            <w:color w:val="0000FF"/>
            <w:sz w:val="20"/>
            <w:szCs w:val="20"/>
          </w:rPr>
          <w:t>CR 55(c)(1)</w:t>
        </w:r>
      </w:hyperlink>
      <w:r>
        <w:rPr>
          <w:rFonts w:ascii="Times New Roman" w:hAnsi="Times New Roman" w:cs="Times New Roman"/>
          <w:color w:val="000000"/>
          <w:sz w:val="20"/>
          <w:szCs w:val="20"/>
        </w:rPr>
        <w:t>, a de</w:t>
      </w:r>
      <w:r>
        <w:rPr>
          <w:rFonts w:ascii="Times New Roman" w:hAnsi="Times New Roman" w:cs="Times New Roman"/>
          <w:color w:val="000000"/>
          <w:sz w:val="20"/>
          <w:szCs w:val="20"/>
        </w:rPr>
        <w:t xml:space="preserve">fault order may be set aside </w:t>
      </w:r>
      <w:r>
        <w:rPr>
          <w:rFonts w:ascii="Times New Roman" w:hAnsi="Times New Roman" w:cs="Times New Roman"/>
          <w:color w:val="000000"/>
          <w:sz w:val="20"/>
          <w:szCs w:val="20"/>
        </w:rPr>
        <w:t>“</w:t>
      </w:r>
      <w:r>
        <w:rPr>
          <w:rFonts w:ascii="Times New Roman" w:hAnsi="Times New Roman" w:cs="Times New Roman"/>
          <w:color w:val="000000"/>
          <w:sz w:val="20"/>
          <w:szCs w:val="20"/>
        </w:rPr>
        <w:t>[f]or good cause shown and upon such terms as the court deems just,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a default judgment may be set aside in accordance with </w:t>
      </w:r>
      <w:hyperlink r:id="rId20" w:history="1">
        <w:r>
          <w:rPr>
            <w:rFonts w:ascii="Times New Roman" w:hAnsi="Times New Roman" w:cs="Times New Roman"/>
            <w:color w:val="0000FF"/>
            <w:sz w:val="20"/>
            <w:szCs w:val="20"/>
          </w:rPr>
          <w:t>CR 60(b)</w:t>
        </w:r>
      </w:hyperlink>
      <w:r>
        <w:rPr>
          <w:rFonts w:ascii="Times New Roman" w:hAnsi="Times New Roman" w:cs="Times New Roman"/>
          <w:color w:val="000000"/>
          <w:sz w:val="20"/>
          <w:szCs w:val="20"/>
        </w:rPr>
        <w:t xml:space="preserve">. </w:t>
      </w:r>
      <w:hyperlink r:id="rId21" w:history="1">
        <w:r>
          <w:rPr>
            <w:rFonts w:ascii="Times New Roman" w:hAnsi="Times New Roman" w:cs="Times New Roman"/>
            <w:color w:val="0000FF"/>
            <w:sz w:val="20"/>
            <w:szCs w:val="20"/>
          </w:rPr>
          <w:t>CR 60(b)</w:t>
        </w:r>
      </w:hyperlink>
      <w:r>
        <w:rPr>
          <w:rFonts w:ascii="Times New Roman" w:hAnsi="Times New Roman" w:cs="Times New Roman"/>
          <w:color w:val="000000"/>
          <w:sz w:val="20"/>
          <w:szCs w:val="20"/>
        </w:rPr>
        <w:t>, in turn, provides that a court may relieve a party fro</w:t>
      </w:r>
      <w:r>
        <w:rPr>
          <w:rFonts w:ascii="Times New Roman" w:hAnsi="Times New Roman" w:cs="Times New Roman"/>
          <w:color w:val="000000"/>
          <w:sz w:val="20"/>
          <w:szCs w:val="20"/>
        </w:rPr>
        <w:t xml:space="preserve">m a final order or judgment for several enumerated reasons, including that the judgment is void. </w:t>
      </w:r>
      <w:hyperlink r:id="rId22" w:history="1">
        <w:r>
          <w:rPr>
            <w:rFonts w:ascii="Times New Roman" w:hAnsi="Times New Roman" w:cs="Times New Roman"/>
            <w:color w:val="0000FF"/>
            <w:sz w:val="20"/>
            <w:szCs w:val="20"/>
          </w:rPr>
          <w:t>CR 60(b)(5)</w:t>
        </w:r>
      </w:hyperlink>
      <w:r>
        <w:rPr>
          <w:rFonts w:ascii="Times New Roman" w:hAnsi="Times New Roman" w:cs="Times New Roman"/>
          <w:color w:val="000000"/>
          <w:sz w:val="20"/>
          <w:szCs w:val="20"/>
        </w:rPr>
        <w:t xml:space="preserve">. A default judgment is void when entered without personal jurisdiction. </w:t>
      </w:r>
      <w:hyperlink r:id="rId23" w:history="1">
        <w:r>
          <w:rPr>
            <w:rFonts w:ascii="Times New Roman" w:hAnsi="Times New Roman" w:cs="Times New Roman"/>
            <w:i/>
            <w:iCs/>
            <w:color w:val="0000FF"/>
            <w:sz w:val="20"/>
            <w:szCs w:val="20"/>
          </w:rPr>
          <w:t>Ha</w:t>
        </w:r>
        <w:r>
          <w:rPr>
            <w:rFonts w:ascii="Times New Roman" w:hAnsi="Times New Roman" w:cs="Times New Roman"/>
            <w:color w:val="0000FF"/>
            <w:sz w:val="20"/>
            <w:szCs w:val="20"/>
          </w:rPr>
          <w:t>, 182 Wn. App. at 44</w:t>
        </w:r>
        <w:r>
          <w:rPr>
            <w:rFonts w:ascii="Times New Roman" w:hAnsi="Times New Roman" w:cs="Times New Roman"/>
            <w:color w:val="0000FF"/>
            <w:sz w:val="20"/>
            <w:szCs w:val="20"/>
          </w:rPr>
          <w:t>6</w:t>
        </w:r>
      </w:hyperlink>
      <w:r>
        <w:rPr>
          <w:rFonts w:ascii="Times New Roman" w:hAnsi="Times New Roman" w:cs="Times New Roman"/>
          <w:color w:val="000000"/>
          <w:sz w:val="20"/>
          <w:szCs w:val="20"/>
        </w:rPr>
        <w:t>.</w:t>
      </w:r>
    </w:p>
    <w:p w14:paraId="0BAFD4FC"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8A745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generally review a decision on a motion to vacate for abuse of discretion. </w:t>
      </w:r>
      <w:hyperlink r:id="rId24" w:history="1">
        <w:r>
          <w:rPr>
            <w:rFonts w:ascii="Times New Roman" w:hAnsi="Times New Roman" w:cs="Times New Roman"/>
            <w:i/>
            <w:iCs/>
            <w:color w:val="0000FF"/>
            <w:sz w:val="20"/>
            <w:szCs w:val="20"/>
          </w:rPr>
          <w:t>Morrin v. Burris</w:t>
        </w:r>
        <w:r>
          <w:rPr>
            <w:rFonts w:ascii="Times New Roman" w:hAnsi="Times New Roman" w:cs="Times New Roman"/>
            <w:color w:val="0000FF"/>
            <w:sz w:val="20"/>
            <w:szCs w:val="20"/>
          </w:rPr>
          <w:t>, 160 Wn.2d 745, 753, 161 P.3d 956 (2007)</w:t>
        </w:r>
      </w:hyperlink>
      <w:r>
        <w:rPr>
          <w:rFonts w:ascii="Times New Roman" w:hAnsi="Times New Roman" w:cs="Times New Roman"/>
          <w:color w:val="000000"/>
          <w:sz w:val="20"/>
          <w:szCs w:val="20"/>
        </w:rPr>
        <w:t xml:space="preserve">. But </w:t>
      </w:r>
      <w:r>
        <w:rPr>
          <w:rFonts w:ascii="Times New Roman" w:hAnsi="Times New Roman" w:cs="Times New Roman"/>
          <w:color w:val="000000"/>
          <w:sz w:val="20"/>
          <w:szCs w:val="20"/>
        </w:rPr>
        <w:t>“</w:t>
      </w:r>
      <w:r>
        <w:rPr>
          <w:rFonts w:ascii="Times New Roman" w:hAnsi="Times New Roman" w:cs="Times New Roman"/>
          <w:color w:val="000000"/>
          <w:sz w:val="20"/>
          <w:szCs w:val="20"/>
        </w:rPr>
        <w:t>[w]hether a judgment is void is a question of law that we review de novo.</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5" w:history="1">
        <w:r>
          <w:rPr>
            <w:rFonts w:ascii="Times New Roman" w:hAnsi="Times New Roman" w:cs="Times New Roman"/>
            <w:i/>
            <w:iCs/>
            <w:color w:val="0000FF"/>
            <w:sz w:val="20"/>
            <w:szCs w:val="20"/>
          </w:rPr>
          <w:t>Ha</w:t>
        </w:r>
        <w:r>
          <w:rPr>
            <w:rFonts w:ascii="Times New Roman" w:hAnsi="Times New Roman" w:cs="Times New Roman"/>
            <w:color w:val="0000FF"/>
            <w:sz w:val="20"/>
            <w:szCs w:val="20"/>
          </w:rPr>
          <w:t>, 182 Wn. App. at 447</w:t>
        </w:r>
      </w:hyperlink>
      <w:r>
        <w:rPr>
          <w:rFonts w:ascii="Times New Roman" w:hAnsi="Times New Roman" w:cs="Times New Roman"/>
          <w:color w:val="000000"/>
          <w:sz w:val="20"/>
          <w:szCs w:val="20"/>
        </w:rPr>
        <w:t>. When</w:t>
      </w:r>
      <w:r>
        <w:rPr>
          <w:rFonts w:ascii="Times New Roman" w:hAnsi="Times New Roman" w:cs="Times New Roman"/>
          <w:color w:val="000000"/>
          <w:sz w:val="20"/>
          <w:szCs w:val="20"/>
        </w:rPr>
        <w:t xml:space="preserve"> the facts are not in dispute, whether the trial court had personal jurisdiction is a question of law. </w:t>
      </w:r>
      <w:hyperlink r:id="rId26" w:history="1">
        <w:r>
          <w:rPr>
            <w:rFonts w:ascii="Times New Roman" w:hAnsi="Times New Roman" w:cs="Times New Roman"/>
            <w:i/>
            <w:iCs/>
            <w:color w:val="0000FF"/>
            <w:sz w:val="20"/>
            <w:szCs w:val="20"/>
          </w:rPr>
          <w:t>Lewis v. Bours</w:t>
        </w:r>
        <w:r>
          <w:rPr>
            <w:rFonts w:ascii="Times New Roman" w:hAnsi="Times New Roman" w:cs="Times New Roman"/>
            <w:color w:val="0000FF"/>
            <w:sz w:val="20"/>
            <w:szCs w:val="20"/>
          </w:rPr>
          <w:t>, 119 Wn.2d 667, 669, 835 P.2d 221 (1992)</w:t>
        </w:r>
      </w:hyperlink>
      <w:r>
        <w:rPr>
          <w:rFonts w:ascii="Times New Roman" w:hAnsi="Times New Roman" w:cs="Times New Roman"/>
          <w:color w:val="000000"/>
          <w:sz w:val="20"/>
          <w:szCs w:val="20"/>
        </w:rPr>
        <w:t>.</w:t>
      </w:r>
    </w:p>
    <w:p w14:paraId="219E925D"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61C26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506B508B"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 w:name="co_anchor_Ibb14f451922511eba933d0c1d26dd"/>
      <w:bookmarkEnd w:id="11"/>
    </w:p>
    <w:p w14:paraId="3FFDB2A6" w14:textId="77777777" w:rsidR="00000000" w:rsidRDefault="00C27B10">
      <w:pPr>
        <w:widowControl w:val="0"/>
        <w:autoSpaceDE w:val="0"/>
        <w:autoSpaceDN w:val="0"/>
        <w:adjustRightInd w:val="0"/>
        <w:spacing w:before="400"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A. </w:t>
      </w:r>
      <w:r>
        <w:rPr>
          <w:rFonts w:ascii="Times New Roman" w:hAnsi="Times New Roman" w:cs="Times New Roman"/>
          <w:color w:val="000000"/>
          <w:sz w:val="20"/>
          <w:szCs w:val="20"/>
          <w:u w:val="single"/>
        </w:rPr>
        <w:t>Scope of Review</w:t>
      </w:r>
    </w:p>
    <w:p w14:paraId="02BB4F18"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Zimmermans rely on the portion of the trial court’s order where the trial court </w:t>
      </w:r>
      <w:r>
        <w:rPr>
          <w:rFonts w:ascii="Times New Roman" w:hAnsi="Times New Roman" w:cs="Times New Roman"/>
          <w:color w:val="000000"/>
          <w:sz w:val="20"/>
          <w:szCs w:val="20"/>
        </w:rPr>
        <w:t>“</w:t>
      </w:r>
      <w:r>
        <w:rPr>
          <w:rFonts w:ascii="Times New Roman" w:hAnsi="Times New Roman" w:cs="Times New Roman"/>
          <w:color w:val="000000"/>
          <w:sz w:val="20"/>
          <w:szCs w:val="20"/>
        </w:rPr>
        <w:t>finds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substantial compliance with the l</w:t>
      </w:r>
      <w:r>
        <w:rPr>
          <w:rFonts w:ascii="Times New Roman" w:hAnsi="Times New Roman" w:cs="Times New Roman"/>
          <w:color w:val="000000"/>
          <w:sz w:val="20"/>
          <w:szCs w:val="20"/>
        </w:rPr>
        <w:t xml:space="preserve">ong arm statute and proper service. They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that Wilmington has not cross appealed. Thus, the Zimmermans contend, they can conclusively rely on this portion of the order. We disagree.</w:t>
      </w:r>
    </w:p>
    <w:p w14:paraId="66D5F57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3643A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Despite the trial court’s use of the term </w:t>
      </w:r>
      <w:r>
        <w:rPr>
          <w:rFonts w:ascii="Times New Roman" w:hAnsi="Times New Roman" w:cs="Times New Roman"/>
          <w:color w:val="000000"/>
          <w:sz w:val="20"/>
          <w:szCs w:val="20"/>
        </w:rPr>
        <w:t>“</w:t>
      </w:r>
      <w:r>
        <w:rPr>
          <w:rFonts w:ascii="Times New Roman" w:hAnsi="Times New Roman" w:cs="Times New Roman"/>
          <w:color w:val="000000"/>
          <w:sz w:val="20"/>
          <w:szCs w:val="20"/>
        </w:rPr>
        <w:t>finds,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actual facts here were undisputed. No party disputes that </w:t>
      </w:r>
      <w:r>
        <w:rPr>
          <w:rFonts w:ascii="Times New Roman" w:hAnsi="Times New Roman" w:cs="Times New Roman"/>
          <w:color w:val="000000"/>
          <w:sz w:val="20"/>
          <w:szCs w:val="20"/>
        </w:rPr>
        <w:t>the affidavit reflects what the Zimmermans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process server was told. But resolving whether those facts amount to substantial compliance with the long arm statute and whether service was valid both require legal conclusions. Where a finding is mislabeled, w</w:t>
      </w:r>
      <w:r>
        <w:rPr>
          <w:rFonts w:ascii="Times New Roman" w:hAnsi="Times New Roman" w:cs="Times New Roman"/>
          <w:color w:val="000000"/>
          <w:sz w:val="20"/>
          <w:szCs w:val="20"/>
        </w:rPr>
        <w:t xml:space="preserve">e review it for what it really is, here a legal conclusion. </w:t>
      </w: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w:t>
      </w:r>
      <w:hyperlink r:id="rId27" w:history="1">
        <w:r>
          <w:rPr>
            <w:rFonts w:ascii="Times New Roman" w:hAnsi="Times New Roman" w:cs="Times New Roman"/>
            <w:i/>
            <w:iCs/>
            <w:color w:val="0000FF"/>
            <w:sz w:val="20"/>
            <w:szCs w:val="20"/>
          </w:rPr>
          <w:t>State v. Conway</w:t>
        </w:r>
        <w:r>
          <w:rPr>
            <w:rFonts w:ascii="Times New Roman" w:hAnsi="Times New Roman" w:cs="Times New Roman"/>
            <w:color w:val="0000FF"/>
            <w:sz w:val="20"/>
            <w:szCs w:val="20"/>
          </w:rPr>
          <w:t>, 8 Wn. App. 2d 538, 552 n.8, 438 P.3d 1235 (2019)</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28" w:history="1">
        <w:r>
          <w:rPr>
            <w:rFonts w:ascii="Times New Roman" w:hAnsi="Times New Roman" w:cs="Times New Roman"/>
            <w:i/>
            <w:iCs/>
            <w:color w:val="0000FF"/>
            <w:sz w:val="20"/>
            <w:szCs w:val="20"/>
          </w:rPr>
          <w:t>Lewis</w:t>
        </w:r>
        <w:r>
          <w:rPr>
            <w:rFonts w:ascii="Times New Roman" w:hAnsi="Times New Roman" w:cs="Times New Roman"/>
            <w:color w:val="0000FF"/>
            <w:sz w:val="20"/>
            <w:szCs w:val="20"/>
          </w:rPr>
          <w:t>, 119 Wn.2d at 6</w:t>
        </w:r>
        <w:r>
          <w:rPr>
            <w:rFonts w:ascii="Times New Roman" w:hAnsi="Times New Roman" w:cs="Times New Roman"/>
            <w:color w:val="0000FF"/>
            <w:sz w:val="20"/>
            <w:szCs w:val="20"/>
          </w:rPr>
          <w:t>69</w:t>
        </w:r>
      </w:hyperlink>
      <w:r>
        <w:rPr>
          <w:rFonts w:ascii="Times New Roman" w:hAnsi="Times New Roman" w:cs="Times New Roman"/>
          <w:color w:val="000000"/>
          <w:sz w:val="20"/>
          <w:szCs w:val="20"/>
        </w:rPr>
        <w:t xml:space="preserve"> (When the facts are not in dispute, whether the trial court had personal jurisdiction is a question of law.).</w:t>
      </w:r>
    </w:p>
    <w:p w14:paraId="71CE2658"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A2058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Moreover, even though Wilmington did not appeal any portion of the trial court’s order vacating the default order and judgment, the Zimmer</w:t>
      </w:r>
      <w:r>
        <w:rPr>
          <w:rFonts w:ascii="Times New Roman" w:hAnsi="Times New Roman" w:cs="Times New Roman"/>
          <w:color w:val="000000"/>
          <w:sz w:val="20"/>
          <w:szCs w:val="20"/>
        </w:rPr>
        <w:t>mans did appeal this order and the entire order is designated in the notice of appeal. The trial court’s determinations regarding substantial compliance and proper long arm service prejudicially affect its ultimate determination as to whether the default o</w:t>
      </w:r>
      <w:r>
        <w:rPr>
          <w:rFonts w:ascii="Times New Roman" w:hAnsi="Times New Roman" w:cs="Times New Roman"/>
          <w:color w:val="000000"/>
          <w:sz w:val="20"/>
          <w:szCs w:val="20"/>
        </w:rPr>
        <w:t xml:space="preserve">rder and judgment must be vacated.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9" w:history="1">
        <w:r>
          <w:rPr>
            <w:rFonts w:ascii="Times New Roman" w:hAnsi="Times New Roman" w:cs="Times New Roman"/>
            <w:color w:val="0000FF"/>
            <w:sz w:val="20"/>
            <w:szCs w:val="20"/>
          </w:rPr>
          <w:t>RAP 2.4(b)</w:t>
        </w:r>
      </w:hyperlink>
      <w:r>
        <w:rPr>
          <w:rFonts w:ascii="Times New Roman" w:hAnsi="Times New Roman" w:cs="Times New Roman"/>
          <w:color w:val="000000"/>
          <w:sz w:val="20"/>
          <w:szCs w:val="20"/>
        </w:rPr>
        <w:t>. So even if we were to parse the various portions of the appealed order, which we are not inclined to do, the trial court’s decisions regarding long arm service would still be within the proper scope of</w:t>
      </w:r>
      <w:r>
        <w:rPr>
          <w:rFonts w:ascii="Times New Roman" w:hAnsi="Times New Roman" w:cs="Times New Roman"/>
          <w:color w:val="000000"/>
          <w:sz w:val="20"/>
          <w:szCs w:val="20"/>
        </w:rPr>
        <w:t xml:space="preserve"> our review.</w:t>
      </w:r>
    </w:p>
    <w:p w14:paraId="3EBA630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77029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63AAB038"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2" w:name="co_anchor_Ibb178c61922511eba933d0c1d26dd"/>
      <w:bookmarkEnd w:id="12"/>
    </w:p>
    <w:p w14:paraId="263746FC" w14:textId="77777777" w:rsidR="00000000" w:rsidRDefault="00C27B10">
      <w:pPr>
        <w:widowControl w:val="0"/>
        <w:autoSpaceDE w:val="0"/>
        <w:autoSpaceDN w:val="0"/>
        <w:adjustRightInd w:val="0"/>
        <w:spacing w:before="400"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B. </w:t>
      </w:r>
      <w:r>
        <w:rPr>
          <w:rFonts w:ascii="Times New Roman" w:hAnsi="Times New Roman" w:cs="Times New Roman"/>
          <w:color w:val="000000"/>
          <w:sz w:val="20"/>
          <w:szCs w:val="20"/>
          <w:u w:val="single"/>
        </w:rPr>
        <w:t>Personal Jurisdiction and Washington’s Long Arm Statute</w:t>
      </w:r>
    </w:p>
    <w:p w14:paraId="31AB07F1"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To invoke personal j</w:t>
      </w:r>
      <w:r>
        <w:rPr>
          <w:rFonts w:ascii="Times New Roman" w:hAnsi="Times New Roman" w:cs="Times New Roman"/>
          <w:color w:val="000000"/>
          <w:sz w:val="20"/>
          <w:szCs w:val="20"/>
        </w:rPr>
        <w:t xml:space="preserve">urisdiction over an out-of-state defendant, the plaintiff must comply with Washington’s long arm statute. The statute provides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[p]ersonal service outside the state shall be valid </w:t>
      </w:r>
      <w:r>
        <w:rPr>
          <w:rFonts w:ascii="Times New Roman" w:hAnsi="Times New Roman" w:cs="Times New Roman"/>
          <w:i/>
          <w:iCs/>
          <w:color w:val="000000"/>
          <w:sz w:val="20"/>
          <w:szCs w:val="20"/>
        </w:rPr>
        <w:t>only</w:t>
      </w:r>
      <w:r>
        <w:rPr>
          <w:rFonts w:ascii="Times New Roman" w:hAnsi="Times New Roman" w:cs="Times New Roman"/>
          <w:color w:val="000000"/>
          <w:sz w:val="20"/>
          <w:szCs w:val="20"/>
        </w:rPr>
        <w:t xml:space="preserve"> when an affidavit is made and filed to the effect that service can</w:t>
      </w:r>
      <w:r>
        <w:rPr>
          <w:rFonts w:ascii="Times New Roman" w:hAnsi="Times New Roman" w:cs="Times New Roman"/>
          <w:color w:val="000000"/>
          <w:sz w:val="20"/>
          <w:szCs w:val="20"/>
        </w:rPr>
        <w:t>not be made within the state.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30" w:history="1">
        <w:r>
          <w:rPr>
            <w:rFonts w:ascii="Times New Roman" w:hAnsi="Times New Roman" w:cs="Times New Roman"/>
            <w:color w:val="0000FF"/>
            <w:sz w:val="20"/>
            <w:szCs w:val="20"/>
          </w:rPr>
          <w:t>RCW 4.28.185(4)</w:t>
        </w:r>
      </w:hyperlink>
      <w:r>
        <w:rPr>
          <w:rFonts w:ascii="Times New Roman" w:hAnsi="Times New Roman" w:cs="Times New Roman"/>
          <w:color w:val="000000"/>
          <w:sz w:val="20"/>
          <w:szCs w:val="20"/>
        </w:rPr>
        <w:t xml:space="preserve"> (emphasis added). Personal service on the out-of-state defendant ordinarily does not become valid until the affidavit is filed, making a judgment entered absent the required affidavi</w:t>
      </w:r>
      <w:r>
        <w:rPr>
          <w:rFonts w:ascii="Times New Roman" w:hAnsi="Times New Roman" w:cs="Times New Roman"/>
          <w:color w:val="000000"/>
          <w:sz w:val="20"/>
          <w:szCs w:val="20"/>
        </w:rPr>
        <w:t xml:space="preserve">t void for lack of personal jurisdiction. </w:t>
      </w:r>
      <w:hyperlink r:id="rId31" w:history="1">
        <w:r>
          <w:rPr>
            <w:rFonts w:ascii="Times New Roman" w:hAnsi="Times New Roman" w:cs="Times New Roman"/>
            <w:i/>
            <w:iCs/>
            <w:color w:val="0000FF"/>
            <w:sz w:val="20"/>
            <w:szCs w:val="20"/>
          </w:rPr>
          <w:t>Hatch v. Princess Louise Corp.</w:t>
        </w:r>
        <w:r>
          <w:rPr>
            <w:rFonts w:ascii="Times New Roman" w:hAnsi="Times New Roman" w:cs="Times New Roman"/>
            <w:color w:val="0000FF"/>
            <w:sz w:val="20"/>
            <w:szCs w:val="20"/>
          </w:rPr>
          <w:t>, 13 Wn. App. 378, 380, 534 P.2d 1036 (1975)</w:t>
        </w:r>
      </w:hyperlink>
      <w:r>
        <w:rPr>
          <w:rFonts w:ascii="Times New Roman" w:hAnsi="Times New Roman" w:cs="Times New Roman"/>
          <w:color w:val="000000"/>
          <w:sz w:val="20"/>
          <w:szCs w:val="20"/>
        </w:rPr>
        <w:t xml:space="preserve">. The party seeking to show proper jurisdiction has the burden to show compliance. </w:t>
      </w:r>
      <w:r>
        <w:rPr>
          <w:rFonts w:ascii="Times New Roman" w:hAnsi="Times New Roman" w:cs="Times New Roman"/>
          <w:i/>
          <w:iCs/>
          <w:color w:val="000000"/>
          <w:sz w:val="20"/>
          <w:szCs w:val="20"/>
        </w:rPr>
        <w:t xml:space="preserve">See </w:t>
      </w:r>
      <w:hyperlink r:id="rId32" w:history="1">
        <w:r>
          <w:rPr>
            <w:rFonts w:ascii="Times New Roman" w:hAnsi="Times New Roman" w:cs="Times New Roman"/>
            <w:i/>
            <w:iCs/>
            <w:color w:val="0000FF"/>
            <w:sz w:val="20"/>
            <w:szCs w:val="20"/>
          </w:rPr>
          <w:t>John Does v. CompCare, Inc.</w:t>
        </w:r>
        <w:r>
          <w:rPr>
            <w:rFonts w:ascii="Times New Roman" w:hAnsi="Times New Roman" w:cs="Times New Roman"/>
            <w:color w:val="0000FF"/>
            <w:sz w:val="20"/>
            <w:szCs w:val="20"/>
          </w:rPr>
          <w:t>, 52 Wn. App. 688, 693, 763 P.2d 1237 (1988)</w:t>
        </w:r>
      </w:hyperlink>
      <w:r>
        <w:rPr>
          <w:rFonts w:ascii="Times New Roman" w:hAnsi="Times New Roman" w:cs="Times New Roman"/>
          <w:color w:val="000000"/>
          <w:sz w:val="20"/>
          <w:szCs w:val="20"/>
        </w:rPr>
        <w:t xml:space="preserve">. And the statute is applied narrowly because jurisdiction obtained through service out of state </w:t>
      </w:r>
      <w:r>
        <w:rPr>
          <w:rFonts w:ascii="Times New Roman" w:hAnsi="Times New Roman" w:cs="Times New Roman"/>
          <w:color w:val="000000"/>
          <w:sz w:val="20"/>
          <w:szCs w:val="20"/>
        </w:rPr>
        <w:t>“</w:t>
      </w:r>
      <w:r>
        <w:rPr>
          <w:rFonts w:ascii="Times New Roman" w:hAnsi="Times New Roman" w:cs="Times New Roman"/>
          <w:color w:val="000000"/>
          <w:sz w:val="20"/>
          <w:szCs w:val="20"/>
        </w:rPr>
        <w:t>is in derogation of the common law.</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33" w:history="1">
        <w:r>
          <w:rPr>
            <w:rFonts w:ascii="Times New Roman" w:hAnsi="Times New Roman" w:cs="Times New Roman"/>
            <w:i/>
            <w:iCs/>
            <w:color w:val="0000FF"/>
            <w:sz w:val="20"/>
            <w:szCs w:val="20"/>
          </w:rPr>
          <w:t>Hatch</w:t>
        </w:r>
        <w:r>
          <w:rPr>
            <w:rFonts w:ascii="Times New Roman" w:hAnsi="Times New Roman" w:cs="Times New Roman"/>
            <w:color w:val="0000FF"/>
            <w:sz w:val="20"/>
            <w:szCs w:val="20"/>
          </w:rPr>
          <w:t>, 13 Wn. App. at 380</w:t>
        </w:r>
      </w:hyperlink>
      <w:r>
        <w:rPr>
          <w:rFonts w:ascii="Times New Roman" w:hAnsi="Times New Roman" w:cs="Times New Roman"/>
          <w:color w:val="000000"/>
          <w:sz w:val="20"/>
          <w:szCs w:val="20"/>
        </w:rPr>
        <w:t>.</w:t>
      </w:r>
    </w:p>
    <w:p w14:paraId="095C6C9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BE8DA2"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3" w:name="co_pp_sp_999_4_1"/>
      <w:bookmarkEnd w:id="13"/>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Substantial compliance with the affidavit requirement can be enough, however. </w:t>
      </w:r>
      <w:hyperlink r:id="rId34" w:history="1">
        <w:r>
          <w:rPr>
            <w:rFonts w:ascii="Times New Roman" w:hAnsi="Times New Roman" w:cs="Times New Roman"/>
            <w:i/>
            <w:iCs/>
            <w:color w:val="0000FF"/>
            <w:sz w:val="20"/>
            <w:szCs w:val="20"/>
          </w:rPr>
          <w:t>Sharebuilder Secs., Corp. v. Hoang</w:t>
        </w:r>
        <w:r>
          <w:rPr>
            <w:rFonts w:ascii="Times New Roman" w:hAnsi="Times New Roman" w:cs="Times New Roman"/>
            <w:color w:val="0000FF"/>
            <w:sz w:val="20"/>
            <w:szCs w:val="20"/>
          </w:rPr>
          <w:t>, 137 Wn. App. 330, 334, 153 P.3d 222 (2007)</w:t>
        </w:r>
      </w:hyperlink>
      <w:r>
        <w:rPr>
          <w:rFonts w:ascii="Times New Roman" w:hAnsi="Times New Roman" w:cs="Times New Roman"/>
          <w:color w:val="000000"/>
          <w:sz w:val="20"/>
          <w:szCs w:val="20"/>
        </w:rPr>
        <w:t xml:space="preserve">. First, substantial compliance requires that when </w:t>
      </w:r>
      <w:r>
        <w:rPr>
          <w:rFonts w:ascii="Times New Roman" w:hAnsi="Times New Roman" w:cs="Times New Roman"/>
          <w:color w:val="000000"/>
          <w:sz w:val="20"/>
          <w:szCs w:val="20"/>
        </w:rPr>
        <w:t>“</w:t>
      </w:r>
      <w:r>
        <w:rPr>
          <w:rFonts w:ascii="Times New Roman" w:hAnsi="Times New Roman" w:cs="Times New Roman"/>
          <w:color w:val="000000"/>
          <w:sz w:val="20"/>
          <w:szCs w:val="20"/>
        </w:rPr>
        <w:t>viewing all affidavits filed prior to judgment, the logical conclusion must be that service could not be had within the state.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35"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334-35</w:t>
        </w:r>
      </w:hyperlink>
      <w:r>
        <w:rPr>
          <w:rFonts w:ascii="Times New Roman" w:hAnsi="Times New Roman" w:cs="Times New Roman"/>
          <w:color w:val="000000"/>
          <w:sz w:val="20"/>
          <w:szCs w:val="20"/>
        </w:rPr>
        <w:t xml:space="preserve">. Second, there must have been no injury to the defendant from the noncompliance. </w:t>
      </w:r>
      <w:r>
        <w:rPr>
          <w:rFonts w:ascii="Times New Roman" w:hAnsi="Times New Roman" w:cs="Times New Roman"/>
          <w:i/>
          <w:iCs/>
          <w:color w:val="000000"/>
          <w:sz w:val="20"/>
          <w:szCs w:val="20"/>
        </w:rPr>
        <w:t xml:space="preserve">See </w:t>
      </w:r>
      <w:hyperlink r:id="rId36" w:history="1">
        <w:r>
          <w:rPr>
            <w:rFonts w:ascii="Times New Roman" w:hAnsi="Times New Roman" w:cs="Times New Roman"/>
            <w:i/>
            <w:iCs/>
            <w:color w:val="0000FF"/>
            <w:sz w:val="20"/>
            <w:szCs w:val="20"/>
          </w:rPr>
          <w:t>Barr v. Interbay Citizens Bank</w:t>
        </w:r>
        <w:r>
          <w:rPr>
            <w:rFonts w:ascii="Times New Roman" w:hAnsi="Times New Roman" w:cs="Times New Roman"/>
            <w:color w:val="0000FF"/>
            <w:sz w:val="20"/>
            <w:szCs w:val="20"/>
          </w:rPr>
          <w:t>, 96 Wn.2d 692, 696, 649 P.2d 827 (1982)</w:t>
        </w:r>
      </w:hyperlink>
      <w:r>
        <w:rPr>
          <w:rFonts w:ascii="Times New Roman" w:hAnsi="Times New Roman" w:cs="Times New Roman"/>
          <w:color w:val="000000"/>
          <w:sz w:val="20"/>
          <w:szCs w:val="20"/>
        </w:rPr>
        <w:t>.</w:t>
      </w:r>
    </w:p>
    <w:p w14:paraId="5E4C633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86BC8D"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w:t>
      </w:r>
      <w:r>
        <w:rPr>
          <w:rFonts w:ascii="Times New Roman" w:hAnsi="Times New Roman" w:cs="Times New Roman"/>
          <w:i/>
          <w:iCs/>
          <w:color w:val="000000"/>
          <w:sz w:val="20"/>
          <w:szCs w:val="20"/>
        </w:rPr>
        <w:t>Sharebuilder</w:t>
      </w:r>
      <w:r>
        <w:rPr>
          <w:rFonts w:ascii="Times New Roman" w:hAnsi="Times New Roman" w:cs="Times New Roman"/>
          <w:color w:val="000000"/>
          <w:sz w:val="20"/>
          <w:szCs w:val="20"/>
        </w:rPr>
        <w:t>, the mer</w:t>
      </w:r>
      <w:r>
        <w:rPr>
          <w:rFonts w:ascii="Times New Roman" w:hAnsi="Times New Roman" w:cs="Times New Roman"/>
          <w:color w:val="000000"/>
          <w:sz w:val="20"/>
          <w:szCs w:val="20"/>
        </w:rPr>
        <w:t xml:space="preserve">e fact that the defendant was served in another state was not enough to support a logical conclusion that they could not be served in Washington. </w:t>
      </w:r>
      <w:hyperlink r:id="rId37" w:history="1">
        <w:r>
          <w:rPr>
            <w:rFonts w:ascii="Times New Roman" w:hAnsi="Times New Roman" w:cs="Times New Roman"/>
            <w:color w:val="0000FF"/>
            <w:sz w:val="20"/>
            <w:szCs w:val="20"/>
          </w:rPr>
          <w:t>137 Wn. App. at 335</w:t>
        </w:r>
      </w:hyperlink>
      <w:r>
        <w:rPr>
          <w:rFonts w:ascii="Times New Roman" w:hAnsi="Times New Roman" w:cs="Times New Roman"/>
          <w:color w:val="000000"/>
          <w:sz w:val="20"/>
          <w:szCs w:val="20"/>
        </w:rPr>
        <w:t>. In contrast, affidavits establishing a busine</w:t>
      </w:r>
      <w:r>
        <w:rPr>
          <w:rFonts w:ascii="Times New Roman" w:hAnsi="Times New Roman" w:cs="Times New Roman"/>
          <w:color w:val="000000"/>
          <w:sz w:val="20"/>
          <w:szCs w:val="20"/>
        </w:rPr>
        <w:t xml:space="preserve">ss was not licensed in Washington, did no business of any sort in Washington, and had no employees or agents in Washington, were enough to support a logical conclusion that service in Washington was impossible. </w:t>
      </w:r>
      <w:hyperlink r:id="rId38" w:history="1">
        <w:r>
          <w:rPr>
            <w:rFonts w:ascii="Times New Roman" w:hAnsi="Times New Roman" w:cs="Times New Roman"/>
            <w:i/>
            <w:iCs/>
            <w:color w:val="0000FF"/>
            <w:sz w:val="20"/>
            <w:szCs w:val="20"/>
          </w:rPr>
          <w:t>Barr</w:t>
        </w:r>
        <w:r>
          <w:rPr>
            <w:rFonts w:ascii="Times New Roman" w:hAnsi="Times New Roman" w:cs="Times New Roman"/>
            <w:color w:val="0000FF"/>
            <w:sz w:val="20"/>
            <w:szCs w:val="20"/>
          </w:rPr>
          <w:t>, 96 Wn.2d at 696</w:t>
        </w:r>
      </w:hyperlink>
      <w:r>
        <w:rPr>
          <w:rFonts w:ascii="Times New Roman" w:hAnsi="Times New Roman" w:cs="Times New Roman"/>
          <w:color w:val="000000"/>
          <w:sz w:val="20"/>
          <w:szCs w:val="20"/>
        </w:rPr>
        <w:t>.</w:t>
      </w:r>
    </w:p>
    <w:p w14:paraId="52FC2DF6"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C0DCF"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Here, the Zimmermans relied on a single sentence in an affidavit of attempted service explaining that a Wilmington </w:t>
      </w:r>
      <w:r>
        <w:rPr>
          <w:rFonts w:ascii="Times New Roman" w:hAnsi="Times New Roman" w:cs="Times New Roman"/>
          <w:color w:val="000000"/>
          <w:sz w:val="20"/>
          <w:szCs w:val="20"/>
        </w:rPr>
        <w:t>“</w:t>
      </w:r>
      <w:r>
        <w:rPr>
          <w:rFonts w:ascii="Times New Roman" w:hAnsi="Times New Roman" w:cs="Times New Roman"/>
          <w:color w:val="000000"/>
          <w:sz w:val="20"/>
          <w:szCs w:val="20"/>
        </w:rPr>
        <w:t>[l]egal [a]dministrator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told the process server: </w:t>
      </w:r>
      <w:r>
        <w:rPr>
          <w:rFonts w:ascii="Times New Roman" w:hAnsi="Times New Roman" w:cs="Times New Roman"/>
          <w:color w:val="000000"/>
          <w:sz w:val="20"/>
          <w:szCs w:val="20"/>
        </w:rPr>
        <w:t>“</w:t>
      </w:r>
      <w:r>
        <w:rPr>
          <w:rFonts w:ascii="Times New Roman" w:hAnsi="Times New Roman" w:cs="Times New Roman"/>
          <w:color w:val="000000"/>
          <w:sz w:val="20"/>
          <w:szCs w:val="20"/>
        </w:rPr>
        <w:t>All documents related to a trust must be served on their trust di</w:t>
      </w:r>
      <w:r>
        <w:rPr>
          <w:rFonts w:ascii="Times New Roman" w:hAnsi="Times New Roman" w:cs="Times New Roman"/>
          <w:color w:val="000000"/>
          <w:sz w:val="20"/>
          <w:szCs w:val="20"/>
        </w:rPr>
        <w:t>vision at 501 Carr Road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Wilmington, Delaware. CP at 15. The Zimmermans contend that the logical conclusion to be drawn from that sentence is that service in Washington was impossible. </w:t>
      </w:r>
      <w:r>
        <w:rPr>
          <w:rFonts w:ascii="Times New Roman" w:hAnsi="Times New Roman" w:cs="Times New Roman"/>
          <w:i/>
          <w:iCs/>
          <w:color w:val="000000"/>
          <w:sz w:val="20"/>
          <w:szCs w:val="20"/>
        </w:rPr>
        <w:t xml:space="preserve">See </w:t>
      </w:r>
      <w:hyperlink r:id="rId39" w:history="1">
        <w:r>
          <w:rPr>
            <w:rFonts w:ascii="Times New Roman" w:hAnsi="Times New Roman" w:cs="Times New Roman"/>
            <w:i/>
            <w:iCs/>
            <w:color w:val="0000FF"/>
            <w:sz w:val="20"/>
            <w:szCs w:val="20"/>
          </w:rPr>
          <w:t>Sharebuilder</w:t>
        </w:r>
        <w:r>
          <w:rPr>
            <w:rFonts w:ascii="Times New Roman" w:hAnsi="Times New Roman" w:cs="Times New Roman"/>
            <w:color w:val="0000FF"/>
            <w:sz w:val="20"/>
            <w:szCs w:val="20"/>
          </w:rPr>
          <w:t>, 137 Wn. A</w:t>
        </w:r>
        <w:r>
          <w:rPr>
            <w:rFonts w:ascii="Times New Roman" w:hAnsi="Times New Roman" w:cs="Times New Roman"/>
            <w:color w:val="0000FF"/>
            <w:sz w:val="20"/>
            <w:szCs w:val="20"/>
          </w:rPr>
          <w:t>pp. at 334</w:t>
        </w:r>
      </w:hyperlink>
      <w:r>
        <w:rPr>
          <w:rFonts w:ascii="Times New Roman" w:hAnsi="Times New Roman" w:cs="Times New Roman"/>
          <w:color w:val="000000"/>
          <w:sz w:val="20"/>
          <w:szCs w:val="20"/>
        </w:rPr>
        <w:t>.</w:t>
      </w:r>
    </w:p>
    <w:p w14:paraId="452A971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F22AFD"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The affidavit never mentioned any attempt to serve Wilmington in Washington and instead only addressed service attempts made in Delaware, nor is there any other evidence in this record that service in Washington was attempted. The affidavi</w:t>
      </w:r>
      <w:r>
        <w:rPr>
          <w:rFonts w:ascii="Times New Roman" w:hAnsi="Times New Roman" w:cs="Times New Roman"/>
          <w:color w:val="000000"/>
          <w:sz w:val="20"/>
          <w:szCs w:val="20"/>
        </w:rPr>
        <w:t>t also does not mention any discussion with the legal administrator about whether or how service in Washington could be accomplished. The facts do not support a logical conclusion that service could not be had in Washington. We disagree with the trial cour</w:t>
      </w:r>
      <w:r>
        <w:rPr>
          <w:rFonts w:ascii="Times New Roman" w:hAnsi="Times New Roman" w:cs="Times New Roman"/>
          <w:color w:val="000000"/>
          <w:sz w:val="20"/>
          <w:szCs w:val="20"/>
        </w:rPr>
        <w:t xml:space="preserve">t and conclude that there was no substantial compliance. The Zimmermans failed to satisfy </w:t>
      </w:r>
      <w:hyperlink r:id="rId40" w:history="1">
        <w:r>
          <w:rPr>
            <w:rFonts w:ascii="Times New Roman" w:hAnsi="Times New Roman" w:cs="Times New Roman"/>
            <w:color w:val="0000FF"/>
            <w:sz w:val="20"/>
            <w:szCs w:val="20"/>
          </w:rPr>
          <w:t>RCW 4.28.185(4)</w:t>
        </w:r>
      </w:hyperlink>
      <w:r>
        <w:rPr>
          <w:rFonts w:ascii="Times New Roman" w:hAnsi="Times New Roman" w:cs="Times New Roman"/>
          <w:color w:val="000000"/>
          <w:sz w:val="20"/>
          <w:szCs w:val="20"/>
        </w:rPr>
        <w:t>.</w:t>
      </w:r>
      <w:bookmarkStart w:id="14" w:name="co_fnRef_B00022053355267_ID0EROAE_1"/>
      <w:bookmarkEnd w:id="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"#co_footnote_B00022053355267_1" </w:instrText>
      </w:r>
      <w:r w:rsidR="00454183">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w:t>
      </w:r>
      <w:r>
        <w:rPr>
          <w:rFonts w:ascii="Times New Roman" w:hAnsi="Times New Roman" w:cs="Times New Roman"/>
          <w:color w:val="000000"/>
          <w:sz w:val="16"/>
          <w:szCs w:val="16"/>
        </w:rPr>
        <w:fldChar w:fldCharType="end"/>
      </w:r>
    </w:p>
    <w:p w14:paraId="1E67EE26"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27F12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Was</w:t>
      </w:r>
      <w:r>
        <w:rPr>
          <w:rFonts w:ascii="Times New Roman" w:hAnsi="Times New Roman" w:cs="Times New Roman"/>
          <w:color w:val="000000"/>
          <w:sz w:val="20"/>
          <w:szCs w:val="20"/>
        </w:rPr>
        <w:t xml:space="preserve">hington courts have consistently held that where a party has not complied with the long arm statute prior to judgment, the judgment is void for lack of jurisdiction.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w:t>
      </w:r>
      <w:hyperlink r:id="rId41" w:history="1">
        <w:r>
          <w:rPr>
            <w:rFonts w:ascii="Times New Roman" w:hAnsi="Times New Roman" w:cs="Times New Roman"/>
            <w:i/>
            <w:iCs/>
            <w:color w:val="0000FF"/>
            <w:sz w:val="20"/>
            <w:szCs w:val="20"/>
          </w:rPr>
          <w:t>Morris v. Palouse River &amp; Coulee City R.R.</w:t>
        </w:r>
        <w:r>
          <w:rPr>
            <w:rFonts w:ascii="Times New Roman" w:hAnsi="Times New Roman" w:cs="Times New Roman"/>
            <w:color w:val="0000FF"/>
            <w:sz w:val="20"/>
            <w:szCs w:val="20"/>
          </w:rPr>
          <w:t>,</w:t>
        </w:r>
        <w:r>
          <w:rPr>
            <w:rFonts w:ascii="Times New Roman" w:hAnsi="Times New Roman" w:cs="Times New Roman"/>
            <w:color w:val="0000FF"/>
            <w:sz w:val="20"/>
            <w:szCs w:val="20"/>
          </w:rPr>
          <w:t xml:space="preserve"> 149 Wn. App. 366, 372, 203 P.3d 1069 (2009)</w:t>
        </w:r>
      </w:hyperlink>
      <w:r>
        <w:rPr>
          <w:rFonts w:ascii="Times New Roman" w:hAnsi="Times New Roman" w:cs="Times New Roman"/>
          <w:color w:val="000000"/>
          <w:sz w:val="20"/>
          <w:szCs w:val="20"/>
        </w:rPr>
        <w:t xml:space="preserve"> (judgment void where prejudgment affidavits did not substantially comply); </w:t>
      </w:r>
      <w:r>
        <w:rPr>
          <w:rFonts w:ascii="Times New Roman" w:hAnsi="Times New Roman" w:cs="Times New Roman"/>
          <w:i/>
          <w:iCs/>
          <w:color w:val="000000"/>
          <w:sz w:val="20"/>
          <w:szCs w:val="20"/>
        </w:rPr>
        <w:t xml:space="preserve">see also </w:t>
      </w:r>
      <w:hyperlink r:id="rId42" w:history="1">
        <w:r>
          <w:rPr>
            <w:rFonts w:ascii="Times New Roman" w:hAnsi="Times New Roman" w:cs="Times New Roman"/>
            <w:i/>
            <w:iCs/>
            <w:color w:val="0000FF"/>
            <w:sz w:val="20"/>
            <w:szCs w:val="20"/>
          </w:rPr>
          <w:t>Sharebuilder</w:t>
        </w:r>
        <w:r>
          <w:rPr>
            <w:rFonts w:ascii="Times New Roman" w:hAnsi="Times New Roman" w:cs="Times New Roman"/>
            <w:color w:val="0000FF"/>
            <w:sz w:val="20"/>
            <w:szCs w:val="20"/>
          </w:rPr>
          <w:t>, 137 Wn. App. at 335</w:t>
        </w:r>
      </w:hyperlink>
      <w:r>
        <w:rPr>
          <w:rFonts w:ascii="Times New Roman" w:hAnsi="Times New Roman" w:cs="Times New Roman"/>
          <w:color w:val="000000"/>
          <w:sz w:val="20"/>
          <w:szCs w:val="20"/>
        </w:rPr>
        <w:t xml:space="preserve">. Where the underlying default judgment is void for lack of jurisdiction, the trial court has a nondiscretionary duty to vacate. </w:t>
      </w:r>
      <w:hyperlink r:id="rId43" w:history="1">
        <w:r>
          <w:rPr>
            <w:rFonts w:ascii="Times New Roman" w:hAnsi="Times New Roman" w:cs="Times New Roman"/>
            <w:i/>
            <w:iCs/>
            <w:color w:val="0000FF"/>
            <w:sz w:val="20"/>
            <w:szCs w:val="20"/>
          </w:rPr>
          <w:t>Dobbins v. Mendoza</w:t>
        </w:r>
        <w:r>
          <w:rPr>
            <w:rFonts w:ascii="Times New Roman" w:hAnsi="Times New Roman" w:cs="Times New Roman"/>
            <w:color w:val="0000FF"/>
            <w:sz w:val="20"/>
            <w:szCs w:val="20"/>
          </w:rPr>
          <w:t>, 88 Wn. App. 862, 871, 947 P.2d 1229 (1997)</w:t>
        </w:r>
      </w:hyperlink>
      <w:r>
        <w:rPr>
          <w:rFonts w:ascii="Times New Roman" w:hAnsi="Times New Roman" w:cs="Times New Roman"/>
          <w:color w:val="000000"/>
          <w:sz w:val="20"/>
          <w:szCs w:val="20"/>
        </w:rPr>
        <w:t>. Thus, the trial cou</w:t>
      </w:r>
      <w:r>
        <w:rPr>
          <w:rFonts w:ascii="Times New Roman" w:hAnsi="Times New Roman" w:cs="Times New Roman"/>
          <w:color w:val="000000"/>
          <w:sz w:val="20"/>
          <w:szCs w:val="20"/>
        </w:rPr>
        <w:t xml:space="preserve">rt was correct to vacate the default order and judgment under </w:t>
      </w:r>
      <w:hyperlink r:id="rId44" w:history="1">
        <w:r>
          <w:rPr>
            <w:rFonts w:ascii="Times New Roman" w:hAnsi="Times New Roman" w:cs="Times New Roman"/>
            <w:color w:val="0000FF"/>
            <w:sz w:val="20"/>
            <w:szCs w:val="20"/>
          </w:rPr>
          <w:t>CR 60(b)(5)</w:t>
        </w:r>
      </w:hyperlink>
      <w:r>
        <w:rPr>
          <w:rFonts w:ascii="Times New Roman" w:hAnsi="Times New Roman" w:cs="Times New Roman"/>
          <w:color w:val="000000"/>
          <w:sz w:val="20"/>
          <w:szCs w:val="20"/>
        </w:rPr>
        <w:t>.</w:t>
      </w:r>
      <w:bookmarkStart w:id="15" w:name="co_fnRef_B00032053355267_ID0EDRAE_1"/>
      <w:bookmarkEnd w:id="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"#co_footnote_B00032053355267_1" </w:instrText>
      </w:r>
      <w:r w:rsidR="00454183">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w:t>
      </w:r>
      <w:r>
        <w:rPr>
          <w:rFonts w:ascii="Times New Roman" w:hAnsi="Times New Roman" w:cs="Times New Roman"/>
          <w:color w:val="000000"/>
          <w:sz w:val="16"/>
          <w:szCs w:val="16"/>
        </w:rPr>
        <w:fldChar w:fldCharType="end"/>
      </w:r>
    </w:p>
    <w:p w14:paraId="5B5B851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0CA87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The Zimmermans also assert that the trial court should not have considered the underlying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arguments. We need not address this issue because we have already concluded that the Zimmermans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substantial compliance argument fails because </w:t>
      </w:r>
      <w:r>
        <w:rPr>
          <w:rFonts w:ascii="Times New Roman" w:hAnsi="Times New Roman" w:cs="Times New Roman"/>
          <w:color w:val="000000"/>
          <w:sz w:val="20"/>
          <w:szCs w:val="20"/>
        </w:rPr>
        <w:t xml:space="preserve">the Zimmermans failed to satisfy </w:t>
      </w:r>
      <w:hyperlink r:id="rId45" w:history="1">
        <w:r>
          <w:rPr>
            <w:rFonts w:ascii="Times New Roman" w:hAnsi="Times New Roman" w:cs="Times New Roman"/>
            <w:color w:val="0000FF"/>
            <w:sz w:val="20"/>
            <w:szCs w:val="20"/>
          </w:rPr>
          <w:t>RCW 4.28.185(4)</w:t>
        </w:r>
      </w:hyperlink>
      <w:r>
        <w:rPr>
          <w:rFonts w:ascii="Times New Roman" w:hAnsi="Times New Roman" w:cs="Times New Roman"/>
          <w:color w:val="000000"/>
          <w:sz w:val="20"/>
          <w:szCs w:val="20"/>
        </w:rPr>
        <w:t xml:space="preserve">. Whether the underlying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analysis was a proper consideration in the trial court’s substantial compliance analysis need not be addressed here.</w:t>
      </w:r>
      <w:bookmarkStart w:id="16" w:name="co_fnRef_B00042053355267_ID0E6SAE_1"/>
      <w:bookmarkEnd w:id="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"#co_footnote_B00042053355267_1" </w:instrText>
      </w:r>
      <w:r w:rsidR="00454183">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w:t>
      </w:r>
      <w:r>
        <w:rPr>
          <w:rFonts w:ascii="Times New Roman" w:hAnsi="Times New Roman" w:cs="Times New Roman"/>
          <w:color w:val="000000"/>
          <w:sz w:val="16"/>
          <w:szCs w:val="16"/>
        </w:rPr>
        <w:fldChar w:fldCharType="end"/>
      </w:r>
    </w:p>
    <w:p w14:paraId="3DA83F3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8DF439"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7" w:name="co_anchor_Ibb1c2041922511eba933d0c1d26dd"/>
      <w:bookmarkEnd w:id="17"/>
    </w:p>
    <w:p w14:paraId="32DF2758" w14:textId="77777777" w:rsidR="00000000" w:rsidRDefault="00C27B10">
      <w:pPr>
        <w:widowControl w:val="0"/>
        <w:autoSpaceDE w:val="0"/>
        <w:autoSpaceDN w:val="0"/>
        <w:adjustRightInd w:val="0"/>
        <w:spacing w:before="400"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CONCLUSION</w:t>
      </w:r>
    </w:p>
    <w:p w14:paraId="35F51F8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 w:name="co_pp_sp_999_5_1"/>
      <w:bookmarkEnd w:id="18"/>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While we disagree with the</w:t>
      </w:r>
      <w:r>
        <w:rPr>
          <w:rFonts w:ascii="Times New Roman" w:hAnsi="Times New Roman" w:cs="Times New Roman"/>
          <w:color w:val="000000"/>
          <w:sz w:val="20"/>
          <w:szCs w:val="20"/>
        </w:rPr>
        <w:t xml:space="preserve"> trial court’s reasoning in part, we affirm the trial court’s order to vacate the default order and judgment.</w:t>
      </w:r>
    </w:p>
    <w:p w14:paraId="17C75F9A"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AB5D74"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majority of the panel having determined that this opinion will not be printed in the Washington Appellate Reports, but will be filed for publi</w:t>
      </w:r>
      <w:r>
        <w:rPr>
          <w:rFonts w:ascii="Times New Roman" w:hAnsi="Times New Roman" w:cs="Times New Roman"/>
          <w:color w:val="000000"/>
          <w:sz w:val="20"/>
          <w:szCs w:val="20"/>
        </w:rPr>
        <w:t xml:space="preserve">c record in accordance with </w:t>
      </w:r>
      <w:hyperlink r:id="rId46" w:history="1">
        <w:r>
          <w:rPr>
            <w:rFonts w:ascii="Times New Roman" w:hAnsi="Times New Roman" w:cs="Times New Roman"/>
            <w:color w:val="0000FF"/>
            <w:sz w:val="20"/>
            <w:szCs w:val="20"/>
          </w:rPr>
          <w:t>RCW 2.06.040</w:t>
        </w:r>
      </w:hyperlink>
      <w:r>
        <w:rPr>
          <w:rFonts w:ascii="Times New Roman" w:hAnsi="Times New Roman" w:cs="Times New Roman"/>
          <w:color w:val="000000"/>
          <w:sz w:val="20"/>
          <w:szCs w:val="20"/>
        </w:rPr>
        <w:t>, it is so ordered.</w:t>
      </w:r>
    </w:p>
    <w:p w14:paraId="072D0210"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B4C7E6" w14:textId="77777777" w:rsidR="00000000" w:rsidRDefault="00C27B10">
      <w:pPr>
        <w:widowControl w:val="0"/>
        <w:autoSpaceDE w:val="0"/>
        <w:autoSpaceDN w:val="0"/>
        <w:adjustRightInd w:val="0"/>
        <w:spacing w:before="6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concur:</w:t>
      </w:r>
    </w:p>
    <w:p w14:paraId="0665A337" w14:textId="77777777" w:rsidR="00000000" w:rsidRDefault="00C27B10">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47" w:history="1">
        <w:r>
          <w:rPr>
            <w:rFonts w:ascii="Times New Roman" w:hAnsi="Times New Roman" w:cs="Times New Roman"/>
            <w:color w:val="0000FF"/>
            <w:sz w:val="20"/>
            <w:szCs w:val="20"/>
          </w:rPr>
          <w:t>Sutton</w:t>
        </w:r>
      </w:hyperlink>
      <w:r>
        <w:rPr>
          <w:rFonts w:ascii="Times New Roman" w:hAnsi="Times New Roman" w:cs="Times New Roman"/>
          <w:color w:val="000000"/>
          <w:sz w:val="20"/>
          <w:szCs w:val="20"/>
        </w:rPr>
        <w:t>, A.C.J.</w:t>
      </w:r>
    </w:p>
    <w:p w14:paraId="04333499" w14:textId="77777777" w:rsidR="00000000" w:rsidRDefault="00C27B10">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48" w:history="1">
        <w:r>
          <w:rPr>
            <w:rFonts w:ascii="Times New Roman" w:hAnsi="Times New Roman" w:cs="Times New Roman"/>
            <w:color w:val="0000FF"/>
            <w:sz w:val="20"/>
            <w:szCs w:val="20"/>
          </w:rPr>
          <w:t>Maxa</w:t>
        </w:r>
      </w:hyperlink>
      <w:r>
        <w:rPr>
          <w:rFonts w:ascii="Times New Roman" w:hAnsi="Times New Roman" w:cs="Times New Roman"/>
          <w:color w:val="000000"/>
          <w:sz w:val="20"/>
          <w:szCs w:val="20"/>
        </w:rPr>
        <w:t>, J.</w:t>
      </w:r>
    </w:p>
    <w:p w14:paraId="3B758D3A" w14:textId="77777777" w:rsidR="00000000" w:rsidRDefault="00C27B10">
      <w:pPr>
        <w:widowControl w:val="0"/>
        <w:autoSpaceDE w:val="0"/>
        <w:autoSpaceDN w:val="0"/>
        <w:adjustRightInd w:val="0"/>
        <w:spacing w:before="200" w:after="200" w:line="240" w:lineRule="auto"/>
        <w:jc w:val="both"/>
        <w:rPr>
          <w:rFonts w:ascii="Times New Roman" w:hAnsi="Times New Roman" w:cs="Times New Roman"/>
          <w:b/>
          <w:bCs/>
          <w:color w:val="212121"/>
          <w:sz w:val="20"/>
          <w:szCs w:val="20"/>
        </w:rPr>
      </w:pPr>
      <w:bookmarkStart w:id="19" w:name="co_allCitations_1"/>
      <w:bookmarkEnd w:id="19"/>
      <w:r>
        <w:rPr>
          <w:rFonts w:ascii="Times New Roman" w:hAnsi="Times New Roman" w:cs="Times New Roman"/>
          <w:b/>
          <w:bCs/>
          <w:color w:val="212121"/>
          <w:sz w:val="20"/>
          <w:szCs w:val="20"/>
        </w:rPr>
        <w:t>All Citations</w:t>
      </w:r>
    </w:p>
    <w:p w14:paraId="27B7B407" w14:textId="77777777" w:rsidR="00000000" w:rsidRDefault="00C27B1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Not Reported in Pac. Rptr., 2021 WL 1199205</w:t>
      </w:r>
    </w:p>
    <w:p w14:paraId="4D822EBC"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p w14:paraId="1647B2FF" w14:textId="77777777" w:rsidR="00000000" w:rsidRDefault="00C27B10">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730A078B" w14:textId="77777777">
        <w:tblPrEx>
          <w:tblCellMar>
            <w:top w:w="0" w:type="dxa"/>
            <w:left w:w="0" w:type="dxa"/>
            <w:bottom w:w="0" w:type="dxa"/>
            <w:right w:w="0" w:type="dxa"/>
          </w:tblCellMar>
        </w:tblPrEx>
        <w:tc>
          <w:tcPr>
            <w:tcW w:w="10080" w:type="dxa"/>
            <w:gridSpan w:val="2"/>
            <w:tcBorders>
              <w:top w:val="nil"/>
              <w:left w:val="nil"/>
              <w:bottom w:val="nil"/>
              <w:right w:val="nil"/>
            </w:tcBorders>
            <w:tcMar>
              <w:top w:w="200" w:type="dxa"/>
            </w:tcMar>
          </w:tcPr>
          <w:p w14:paraId="57AAAC2A" w14:textId="77777777" w:rsidR="00000000" w:rsidRDefault="00C27B10">
            <w:pPr>
              <w:widowControl w:val="0"/>
              <w:autoSpaceDE w:val="0"/>
              <w:autoSpaceDN w:val="0"/>
              <w:adjustRightInd w:val="0"/>
              <w:spacing w:after="0" w:line="240" w:lineRule="auto"/>
              <w:rPr>
                <w:rFonts w:ascii="sans-serif" w:hAnsi="sans-serif" w:cs="sans-serif"/>
                <w:color w:val="000000"/>
                <w:sz w:val="20"/>
                <w:szCs w:val="20"/>
              </w:rPr>
            </w:pPr>
            <w:r>
              <w:rPr>
                <w:rFonts w:ascii="sans-serif" w:hAnsi="sans-serif" w:cs="sans-serif"/>
                <w:color w:val="000000"/>
                <w:sz w:val="20"/>
                <w:szCs w:val="20"/>
              </w:rPr>
              <w:t>Footnotes</w:t>
            </w:r>
          </w:p>
          <w:p w14:paraId="499BA4B1" w14:textId="77777777" w:rsidR="00000000" w:rsidRDefault="00C27B10">
            <w:pPr>
              <w:widowControl w:val="0"/>
              <w:autoSpaceDE w:val="0"/>
              <w:autoSpaceDN w:val="0"/>
              <w:adjustRightInd w:val="0"/>
              <w:spacing w:after="0" w:line="240" w:lineRule="auto"/>
              <w:rPr>
                <w:rFonts w:ascii="sans-serif" w:hAnsi="sans-serif" w:cs="sans-serif"/>
                <w:color w:val="000000"/>
                <w:sz w:val="20"/>
                <w:szCs w:val="20"/>
              </w:rPr>
            </w:pPr>
          </w:p>
        </w:tc>
      </w:tr>
      <w:bookmarkStart w:id="20" w:name="co_footnote_B00012053355267_1"/>
      <w:bookmarkEnd w:id="20"/>
      <w:tr w:rsidR="00000000" w14:paraId="04176B4F" w14:textId="77777777">
        <w:tblPrEx>
          <w:tblCellMar>
            <w:top w:w="0" w:type="dxa"/>
            <w:left w:w="0" w:type="dxa"/>
            <w:bottom w:w="0" w:type="dxa"/>
            <w:right w:w="0" w:type="dxa"/>
          </w:tblCellMar>
        </w:tblPrEx>
        <w:tc>
          <w:tcPr>
            <w:tcW w:w="600" w:type="dxa"/>
            <w:tcBorders>
              <w:top w:val="nil"/>
              <w:left w:val="nil"/>
              <w:bottom w:val="nil"/>
              <w:right w:val="nil"/>
            </w:tcBorders>
          </w:tcPr>
          <w:p w14:paraId="62D05941"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"#co_fnRef_B00012053355267_ID0EOKAC_1" </w:instrText>
            </w:r>
            <w:r w:rsidR="00454183">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w:t>
            </w:r>
            <w:r>
              <w:rPr>
                <w:rFonts w:ascii="sans-serif" w:hAnsi="sans-serif" w:cs="sans-serif"/>
                <w:color w:val="000000"/>
                <w:sz w:val="24"/>
                <w:szCs w:val="24"/>
              </w:rPr>
              <w:fldChar w:fldCharType="end"/>
            </w:r>
          </w:p>
          <w:p w14:paraId="6DFCF2E5"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BFF24B1"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w:t>
            </w:r>
            <w:r>
              <w:rPr>
                <w:rFonts w:ascii="sans-serif" w:hAnsi="sans-serif" w:cs="sans-serif"/>
                <w:color w:val="000000"/>
                <w:sz w:val="18"/>
                <w:szCs w:val="18"/>
              </w:rPr>
              <w:t>“</w:t>
            </w:r>
            <w:r>
              <w:rPr>
                <w:rFonts w:ascii="sans-serif" w:hAnsi="sans-serif" w:cs="sans-serif"/>
                <w:color w:val="000000"/>
                <w:sz w:val="18"/>
                <w:szCs w:val="18"/>
              </w:rPr>
              <w:t>not</w:t>
            </w:r>
            <w:r>
              <w:rPr>
                <w:rFonts w:ascii="sans-serif" w:hAnsi="sans-serif" w:cs="sans-serif"/>
                <w:color w:val="000000"/>
                <w:sz w:val="18"/>
                <w:szCs w:val="18"/>
              </w:rPr>
              <w:t>”</w:t>
            </w:r>
            <w:r>
              <w:rPr>
                <w:rFonts w:ascii="sans-serif" w:hAnsi="sans-serif" w:cs="sans-serif"/>
                <w:color w:val="000000"/>
                <w:sz w:val="18"/>
                <w:szCs w:val="18"/>
              </w:rPr>
              <w:t xml:space="preserve"> in this sentence appears to be a mistake. CP at 205.</w:t>
            </w:r>
          </w:p>
          <w:p w14:paraId="262F6A8D"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p>
        </w:tc>
      </w:tr>
      <w:bookmarkStart w:id="21" w:name="co_footnote_B00022053355267_1"/>
      <w:bookmarkEnd w:id="21"/>
      <w:tr w:rsidR="00000000" w14:paraId="71296BDC" w14:textId="77777777">
        <w:tblPrEx>
          <w:tblCellMar>
            <w:top w:w="0" w:type="dxa"/>
            <w:left w:w="0" w:type="dxa"/>
            <w:bottom w:w="0" w:type="dxa"/>
            <w:right w:w="0" w:type="dxa"/>
          </w:tblCellMar>
        </w:tblPrEx>
        <w:tc>
          <w:tcPr>
            <w:tcW w:w="600" w:type="dxa"/>
            <w:tcBorders>
              <w:top w:val="nil"/>
              <w:left w:val="nil"/>
              <w:bottom w:val="nil"/>
              <w:right w:val="nil"/>
            </w:tcBorders>
          </w:tcPr>
          <w:p w14:paraId="117C5F23"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"#co_fnRef_B00022053355267_ID0EROAE_1" </w:instrText>
            </w:r>
            <w:r w:rsidR="00454183">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w:t>
            </w:r>
            <w:r>
              <w:rPr>
                <w:rFonts w:ascii="sans-serif" w:hAnsi="sans-serif" w:cs="sans-serif"/>
                <w:color w:val="000000"/>
                <w:sz w:val="24"/>
                <w:szCs w:val="24"/>
              </w:rPr>
              <w:fldChar w:fldCharType="end"/>
            </w:r>
          </w:p>
          <w:p w14:paraId="6B5A8659"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0AE0ECDC"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To the extent the Zimme</w:t>
            </w:r>
            <w:r>
              <w:rPr>
                <w:rFonts w:ascii="sans-serif" w:hAnsi="sans-serif" w:cs="sans-serif"/>
                <w:color w:val="000000"/>
                <w:sz w:val="18"/>
                <w:szCs w:val="18"/>
              </w:rPr>
              <w:t>rmans also argue that Wilmington failed to establish the injury prong of the substantial compliance test, we need not reach this issue because the Zimmermans failed to establish that service could not be had in Washington.</w:t>
            </w:r>
          </w:p>
          <w:p w14:paraId="71EB7661"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p>
        </w:tc>
      </w:tr>
      <w:bookmarkStart w:id="22" w:name="co_footnote_B00032053355267_1"/>
      <w:bookmarkEnd w:id="22"/>
      <w:tr w:rsidR="00000000" w14:paraId="48951F0A" w14:textId="77777777">
        <w:tblPrEx>
          <w:tblCellMar>
            <w:top w:w="0" w:type="dxa"/>
            <w:left w:w="0" w:type="dxa"/>
            <w:bottom w:w="0" w:type="dxa"/>
            <w:right w:w="0" w:type="dxa"/>
          </w:tblCellMar>
        </w:tblPrEx>
        <w:tc>
          <w:tcPr>
            <w:tcW w:w="600" w:type="dxa"/>
            <w:tcBorders>
              <w:top w:val="nil"/>
              <w:left w:val="nil"/>
              <w:bottom w:val="nil"/>
              <w:right w:val="nil"/>
            </w:tcBorders>
          </w:tcPr>
          <w:p w14:paraId="5D1BC43E"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"#co_fnRef_B00032053355267_ID0EDRAE_1" </w:instrText>
            </w:r>
            <w:r w:rsidR="00454183">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00"/>
                <w:sz w:val="24"/>
                <w:szCs w:val="24"/>
              </w:rPr>
              <w:fldChar w:fldCharType="end"/>
            </w:r>
          </w:p>
          <w:p w14:paraId="0D4458F7"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215B86D"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Wilmington concedes it is not entitled to enforce installment payments barred by the </w:t>
            </w:r>
            <w:r>
              <w:rPr>
                <w:rFonts w:ascii="sans-serif" w:hAnsi="sans-serif" w:cs="sans-serif"/>
                <w:b/>
                <w:bCs/>
                <w:color w:val="252525"/>
                <w:sz w:val="18"/>
                <w:szCs w:val="18"/>
                <w:shd w:val="clear" w:color="auto" w:fill="FFFF66"/>
              </w:rPr>
              <w:t>statute</w:t>
            </w:r>
            <w:r>
              <w:rPr>
                <w:rFonts w:ascii="sans-serif" w:hAnsi="sans-serif" w:cs="sans-serif"/>
                <w:color w:val="000000"/>
                <w:sz w:val="18"/>
                <w:szCs w:val="18"/>
              </w:rPr>
              <w:t xml:space="preserve"> of </w:t>
            </w:r>
            <w:r>
              <w:rPr>
                <w:rFonts w:ascii="sans-serif" w:hAnsi="sans-serif" w:cs="sans-serif"/>
                <w:b/>
                <w:bCs/>
                <w:color w:val="252525"/>
                <w:sz w:val="18"/>
                <w:szCs w:val="18"/>
                <w:shd w:val="clear" w:color="auto" w:fill="FFFF66"/>
              </w:rPr>
              <w:t>limitations</w:t>
            </w:r>
            <w:r>
              <w:rPr>
                <w:rFonts w:ascii="sans-serif" w:hAnsi="sans-serif" w:cs="sans-serif"/>
                <w:color w:val="000000"/>
                <w:sz w:val="18"/>
                <w:szCs w:val="18"/>
              </w:rPr>
              <w:t>, and it does not object to the corresponding language in the trial court’s order vacating the default order and judgment.</w:t>
            </w:r>
          </w:p>
          <w:p w14:paraId="6650E604"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23" w:name="co_footnote_B00042053355267_1"/>
      <w:bookmarkEnd w:id="23"/>
      <w:tr w:rsidR="00000000" w14:paraId="2ED0FD4C" w14:textId="77777777">
        <w:tblPrEx>
          <w:tblCellMar>
            <w:top w:w="0" w:type="dxa"/>
            <w:left w:w="0" w:type="dxa"/>
            <w:bottom w:w="0" w:type="dxa"/>
            <w:right w:w="0" w:type="dxa"/>
          </w:tblCellMar>
        </w:tblPrEx>
        <w:tc>
          <w:tcPr>
            <w:tcW w:w="600" w:type="dxa"/>
            <w:tcBorders>
              <w:top w:val="nil"/>
              <w:left w:val="nil"/>
              <w:bottom w:val="nil"/>
              <w:right w:val="nil"/>
            </w:tcBorders>
          </w:tcPr>
          <w:p w14:paraId="1BD49894"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"#co_fnRef_B00042053355267_ID0E6SAE_1" </w:instrText>
            </w:r>
            <w:r w:rsidR="00454183">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w:t>
            </w:r>
            <w:r>
              <w:rPr>
                <w:rFonts w:ascii="sans-serif" w:hAnsi="sans-serif" w:cs="sans-serif"/>
                <w:color w:val="000000"/>
                <w:sz w:val="24"/>
                <w:szCs w:val="24"/>
              </w:rPr>
              <w:fldChar w:fldCharType="end"/>
            </w:r>
          </w:p>
          <w:p w14:paraId="45EE265B"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C423A90"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Zimmermans also raise the timeliness of the motion to vacate and they mention res judicata and the concept of finality in their reply brief. Neither issue was raised below. We therefore decline to </w:t>
            </w:r>
            <w:r>
              <w:rPr>
                <w:rFonts w:ascii="sans-serif" w:hAnsi="sans-serif" w:cs="sans-serif"/>
                <w:color w:val="000000"/>
                <w:sz w:val="18"/>
                <w:szCs w:val="18"/>
              </w:rPr>
              <w:t>address these issues.</w:t>
            </w:r>
          </w:p>
          <w:p w14:paraId="73CD876B" w14:textId="77777777" w:rsidR="00000000" w:rsidRDefault="00C27B10">
            <w:pPr>
              <w:widowControl w:val="0"/>
              <w:autoSpaceDE w:val="0"/>
              <w:autoSpaceDN w:val="0"/>
              <w:adjustRightInd w:val="0"/>
              <w:spacing w:after="0" w:line="240" w:lineRule="auto"/>
              <w:jc w:val="both"/>
              <w:rPr>
                <w:rFonts w:ascii="sans-serif" w:hAnsi="sans-serif" w:cs="sans-serif"/>
                <w:color w:val="000000"/>
                <w:sz w:val="18"/>
                <w:szCs w:val="18"/>
              </w:rPr>
            </w:pPr>
          </w:p>
        </w:tc>
      </w:tr>
    </w:tbl>
    <w:p w14:paraId="229215F7" w14:textId="77777777" w:rsidR="00000000" w:rsidRDefault="00C27B10">
      <w:pPr>
        <w:widowControl w:val="0"/>
        <w:autoSpaceDE w:val="0"/>
        <w:autoSpaceDN w:val="0"/>
        <w:adjustRightInd w:val="0"/>
        <w:spacing w:after="0" w:line="240" w:lineRule="auto"/>
        <w:rPr>
          <w:rFonts w:ascii="Arial" w:hAnsi="Arial" w:cs="Arial"/>
          <w:sz w:val="24"/>
          <w:szCs w:val="24"/>
        </w:rPr>
      </w:pPr>
    </w:p>
    <w:p w14:paraId="596177E6" w14:textId="77777777" w:rsidR="00000000" w:rsidRDefault="00C27B10">
      <w:pPr>
        <w:widowControl w:val="0"/>
        <w:autoSpaceDE w:val="0"/>
        <w:autoSpaceDN w:val="0"/>
        <w:adjustRightInd w:val="0"/>
        <w:spacing w:after="0" w:line="240" w:lineRule="auto"/>
        <w:rPr>
          <w:rFonts w:ascii="Times New Roman" w:hAnsi="Times New Roman" w:cs="Times New Roman"/>
          <w:color w:val="000000"/>
          <w:sz w:val="24"/>
          <w:szCs w:val="24"/>
        </w:rPr>
      </w:pPr>
    </w:p>
    <w:p w14:paraId="0B41A439" w14:textId="77777777" w:rsidR="00000000" w:rsidRDefault="00C27B10">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space="720"/>
          <w:noEndnote/>
        </w:sectPr>
      </w:pPr>
    </w:p>
    <w:p w14:paraId="7045E73C" w14:textId="77777777" w:rsidR="00000000" w:rsidRDefault="00C27B10">
      <w:pPr>
        <w:widowControl w:val="0"/>
        <w:autoSpaceDE w:val="0"/>
        <w:autoSpaceDN w:val="0"/>
        <w:adjustRightInd w:val="0"/>
        <w:spacing w:after="0" w:line="240" w:lineRule="auto"/>
        <w:rPr>
          <w:rFonts w:ascii="sans-serif" w:hAnsi="sans-serif" w:cs="sans-serif"/>
          <w:color w:val="000000"/>
          <w:sz w:val="24"/>
          <w:szCs w:val="24"/>
        </w:rPr>
      </w:pPr>
    </w:p>
    <w:p w14:paraId="44C4E268" w14:textId="77777777" w:rsidR="00000000" w:rsidRDefault="00C27B10">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14:paraId="243D819C"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502E8220" w14:textId="77777777" w:rsidR="00000000" w:rsidRDefault="00C27B10">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t>End of Document</w:t>
            </w:r>
          </w:p>
          <w:p w14:paraId="2342F75E" w14:textId="77777777" w:rsidR="00000000" w:rsidRDefault="00C27B10">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9" w:type="dxa"/>
              <w:right w:w="29" w:type="dxa"/>
            </w:tcMar>
          </w:tcPr>
          <w:p w14:paraId="5B18A0A5" w14:textId="77777777" w:rsidR="00000000" w:rsidRDefault="00C27B10">
            <w:pPr>
              <w:widowControl w:val="0"/>
              <w:autoSpaceDE w:val="0"/>
              <w:autoSpaceDN w:val="0"/>
              <w:adjustRightInd w:val="0"/>
              <w:spacing w:after="0" w:line="240" w:lineRule="auto"/>
              <w:ind w:left="29" w:right="29"/>
              <w:jc w:val="right"/>
              <w:rPr>
                <w:rFonts w:ascii="sans-serif" w:hAnsi="sans-serif" w:cs="sans-serif"/>
                <w:color w:val="777777"/>
                <w:sz w:val="19"/>
                <w:szCs w:val="19"/>
              </w:rPr>
            </w:pPr>
            <w:r>
              <w:rPr>
                <w:rFonts w:ascii="sans-serif" w:hAnsi="sans-serif" w:cs="sans-serif"/>
                <w:color w:val="777777"/>
                <w:sz w:val="19"/>
                <w:szCs w:val="19"/>
              </w:rPr>
              <w:t>©</w:t>
            </w:r>
            <w:r>
              <w:rPr>
                <w:rFonts w:ascii="sans-serif" w:hAnsi="sans-serif" w:cs="sans-serif"/>
                <w:color w:val="777777"/>
                <w:sz w:val="19"/>
                <w:szCs w:val="19"/>
              </w:rPr>
              <w:t xml:space="preserve"> 2021 Thomson Reuters. No claim to original U.S. Government Works.</w:t>
            </w:r>
          </w:p>
          <w:p w14:paraId="5AD7CF6D" w14:textId="77777777" w:rsidR="00000000" w:rsidRDefault="00C27B10">
            <w:pPr>
              <w:widowControl w:val="0"/>
              <w:autoSpaceDE w:val="0"/>
              <w:autoSpaceDN w:val="0"/>
              <w:adjustRightInd w:val="0"/>
              <w:spacing w:after="0" w:line="240" w:lineRule="auto"/>
              <w:ind w:left="29" w:right="29"/>
              <w:jc w:val="right"/>
              <w:rPr>
                <w:rFonts w:ascii="sans-serif" w:hAnsi="sans-serif" w:cs="sans-serif"/>
                <w:color w:val="777777"/>
                <w:sz w:val="19"/>
                <w:szCs w:val="19"/>
              </w:rPr>
            </w:pPr>
          </w:p>
        </w:tc>
      </w:tr>
    </w:tbl>
    <w:p w14:paraId="66A1FE8F" w14:textId="77777777" w:rsidR="00000000" w:rsidRDefault="00C27B10">
      <w:pPr>
        <w:widowControl w:val="0"/>
        <w:autoSpaceDE w:val="0"/>
        <w:autoSpaceDN w:val="0"/>
        <w:adjustRightInd w:val="0"/>
        <w:spacing w:after="0" w:line="240" w:lineRule="auto"/>
        <w:rPr>
          <w:rFonts w:ascii="Arial" w:hAnsi="Arial" w:cs="Arial"/>
          <w:sz w:val="24"/>
          <w:szCs w:val="24"/>
        </w:rPr>
      </w:pPr>
    </w:p>
    <w:p w14:paraId="6FAF9953" w14:textId="77777777" w:rsidR="00000000" w:rsidRDefault="00C27B10">
      <w:pPr>
        <w:widowControl w:val="0"/>
        <w:autoSpaceDE w:val="0"/>
        <w:autoSpaceDN w:val="0"/>
        <w:adjustRightInd w:val="0"/>
        <w:spacing w:after="0" w:line="240" w:lineRule="auto"/>
        <w:rPr>
          <w:rFonts w:ascii="Times New Roman" w:hAnsi="Times New Roman" w:cs="Times New Roman"/>
          <w:color w:val="000000"/>
          <w:sz w:val="24"/>
          <w:szCs w:val="24"/>
        </w:rPr>
      </w:pPr>
    </w:p>
    <w:p w14:paraId="3E99FC24" w14:textId="77777777" w:rsidR="00000000" w:rsidRDefault="00C27B10">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space="720"/>
          <w:noEndnote/>
        </w:sectPr>
      </w:pPr>
    </w:p>
    <w:p w14:paraId="346AB5A3" w14:textId="77777777" w:rsidR="00C27B10" w:rsidRDefault="00C27B10">
      <w:pPr>
        <w:widowControl w:val="0"/>
        <w:autoSpaceDE w:val="0"/>
        <w:autoSpaceDN w:val="0"/>
        <w:adjustRightInd w:val="0"/>
        <w:spacing w:after="0" w:line="240" w:lineRule="auto"/>
        <w:rPr>
          <w:rFonts w:ascii="Arial" w:hAnsi="Arial" w:cs="Arial"/>
          <w:sz w:val="24"/>
          <w:szCs w:val="24"/>
        </w:rPr>
      </w:pPr>
    </w:p>
    <w:sectPr w:rsidR="00C27B10">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7EC0" w14:textId="77777777" w:rsidR="00C27B10" w:rsidRDefault="00C27B10">
      <w:pPr>
        <w:spacing w:after="0" w:line="240" w:lineRule="auto"/>
      </w:pPr>
      <w:r>
        <w:separator/>
      </w:r>
    </w:p>
  </w:endnote>
  <w:endnote w:type="continuationSeparator" w:id="0">
    <w:p w14:paraId="27DE5466" w14:textId="77777777" w:rsidR="00C27B10" w:rsidRDefault="00C2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14:paraId="08A457FD"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4E13C219" w14:textId="2748758A" w:rsidR="00000000" w:rsidRDefault="00454183">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14:anchorId="0C61A977" wp14:editId="5DAF4073">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sidR="00C27B10">
            <w:rPr>
              <w:rFonts w:ascii="Arial" w:hAnsi="Arial" w:cs="Arial"/>
              <w:color w:val="AAAAAA"/>
              <w:sz w:val="20"/>
              <w:szCs w:val="20"/>
            </w:rPr>
            <w:t xml:space="preserve"> </w:t>
          </w:r>
          <w:r w:rsidR="00C27B10">
            <w:rPr>
              <w:rFonts w:ascii="Arial" w:hAnsi="Arial" w:cs="Arial"/>
              <w:color w:val="AAAAAA"/>
              <w:sz w:val="20"/>
              <w:szCs w:val="20"/>
            </w:rPr>
            <w:t>©</w:t>
          </w:r>
          <w:r w:rsidR="00C27B10">
            <w:rPr>
              <w:rFonts w:ascii="Arial" w:hAnsi="Arial" w:cs="Arial"/>
              <w:color w:val="AAAAAA"/>
              <w:sz w:val="20"/>
              <w:szCs w:val="20"/>
            </w:rPr>
            <w:t xml:space="preserve"> 2021 Thomson Reuters. No claim to original U.S. Government Works.</w:t>
          </w:r>
        </w:p>
      </w:tc>
      <w:tc>
        <w:tcPr>
          <w:tcW w:w="700" w:type="dxa"/>
          <w:tcBorders>
            <w:top w:val="single" w:sz="8" w:space="0" w:color="AAAAAA"/>
            <w:left w:val="nil"/>
            <w:bottom w:val="nil"/>
            <w:right w:val="nil"/>
          </w:tcBorders>
          <w:tcMar>
            <w:top w:w="60" w:type="dxa"/>
          </w:tcMar>
        </w:tcPr>
        <w:p w14:paraId="670A13BE" w14:textId="77777777" w:rsidR="00000000" w:rsidRDefault="00C27B10">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23D030F8" w14:textId="77777777" w:rsidR="00000000" w:rsidRDefault="00C27B1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B69B" w14:textId="77777777" w:rsidR="00C27B10" w:rsidRDefault="00C27B10">
      <w:pPr>
        <w:spacing w:after="0" w:line="240" w:lineRule="auto"/>
      </w:pPr>
      <w:r>
        <w:separator/>
      </w:r>
    </w:p>
  </w:footnote>
  <w:footnote w:type="continuationSeparator" w:id="0">
    <w:p w14:paraId="0D57F518" w14:textId="77777777" w:rsidR="00C27B10" w:rsidRDefault="00C2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5896AED2"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65BC1D8A" w14:textId="77777777" w:rsidR="00000000" w:rsidRDefault="00C27B10">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KENNETH P. ZIMMERMAN, JR. and VICTORIA L...., Not Reported in Pac....</w:t>
          </w:r>
        </w:p>
      </w:tc>
      <w:tc>
        <w:tcPr>
          <w:tcW w:w="700" w:type="dxa"/>
          <w:tcBorders>
            <w:top w:val="nil"/>
            <w:left w:val="nil"/>
            <w:bottom w:val="single" w:sz="8" w:space="0" w:color="AAAAAA"/>
            <w:right w:val="nil"/>
          </w:tcBorders>
          <w:tcMar>
            <w:top w:w="400" w:type="dxa"/>
            <w:bottom w:w="60" w:type="dxa"/>
          </w:tcMar>
        </w:tcPr>
        <w:p w14:paraId="7CC6256D" w14:textId="77777777" w:rsidR="00000000" w:rsidRDefault="00C27B10">
          <w:pPr>
            <w:widowControl w:val="0"/>
            <w:autoSpaceDE w:val="0"/>
            <w:autoSpaceDN w:val="0"/>
            <w:adjustRightInd w:val="0"/>
            <w:spacing w:after="0" w:line="240" w:lineRule="auto"/>
            <w:jc w:val="right"/>
            <w:rPr>
              <w:rFonts w:ascii="Arial" w:hAnsi="Arial" w:cs="Arial"/>
              <w:color w:val="000000"/>
              <w:sz w:val="18"/>
              <w:szCs w:val="18"/>
            </w:rPr>
          </w:pPr>
        </w:p>
      </w:tc>
    </w:tr>
    <w:tr w:rsidR="00000000" w14:paraId="30ED7FB1"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27BDA19B" w14:textId="77777777" w:rsidR="00000000" w:rsidRDefault="00C27B10">
          <w:pPr>
            <w:widowControl w:val="0"/>
            <w:autoSpaceDE w:val="0"/>
            <w:autoSpaceDN w:val="0"/>
            <w:adjustRightInd w:val="0"/>
            <w:spacing w:after="0" w:line="240" w:lineRule="auto"/>
            <w:rPr>
              <w:rFonts w:ascii="Arial" w:hAnsi="Arial" w:cs="Arial"/>
              <w:color w:val="000000"/>
              <w:sz w:val="18"/>
              <w:szCs w:val="18"/>
            </w:rPr>
          </w:pPr>
        </w:p>
      </w:tc>
    </w:tr>
  </w:tbl>
  <w:p w14:paraId="22486E9D" w14:textId="77777777" w:rsidR="00000000" w:rsidRDefault="00C27B10">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83"/>
    <w:rsid w:val="00454183"/>
    <w:rsid w:val="00C2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6FCEB"/>
  <w14:defaultImageDpi w14:val="0"/>
  <w15:docId w15:val="{910A5550-B060-40A0-B0FB-931FD32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Y&amp;serNum=2039383791&amp;pubNum=0000800&amp;originatingDoc=I3ab197c0922311eb86f0fe514fc262aa&amp;refType=RP&amp;fi=co_pp_sp_800_927&amp;originationContext=document&amp;vr=3.0&amp;rs=cblt1.0&amp;transitionType=DocumentItem&amp;contextData=(sc.Search)#co_pp_sp_800_927" TargetMode="External"/><Relationship Id="rId18" Type="http://schemas.openxmlformats.org/officeDocument/2006/relationships/hyperlink" Target="http://www.westlaw.com/Link/Document/FullText?findType=Y&amp;serNum=2034254782&amp;pubNum=0000800&amp;originatingDoc=I3ab197c0922311eb86f0fe514fc262aa&amp;refType=RP&amp;fi=co_pp_sp_800_446&amp;originationContext=document&amp;vr=3.0&amp;rs=cblt1.0&amp;transitionType=DocumentItem&amp;contextData=(sc.Search)#co_pp_sp_800_446" TargetMode="External"/><Relationship Id="rId26" Type="http://schemas.openxmlformats.org/officeDocument/2006/relationships/hyperlink" Target="http://www.westlaw.com/Link/Document/FullText?findType=Y&amp;serNum=1992157431&amp;pubNum=0000804&amp;originatingDoc=I3ab197c0922311eb86f0fe514fc262aa&amp;refType=RP&amp;fi=co_pp_sp_804_669&amp;originationContext=document&amp;vr=3.0&amp;rs=cblt1.0&amp;transitionType=DocumentItem&amp;contextData=(sc.Search)#co_pp_sp_804_669" TargetMode="External"/><Relationship Id="rId39" Type="http://schemas.openxmlformats.org/officeDocument/2006/relationships/hyperlink" Target="http://www.westlaw.com/Link/Document/FullText?findType=Y&amp;serNum=2011492405&amp;pubNum=0000800&amp;originatingDoc=I3ab197c0922311eb86f0fe514fc262aa&amp;refType=RP&amp;fi=co_pp_sp_800_334&amp;originationContext=document&amp;vr=3.0&amp;rs=cblt1.0&amp;transitionType=DocumentItem&amp;contextData=(sc.Search)#co_pp_sp_800_334" TargetMode="External"/><Relationship Id="rId3" Type="http://schemas.openxmlformats.org/officeDocument/2006/relationships/webSettings" Target="webSettings.xml"/><Relationship Id="rId21"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34" Type="http://schemas.openxmlformats.org/officeDocument/2006/relationships/hyperlink" Target="http://www.westlaw.com/Link/Document/FullText?findType=Y&amp;serNum=2011492405&amp;pubNum=0000800&amp;originatingDoc=I3ab197c0922311eb86f0fe514fc262aa&amp;refType=RP&amp;fi=co_pp_sp_800_334&amp;originationContext=document&amp;vr=3.0&amp;rs=cblt1.0&amp;transitionType=DocumentItem&amp;contextData=(sc.Search)#co_pp_sp_800_334" TargetMode="External"/><Relationship Id="rId42" Type="http://schemas.openxmlformats.org/officeDocument/2006/relationships/hyperlink" Target="http://www.westlaw.com/Link/Document/FullText?findType=Y&amp;serNum=2011492405&amp;pubNum=0000800&amp;originatingDoc=I3ab197c0922311eb86f0fe514fc262aa&amp;refType=RP&amp;fi=co_pp_sp_800_335&amp;originationContext=document&amp;vr=3.0&amp;rs=cblt1.0&amp;transitionType=DocumentItem&amp;contextData=(sc.Search)#co_pp_sp_800_335" TargetMode="External"/><Relationship Id="rId47" Type="http://schemas.openxmlformats.org/officeDocument/2006/relationships/hyperlink" Target="http://www.westlaw.com/Link/Document/FullText?findType=h&amp;pubNum=176284&amp;cite=0110761901&amp;originatingDoc=I3ab197c0922311eb86f0fe514fc262aa&amp;refType=RQ&amp;originationContext=document&amp;vr=3.0&amp;rs=cblt1.0&amp;transitionType=DocumentItem&amp;contextData=(sc.Search)" TargetMode="Externa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westlaw.com/Link/Document/FullText?findType=L&amp;pubNum=1000259&amp;cite=WAST4.28.185&amp;originatingDoc=I3ab197c0922311eb86f0fe514fc262aa&amp;refType=SP&amp;originationContext=document&amp;vr=3.0&amp;rs=cblt1.0&amp;transitionType=DocumentItem&amp;contextData=(sc.Search)#co_pp_0bd500007a412" TargetMode="External"/><Relationship Id="rId17"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25" Type="http://schemas.openxmlformats.org/officeDocument/2006/relationships/hyperlink" Target="http://www.westlaw.com/Link/Document/FullText?findType=Y&amp;serNum=2034254782&amp;pubNum=0000800&amp;originatingDoc=I3ab197c0922311eb86f0fe514fc262aa&amp;refType=RP&amp;fi=co_pp_sp_800_447&amp;originationContext=document&amp;vr=3.0&amp;rs=cblt1.0&amp;transitionType=DocumentItem&amp;contextData=(sc.Search)#co_pp_sp_800_447" TargetMode="External"/><Relationship Id="rId33" Type="http://schemas.openxmlformats.org/officeDocument/2006/relationships/hyperlink" Target="http://www.westlaw.com/Link/Document/FullText?findType=Y&amp;serNum=1975126314&amp;pubNum=0000800&amp;originatingDoc=I3ab197c0922311eb86f0fe514fc262aa&amp;refType=RP&amp;fi=co_pp_sp_800_380&amp;originationContext=document&amp;vr=3.0&amp;rs=cblt1.0&amp;transitionType=DocumentItem&amp;contextData=(sc.Search)#co_pp_sp_800_380" TargetMode="External"/><Relationship Id="rId38" Type="http://schemas.openxmlformats.org/officeDocument/2006/relationships/hyperlink" Target="http://www.westlaw.com/Link/Document/FullText?findType=Y&amp;serNum=1982136717&amp;pubNum=0000804&amp;originatingDoc=I3ab197c0922311eb86f0fe514fc262aa&amp;refType=RP&amp;fi=co_pp_sp_804_696&amp;originationContext=document&amp;vr=3.0&amp;rs=cblt1.0&amp;transitionType=DocumentItem&amp;contextData=(sc.Search)#co_pp_sp_804_696" TargetMode="External"/><Relationship Id="rId46" Type="http://schemas.openxmlformats.org/officeDocument/2006/relationships/hyperlink" Target="http://www.westlaw.com/Link/Document/FullText?findType=L&amp;pubNum=1000259&amp;cite=WAST2.06.040&amp;originatingDoc=I3ab197c0922311eb86f0fe514fc262aa&amp;refType=LQ&amp;originationContext=document&amp;vr=3.0&amp;rs=cblt1.0&amp;transitionType=DocumentItem&amp;contextData=(sc.Search)" TargetMode="External"/><Relationship Id="rId2" Type="http://schemas.openxmlformats.org/officeDocument/2006/relationships/settings" Target="settings.xml"/><Relationship Id="rId16" Type="http://schemas.openxmlformats.org/officeDocument/2006/relationships/hyperlink" Target="http://www.westlaw.com/Link/Document/FullText?findType=L&amp;pubNum=1000259&amp;cite=WAST4.28.185&amp;originatingDoc=I3ab197c0922311eb86f0fe514fc262aa&amp;refType=SP&amp;originationContext=document&amp;vr=3.0&amp;rs=cblt1.0&amp;transitionType=DocumentItem&amp;contextData=(sc.Search)#co_pp_0bd500007a412" TargetMode="External"/><Relationship Id="rId20"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29" Type="http://schemas.openxmlformats.org/officeDocument/2006/relationships/hyperlink" Target="http://www.westlaw.com/Link/Document/FullText?findType=L&amp;pubNum=1003996&amp;cite=WARRAP2.4&amp;originatingDoc=I3ab197c0922311eb86f0fe514fc262aa&amp;refType=LQ&amp;originationContext=document&amp;vr=3.0&amp;rs=cblt1.0&amp;transitionType=DocumentItem&amp;contextData=(sc.Search)" TargetMode="External"/><Relationship Id="rId41" Type="http://schemas.openxmlformats.org/officeDocument/2006/relationships/hyperlink" Target="http://www.westlaw.com/Link/Document/FullText?findType=Y&amp;serNum=2018419657&amp;pubNum=0000800&amp;originatingDoc=I3ab197c0922311eb86f0fe514fc262aa&amp;refType=RP&amp;fi=co_pp_sp_800_372&amp;originationContext=document&amp;vr=3.0&amp;rs=cblt1.0&amp;transitionType=DocumentItem&amp;contextData=(sc.Search)#co_pp_sp_800_372"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24" Type="http://schemas.openxmlformats.org/officeDocument/2006/relationships/hyperlink" Target="http://www.westlaw.com/Link/Document/FullText?findType=Y&amp;serNum=2012592270&amp;pubNum=0000804&amp;originatingDoc=I3ab197c0922311eb86f0fe514fc262aa&amp;refType=RP&amp;fi=co_pp_sp_804_753&amp;originationContext=document&amp;vr=3.0&amp;rs=cblt1.0&amp;transitionType=DocumentItem&amp;contextData=(sc.Search)#co_pp_sp_804_753" TargetMode="External"/><Relationship Id="rId32" Type="http://schemas.openxmlformats.org/officeDocument/2006/relationships/hyperlink" Target="http://www.westlaw.com/Link/Document/FullText?findType=Y&amp;serNum=1988146785&amp;pubNum=0000800&amp;originatingDoc=I3ab197c0922311eb86f0fe514fc262aa&amp;refType=RP&amp;fi=co_pp_sp_800_693&amp;originationContext=document&amp;vr=3.0&amp;rs=cblt1.0&amp;transitionType=DocumentItem&amp;contextData=(sc.Search)#co_pp_sp_800_693" TargetMode="External"/><Relationship Id="rId37" Type="http://schemas.openxmlformats.org/officeDocument/2006/relationships/hyperlink" Target="http://www.westlaw.com/Link/Document/FullText?findType=Y&amp;serNum=2011492405&amp;pubNum=0000800&amp;originatingDoc=I3ab197c0922311eb86f0fe514fc262aa&amp;refType=RP&amp;fi=co_pp_sp_800_335&amp;originationContext=document&amp;vr=3.0&amp;rs=cblt1.0&amp;transitionType=DocumentItem&amp;contextData=(sc.Search)#co_pp_sp_800_335" TargetMode="External"/><Relationship Id="rId40" Type="http://schemas.openxmlformats.org/officeDocument/2006/relationships/hyperlink" Target="http://www.westlaw.com/Link/Document/FullText?findType=L&amp;pubNum=1000259&amp;cite=WAST4.28.185&amp;originatingDoc=I3ab197c0922311eb86f0fe514fc262aa&amp;refType=SP&amp;originationContext=document&amp;vr=3.0&amp;rs=cblt1.0&amp;transitionType=DocumentItem&amp;contextData=(sc.Search)#co_pp_0bd500007a412" TargetMode="External"/><Relationship Id="rId45" Type="http://schemas.openxmlformats.org/officeDocument/2006/relationships/hyperlink" Target="http://www.westlaw.com/Link/Document/FullText?findType=L&amp;pubNum=1000259&amp;cite=WAST4.28.185&amp;originatingDoc=I3ab197c0922311eb86f0fe514fc262aa&amp;refType=SP&amp;originationContext=document&amp;vr=3.0&amp;rs=cblt1.0&amp;transitionType=DocumentItem&amp;contextData=(sc.Search)#co_pp_0bd500007a412" TargetMode="External"/><Relationship Id="rId5" Type="http://schemas.openxmlformats.org/officeDocument/2006/relationships/endnotes" Target="endnotes.xml"/><Relationship Id="rId15"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23" Type="http://schemas.openxmlformats.org/officeDocument/2006/relationships/hyperlink" Target="http://www.westlaw.com/Link/Document/FullText?findType=Y&amp;serNum=2034254782&amp;pubNum=0000800&amp;originatingDoc=I3ab197c0922311eb86f0fe514fc262aa&amp;refType=RP&amp;fi=co_pp_sp_800_446&amp;originationContext=document&amp;vr=3.0&amp;rs=cblt1.0&amp;transitionType=DocumentItem&amp;contextData=(sc.Search)#co_pp_sp_800_446" TargetMode="External"/><Relationship Id="rId28" Type="http://schemas.openxmlformats.org/officeDocument/2006/relationships/hyperlink" Target="http://www.westlaw.com/Link/Document/FullText?findType=Y&amp;serNum=1992157431&amp;pubNum=0000804&amp;originatingDoc=I3ab197c0922311eb86f0fe514fc262aa&amp;refType=RP&amp;fi=co_pp_sp_804_669&amp;originationContext=document&amp;vr=3.0&amp;rs=cblt1.0&amp;transitionType=DocumentItem&amp;contextData=(sc.Search)#co_pp_sp_804_669" TargetMode="External"/><Relationship Id="rId36" Type="http://schemas.openxmlformats.org/officeDocument/2006/relationships/hyperlink" Target="http://www.westlaw.com/Link/Document/FullText?findType=Y&amp;serNum=1982136717&amp;pubNum=0000804&amp;originatingDoc=I3ab197c0922311eb86f0fe514fc262aa&amp;refType=RP&amp;fi=co_pp_sp_804_696&amp;originationContext=document&amp;vr=3.0&amp;rs=cblt1.0&amp;transitionType=DocumentItem&amp;contextData=(sc.Search)#co_pp_sp_804_696" TargetMode="External"/><Relationship Id="rId49" Type="http://schemas.openxmlformats.org/officeDocument/2006/relationships/fontTable" Target="fontTable.xml"/><Relationship Id="rId10" Type="http://schemas.openxmlformats.org/officeDocument/2006/relationships/hyperlink" Target="http://www.westlaw.com/Link/Document/FullText?findType=L&amp;pubNum=1000259&amp;cite=WAST7.28.300&amp;originatingDoc=I3ab197c0922311eb86f0fe514fc262aa&amp;refType=LQ&amp;originationContext=document&amp;vr=3.0&amp;rs=cblt1.0&amp;transitionType=DocumentItem&amp;contextData=(sc.Search)" TargetMode="External"/><Relationship Id="rId19" Type="http://schemas.openxmlformats.org/officeDocument/2006/relationships/hyperlink" Target="http://www.westlaw.com/Link/Document/FullText?findType=L&amp;pubNum=1003982&amp;cite=WARSUPERCTCIVCR55&amp;originatingDoc=I3ab197c0922311eb86f0fe514fc262aa&amp;refType=LQ&amp;originationContext=document&amp;vr=3.0&amp;rs=cblt1.0&amp;transitionType=DocumentItem&amp;contextData=(sc.Search)" TargetMode="External"/><Relationship Id="rId31" Type="http://schemas.openxmlformats.org/officeDocument/2006/relationships/hyperlink" Target="http://www.westlaw.com/Link/Document/FullText?findType=Y&amp;serNum=1975126314&amp;pubNum=0000800&amp;originatingDoc=I3ab197c0922311eb86f0fe514fc262aa&amp;refType=RP&amp;fi=co_pp_sp_800_380&amp;originationContext=document&amp;vr=3.0&amp;rs=cblt1.0&amp;transitionType=DocumentItem&amp;contextData=(sc.Search)#co_pp_sp_800_380" TargetMode="External"/><Relationship Id="rId44"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4" Type="http://schemas.openxmlformats.org/officeDocument/2006/relationships/footnotes" Target="footnotes.xml"/><Relationship Id="rId9" Type="http://schemas.openxmlformats.org/officeDocument/2006/relationships/hyperlink" Target="http://www.westlaw.com/Link/Document/FullText?findType=L&amp;pubNum=1000259&amp;cite=WAST7.28.300&amp;originatingDoc=I3ab197c0922311eb86f0fe514fc262aa&amp;refType=LQ&amp;originationContext=document&amp;vr=3.0&amp;rs=cblt1.0&amp;transitionType=DocumentItem&amp;contextData=(sc.Search)" TargetMode="External"/><Relationship Id="rId14" Type="http://schemas.openxmlformats.org/officeDocument/2006/relationships/hyperlink" Target="http://www.westlaw.com/Link/Document/FullText?findType=L&amp;pubNum=1000259&amp;cite=WAST4.28.185&amp;originatingDoc=I3ab197c0922311eb86f0fe514fc262aa&amp;refType=LQ&amp;originationContext=document&amp;vr=3.0&amp;rs=cblt1.0&amp;transitionType=DocumentItem&amp;contextData=(sc.Search)" TargetMode="External"/><Relationship Id="rId22" Type="http://schemas.openxmlformats.org/officeDocument/2006/relationships/hyperlink" Target="http://www.westlaw.com/Link/Document/FullText?findType=L&amp;pubNum=1003982&amp;cite=WARSUPERCTCIVCR60&amp;originatingDoc=I3ab197c0922311eb86f0fe514fc262aa&amp;refType=LQ&amp;originationContext=document&amp;vr=3.0&amp;rs=cblt1.0&amp;transitionType=DocumentItem&amp;contextData=(sc.Search)" TargetMode="External"/><Relationship Id="rId27" Type="http://schemas.openxmlformats.org/officeDocument/2006/relationships/hyperlink" Target="http://www.westlaw.com/Link/Document/FullText?findType=Y&amp;serNum=2047957874&amp;pubNum=0008071&amp;originatingDoc=I3ab197c0922311eb86f0fe514fc262aa&amp;refType=RP&amp;fi=co_pp_sp_8071_552&amp;originationContext=document&amp;vr=3.0&amp;rs=cblt1.0&amp;transitionType=DocumentItem&amp;contextData=(sc.Search)#co_pp_sp_8071_552" TargetMode="External"/><Relationship Id="rId30" Type="http://schemas.openxmlformats.org/officeDocument/2006/relationships/hyperlink" Target="http://www.westlaw.com/Link/Document/FullText?findType=L&amp;pubNum=1000259&amp;cite=WAST4.28.185&amp;originatingDoc=I3ab197c0922311eb86f0fe514fc262aa&amp;refType=SP&amp;originationContext=document&amp;vr=3.0&amp;rs=cblt1.0&amp;transitionType=DocumentItem&amp;contextData=(sc.Search)#co_pp_0bd500007a412" TargetMode="External"/><Relationship Id="rId35" Type="http://schemas.openxmlformats.org/officeDocument/2006/relationships/hyperlink" Target="http://www.westlaw.com/Link/Document/FullText?findType=Y&amp;serNum=2011492405&amp;pubNum=0000800&amp;originatingDoc=I3ab197c0922311eb86f0fe514fc262aa&amp;refType=RP&amp;fi=co_pp_sp_800_334&amp;originationContext=document&amp;vr=3.0&amp;rs=cblt1.0&amp;transitionType=DocumentItem&amp;contextData=(sc.Search)#co_pp_sp_800_334" TargetMode="External"/><Relationship Id="rId43" Type="http://schemas.openxmlformats.org/officeDocument/2006/relationships/hyperlink" Target="http://www.westlaw.com/Link/Document/FullText?findType=Y&amp;serNum=1997238328&amp;pubNum=0000800&amp;originatingDoc=I3ab197c0922311eb86f0fe514fc262aa&amp;refType=RP&amp;fi=co_pp_sp_800_871&amp;originationContext=document&amp;vr=3.0&amp;rs=cblt1.0&amp;transitionType=DocumentItem&amp;contextData=(sc.Search)#co_pp_sp_800_871" TargetMode="External"/><Relationship Id="rId48" Type="http://schemas.openxmlformats.org/officeDocument/2006/relationships/hyperlink" Target="http://www.westlaw.com/Link/Document/FullText?findType=h&amp;pubNum=176284&amp;cite=0230068301&amp;originatingDoc=I3ab197c0922311eb86f0fe514fc262aa&amp;refType=RQ&amp;originationContext=document&amp;vr=3.0&amp;rs=cblt1.0&amp;transitionType=DocumentItem&amp;contextData=(sc.Search)" TargetMode="External"/><Relationship Id="rId8" Type="http://schemas.openxmlformats.org/officeDocument/2006/relationships/hyperlink" Target="http://www.westlaw.com/Link/Document/FullText?findType=h&amp;pubNum=176284&amp;cite=0513257201&amp;originatingDoc=I3ab197c0922311eb86f0fe514fc262aa&amp;refType=RQ&amp;originationContext=document&amp;vr=3.0&amp;rs=cblt1.0&amp;transitionType=DocumentItem&amp;contextData=(sc.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4151</Words>
  <Characters>23663</Characters>
  <Application>Microsoft Office Word</Application>
  <DocSecurity>0</DocSecurity>
  <Lines>197</Lines>
  <Paragraphs>55</Paragraphs>
  <ScaleCrop>false</ScaleCrop>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2021-04-16T22:46:00Z</dcterms:created>
  <dcterms:modified xsi:type="dcterms:W3CDTF">2021-04-16T22:46:00Z</dcterms:modified>
</cp:coreProperties>
</file>