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FDA7" w14:textId="77777777" w:rsidR="00000000" w:rsidRDefault="0066374B">
      <w:pPr>
        <w:widowControl w:val="0"/>
        <w:autoSpaceDE w:val="0"/>
        <w:autoSpaceDN w:val="0"/>
        <w:adjustRightInd w:val="0"/>
        <w:spacing w:after="0" w:line="240" w:lineRule="auto"/>
        <w:rPr>
          <w:rFonts w:ascii="Times New Roman" w:hAnsi="Times New Roman" w:cs="Times New Roman"/>
          <w:color w:val="000000"/>
          <w:sz w:val="24"/>
          <w:szCs w:val="24"/>
        </w:rPr>
      </w:pPr>
    </w:p>
    <w:p w14:paraId="783CBE44" w14:textId="77777777" w:rsidR="00000000" w:rsidRDefault="0066374B">
      <w:pPr>
        <w:widowControl w:val="0"/>
        <w:autoSpaceDE w:val="0"/>
        <w:autoSpaceDN w:val="0"/>
        <w:adjustRightInd w:val="0"/>
        <w:spacing w:after="0" w:line="240" w:lineRule="auto"/>
        <w:rPr>
          <w:rFonts w:ascii="Arial" w:hAnsi="Arial" w:cs="Arial"/>
          <w:sz w:val="24"/>
          <w:szCs w:val="24"/>
        </w:rPr>
        <w:sectPr w:rsidR="00000000">
          <w:headerReference w:type="default" r:id="rId6"/>
          <w:footerReference w:type="default" r:id="rId7"/>
          <w:pgSz w:w="12240" w:h="15840"/>
          <w:pgMar w:top="1080" w:right="1080" w:bottom="1080" w:left="1080" w:header="720" w:footer="720" w:gutter="0"/>
          <w:cols w:space="720"/>
          <w:noEndnote/>
        </w:sectPr>
      </w:pPr>
    </w:p>
    <w:p w14:paraId="4D5C254C"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0" w:name="co_document_1"/>
      <w:bookmarkStart w:id="1" w:name="Id6bd0e7007a311eba034d891cc25f3cc_Target"/>
      <w:bookmarkEnd w:id="0"/>
      <w:bookmarkEnd w:id="1"/>
    </w:p>
    <w:p w14:paraId="630FB258" w14:textId="77777777" w:rsidR="00000000" w:rsidRDefault="0066374B">
      <w:pPr>
        <w:widowControl w:val="0"/>
        <w:autoSpaceDE w:val="0"/>
        <w:autoSpaceDN w:val="0"/>
        <w:adjustRightInd w:val="0"/>
        <w:spacing w:before="100" w:after="0" w:line="240" w:lineRule="auto"/>
        <w:jc w:val="center"/>
        <w:rPr>
          <w:rFonts w:ascii="Georgia" w:hAnsi="Georgia" w:cs="Georgia"/>
          <w:color w:val="000000"/>
          <w:sz w:val="20"/>
          <w:szCs w:val="20"/>
        </w:rPr>
      </w:pPr>
      <w:r>
        <w:rPr>
          <w:rFonts w:ascii="Georgia" w:hAnsi="Georgia" w:cs="Georgia"/>
          <w:color w:val="000000"/>
          <w:sz w:val="20"/>
          <w:szCs w:val="20"/>
        </w:rPr>
        <w:t>14 Wash.App.2d 1046</w:t>
      </w:r>
    </w:p>
    <w:p w14:paraId="6C39BCB9" w14:textId="77777777" w:rsidR="00000000" w:rsidRDefault="0066374B">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UNPUBLISHED OPINION, SEE WA R GEN GR 14.1</w:t>
      </w:r>
    </w:p>
    <w:p w14:paraId="7E09EE7A" w14:textId="77777777" w:rsidR="00000000" w:rsidRDefault="0066374B">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Court of Appeals of Washington, Division 1.</w:t>
      </w:r>
    </w:p>
    <w:p w14:paraId="5E0EC677" w14:textId="77777777" w:rsidR="00000000" w:rsidRDefault="0066374B">
      <w:pPr>
        <w:widowControl w:val="0"/>
        <w:autoSpaceDE w:val="0"/>
        <w:autoSpaceDN w:val="0"/>
        <w:adjustRightInd w:val="0"/>
        <w:spacing w:before="240" w:after="0" w:line="240" w:lineRule="auto"/>
        <w:ind w:left="120" w:right="120"/>
        <w:jc w:val="center"/>
        <w:rPr>
          <w:rFonts w:ascii="Georgia" w:hAnsi="Georgia" w:cs="Georgia"/>
          <w:color w:val="252525"/>
          <w:sz w:val="24"/>
          <w:szCs w:val="24"/>
        </w:rPr>
      </w:pPr>
      <w:r>
        <w:rPr>
          <w:rFonts w:ascii="Georgia" w:hAnsi="Georgia" w:cs="Georgia"/>
          <w:color w:val="252525"/>
          <w:sz w:val="24"/>
          <w:szCs w:val="24"/>
        </w:rPr>
        <w:t>Gregory E. GRAHN and Susan M. Grahn, husband and wife, Appellants,</w:t>
      </w:r>
    </w:p>
    <w:p w14:paraId="77E09EB7" w14:textId="77777777" w:rsidR="00000000" w:rsidRDefault="0066374B">
      <w:pPr>
        <w:widowControl w:val="0"/>
        <w:autoSpaceDE w:val="0"/>
        <w:autoSpaceDN w:val="0"/>
        <w:adjustRightInd w:val="0"/>
        <w:spacing w:after="0" w:line="240" w:lineRule="auto"/>
        <w:ind w:left="120" w:right="120"/>
        <w:jc w:val="center"/>
        <w:rPr>
          <w:rFonts w:ascii="Georgia" w:hAnsi="Georgia" w:cs="Georgia"/>
          <w:color w:val="252525"/>
          <w:sz w:val="24"/>
          <w:szCs w:val="24"/>
        </w:rPr>
      </w:pPr>
      <w:r>
        <w:rPr>
          <w:rFonts w:ascii="Georgia" w:hAnsi="Georgia" w:cs="Georgia"/>
          <w:color w:val="252525"/>
          <w:sz w:val="24"/>
          <w:szCs w:val="24"/>
        </w:rPr>
        <w:t>v.</w:t>
      </w:r>
    </w:p>
    <w:p w14:paraId="7F35CA5D" w14:textId="77777777" w:rsidR="00000000" w:rsidRDefault="0066374B">
      <w:pPr>
        <w:widowControl w:val="0"/>
        <w:autoSpaceDE w:val="0"/>
        <w:autoSpaceDN w:val="0"/>
        <w:adjustRightInd w:val="0"/>
        <w:spacing w:after="0" w:line="240" w:lineRule="auto"/>
        <w:ind w:left="120" w:right="120"/>
        <w:jc w:val="center"/>
        <w:rPr>
          <w:rFonts w:ascii="Georgia" w:hAnsi="Georgia" w:cs="Georgia"/>
          <w:color w:val="252525"/>
          <w:sz w:val="24"/>
          <w:szCs w:val="24"/>
        </w:rPr>
      </w:pPr>
      <w:r>
        <w:rPr>
          <w:rFonts w:ascii="Georgia" w:hAnsi="Georgia" w:cs="Georgia"/>
          <w:color w:val="252525"/>
          <w:sz w:val="24"/>
          <w:szCs w:val="24"/>
        </w:rPr>
        <w:t>The BANK OF NEW YORK MELLON CORPORATION, AS TRUSTEE FOR the CERTIFICATE HO</w:t>
      </w:r>
      <w:r>
        <w:rPr>
          <w:rFonts w:ascii="Georgia" w:hAnsi="Georgia" w:cs="Georgia"/>
          <w:color w:val="252525"/>
          <w:sz w:val="24"/>
          <w:szCs w:val="24"/>
        </w:rPr>
        <w:t>LDERS OF CWALT, INC., ALTERNATIVE LOAN TRUST 2007-9T1 MORTGAGE PASS-THROUGH CERTIFICATES SERIES 2007-9T1, Respondent.</w:t>
      </w:r>
    </w:p>
    <w:p w14:paraId="4DA1439A" w14:textId="77777777" w:rsidR="00000000" w:rsidRDefault="0066374B">
      <w:pPr>
        <w:widowControl w:val="0"/>
        <w:autoSpaceDE w:val="0"/>
        <w:autoSpaceDN w:val="0"/>
        <w:adjustRightInd w:val="0"/>
        <w:spacing w:after="240" w:line="240" w:lineRule="auto"/>
        <w:ind w:left="120" w:right="120"/>
        <w:jc w:val="center"/>
        <w:rPr>
          <w:rFonts w:ascii="Georgia" w:hAnsi="Georgia" w:cs="Georgia"/>
          <w:color w:val="252525"/>
          <w:sz w:val="24"/>
          <w:szCs w:val="24"/>
        </w:rPr>
      </w:pPr>
      <w:r>
        <w:rPr>
          <w:rFonts w:ascii="Georgia" w:hAnsi="Georgia" w:cs="Georgia"/>
          <w:color w:val="252525"/>
          <w:sz w:val="24"/>
          <w:szCs w:val="24"/>
        </w:rPr>
        <w:t>Mortgage Electronic Registration Systems, Inc.; Nisqually Bluff Homeowners</w:t>
      </w:r>
      <w:r>
        <w:rPr>
          <w:rFonts w:ascii="Georgia" w:hAnsi="Georgia" w:cs="Georgia"/>
          <w:color w:val="252525"/>
          <w:sz w:val="24"/>
          <w:szCs w:val="24"/>
        </w:rPr>
        <w:t>’</w:t>
      </w:r>
      <w:r>
        <w:rPr>
          <w:rFonts w:ascii="Georgia" w:hAnsi="Georgia" w:cs="Georgia"/>
          <w:color w:val="252525"/>
          <w:sz w:val="24"/>
          <w:szCs w:val="24"/>
        </w:rPr>
        <w:t xml:space="preserve"> Association, Defendants.</w:t>
      </w:r>
    </w:p>
    <w:p w14:paraId="3EAB417D" w14:textId="77777777" w:rsidR="00000000" w:rsidRDefault="0066374B">
      <w:pPr>
        <w:widowControl w:val="0"/>
        <w:autoSpaceDE w:val="0"/>
        <w:autoSpaceDN w:val="0"/>
        <w:adjustRightInd w:val="0"/>
        <w:spacing w:after="0" w:line="240" w:lineRule="auto"/>
        <w:ind w:left="200"/>
        <w:jc w:val="center"/>
        <w:rPr>
          <w:rFonts w:ascii="Georgia" w:hAnsi="Georgia" w:cs="Georgia"/>
          <w:color w:val="000000"/>
          <w:sz w:val="20"/>
          <w:szCs w:val="20"/>
        </w:rPr>
      </w:pPr>
      <w:r>
        <w:rPr>
          <w:rFonts w:ascii="Georgia" w:hAnsi="Georgia" w:cs="Georgia"/>
          <w:color w:val="000000"/>
          <w:sz w:val="20"/>
          <w:szCs w:val="20"/>
        </w:rPr>
        <w:t>No. 80107-4-I</w:t>
      </w:r>
    </w:p>
    <w:p w14:paraId="4AFC2A62" w14:textId="77777777" w:rsidR="00000000" w:rsidRDefault="0066374B">
      <w:pPr>
        <w:widowControl w:val="0"/>
        <w:autoSpaceDE w:val="0"/>
        <w:autoSpaceDN w:val="0"/>
        <w:adjustRightInd w:val="0"/>
        <w:spacing w:after="0" w:line="240" w:lineRule="auto"/>
        <w:ind w:left="200"/>
        <w:jc w:val="center"/>
        <w:rPr>
          <w:rFonts w:ascii="Georgia" w:hAnsi="Georgia" w:cs="Georgia"/>
          <w:color w:val="000000"/>
          <w:sz w:val="20"/>
          <w:szCs w:val="20"/>
        </w:rPr>
      </w:pPr>
      <w:r>
        <w:rPr>
          <w:rFonts w:ascii="Georgia" w:hAnsi="Georgia" w:cs="Georgia"/>
          <w:color w:val="000000"/>
          <w:sz w:val="20"/>
          <w:szCs w:val="20"/>
        </w:rPr>
        <w:t>|</w:t>
      </w:r>
    </w:p>
    <w:p w14:paraId="46F2C080" w14:textId="77777777" w:rsidR="00000000" w:rsidRDefault="0066374B">
      <w:pPr>
        <w:widowControl w:val="0"/>
        <w:autoSpaceDE w:val="0"/>
        <w:autoSpaceDN w:val="0"/>
        <w:adjustRightInd w:val="0"/>
        <w:spacing w:after="200" w:line="240" w:lineRule="auto"/>
        <w:ind w:left="200"/>
        <w:jc w:val="center"/>
        <w:rPr>
          <w:rFonts w:ascii="Georgia" w:hAnsi="Georgia" w:cs="Georgia"/>
          <w:color w:val="000000"/>
          <w:sz w:val="20"/>
          <w:szCs w:val="20"/>
        </w:rPr>
      </w:pPr>
      <w:r>
        <w:rPr>
          <w:rFonts w:ascii="Georgia" w:hAnsi="Georgia" w:cs="Georgia"/>
          <w:color w:val="000000"/>
          <w:sz w:val="20"/>
          <w:szCs w:val="20"/>
        </w:rPr>
        <w:t>FILED 10/5/2020</w:t>
      </w:r>
    </w:p>
    <w:p w14:paraId="69CFD29A" w14:textId="77777777" w:rsidR="00000000" w:rsidRDefault="0066374B">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Appeal from Thurston Superior Court, Docket No: 17-2-01029-1, Honorable </w:t>
      </w:r>
      <w:hyperlink r:id="rId8" w:history="1">
        <w:r>
          <w:rPr>
            <w:rFonts w:ascii="Times New Roman" w:hAnsi="Times New Roman" w:cs="Times New Roman"/>
            <w:color w:val="0000FF"/>
            <w:sz w:val="20"/>
            <w:szCs w:val="20"/>
          </w:rPr>
          <w:t>Christopher Lanese</w:t>
        </w:r>
      </w:hyperlink>
      <w:r>
        <w:rPr>
          <w:rFonts w:ascii="Times New Roman" w:hAnsi="Times New Roman" w:cs="Times New Roman"/>
          <w:color w:val="000000"/>
          <w:sz w:val="20"/>
          <w:szCs w:val="20"/>
        </w:rPr>
        <w:t>, Judge</w:t>
      </w:r>
    </w:p>
    <w:p w14:paraId="64CF518F" w14:textId="77777777" w:rsidR="00000000" w:rsidRDefault="0066374B">
      <w:pPr>
        <w:widowControl w:val="0"/>
        <w:autoSpaceDE w:val="0"/>
        <w:autoSpaceDN w:val="0"/>
        <w:adjustRightInd w:val="0"/>
        <w:spacing w:before="200" w:after="200" w:line="240" w:lineRule="auto"/>
        <w:jc w:val="both"/>
        <w:rPr>
          <w:rFonts w:ascii="Times New Roman" w:hAnsi="Times New Roman" w:cs="Times New Roman"/>
          <w:b/>
          <w:bCs/>
          <w:color w:val="212121"/>
          <w:sz w:val="20"/>
          <w:szCs w:val="20"/>
        </w:rPr>
      </w:pPr>
      <w:bookmarkStart w:id="2" w:name="co_attorneysAndLawFirms_1"/>
      <w:bookmarkEnd w:id="2"/>
      <w:r>
        <w:rPr>
          <w:rFonts w:ascii="Times New Roman" w:hAnsi="Times New Roman" w:cs="Times New Roman"/>
          <w:b/>
          <w:bCs/>
          <w:color w:val="212121"/>
          <w:sz w:val="20"/>
          <w:szCs w:val="20"/>
        </w:rPr>
        <w:t>Attorneys and Law Firms</w:t>
      </w:r>
    </w:p>
    <w:p w14:paraId="0078BF35"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9" w:history="1">
        <w:r>
          <w:rPr>
            <w:rFonts w:ascii="Times New Roman" w:hAnsi="Times New Roman" w:cs="Times New Roman"/>
            <w:color w:val="0000FF"/>
            <w:sz w:val="20"/>
            <w:szCs w:val="20"/>
          </w:rPr>
          <w:t>Kevin Hochhalter</w:t>
        </w:r>
      </w:hyperlink>
      <w:r>
        <w:rPr>
          <w:rFonts w:ascii="Times New Roman" w:hAnsi="Times New Roman" w:cs="Times New Roman"/>
          <w:color w:val="000000"/>
          <w:sz w:val="20"/>
          <w:szCs w:val="20"/>
        </w:rPr>
        <w:t>, Olympic Appeals PLLC, Po Box 55, Adna, WA, 98522-0055, for Appellants.</w:t>
      </w:r>
    </w:p>
    <w:p w14:paraId="334C0914" w14:textId="77777777" w:rsidR="00000000" w:rsidRDefault="0066374B">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10" w:history="1">
        <w:r>
          <w:rPr>
            <w:rFonts w:ascii="Times New Roman" w:hAnsi="Times New Roman" w:cs="Times New Roman"/>
            <w:color w:val="0000FF"/>
            <w:sz w:val="20"/>
            <w:szCs w:val="20"/>
          </w:rPr>
          <w:t>Anthony Carmen Soldato</w:t>
        </w:r>
      </w:hyperlink>
      <w:r>
        <w:rPr>
          <w:rFonts w:ascii="Times New Roman" w:hAnsi="Times New Roman" w:cs="Times New Roman"/>
          <w:color w:val="000000"/>
          <w:sz w:val="20"/>
          <w:szCs w:val="20"/>
        </w:rPr>
        <w:t xml:space="preserve">, </w:t>
      </w:r>
      <w:hyperlink r:id="rId11" w:history="1">
        <w:r>
          <w:rPr>
            <w:rFonts w:ascii="Times New Roman" w:hAnsi="Times New Roman" w:cs="Times New Roman"/>
            <w:color w:val="0000FF"/>
            <w:sz w:val="20"/>
            <w:szCs w:val="20"/>
          </w:rPr>
          <w:t>Gregor Hensrude</w:t>
        </w:r>
      </w:hyperlink>
      <w:r>
        <w:rPr>
          <w:rFonts w:ascii="Times New Roman" w:hAnsi="Times New Roman" w:cs="Times New Roman"/>
          <w:color w:val="000000"/>
          <w:sz w:val="20"/>
          <w:szCs w:val="20"/>
        </w:rPr>
        <w:t>, Klinedinst</w:t>
      </w:r>
      <w:r>
        <w:rPr>
          <w:rFonts w:ascii="Times New Roman" w:hAnsi="Times New Roman" w:cs="Times New Roman"/>
          <w:color w:val="000000"/>
          <w:sz w:val="20"/>
          <w:szCs w:val="20"/>
        </w:rPr>
        <w:t xml:space="preserve"> PC, 701 5th Ave., Ste. 1220, Seattle, WA, 98104-7007, Stephanie Diane Olson, Attorney at Law, 19112 Ne 168th St., Woodinville, WA, 98072-9104, for Respondent.</w:t>
      </w:r>
    </w:p>
    <w:p w14:paraId="07052048" w14:textId="77777777" w:rsidR="00000000" w:rsidRDefault="0066374B">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12" w:history="1">
        <w:r>
          <w:rPr>
            <w:rFonts w:ascii="Times New Roman" w:hAnsi="Times New Roman" w:cs="Times New Roman"/>
            <w:color w:val="0000FF"/>
            <w:sz w:val="20"/>
            <w:szCs w:val="20"/>
          </w:rPr>
          <w:t>R. Alan Swanson</w:t>
        </w:r>
      </w:hyperlink>
      <w:r>
        <w:rPr>
          <w:rFonts w:ascii="Times New Roman" w:hAnsi="Times New Roman" w:cs="Times New Roman"/>
          <w:color w:val="000000"/>
          <w:sz w:val="20"/>
          <w:szCs w:val="20"/>
        </w:rPr>
        <w:t>, Swanson Law Firm, PLLC, 914 7th Ave. Se, Olympia, WA, 98501-1548, for Other</w:t>
      </w:r>
      <w:r>
        <w:rPr>
          <w:rFonts w:ascii="Times New Roman" w:hAnsi="Times New Roman" w:cs="Times New Roman"/>
          <w:color w:val="000000"/>
          <w:sz w:val="20"/>
          <w:szCs w:val="20"/>
        </w:rPr>
        <w:t xml:space="preserve"> Parties.</w:t>
      </w:r>
    </w:p>
    <w:p w14:paraId="6AB42B3B" w14:textId="77777777" w:rsidR="00000000" w:rsidRDefault="0066374B">
      <w:pPr>
        <w:widowControl w:val="0"/>
        <w:autoSpaceDE w:val="0"/>
        <w:autoSpaceDN w:val="0"/>
        <w:adjustRightInd w:val="0"/>
        <w:spacing w:after="0" w:line="240" w:lineRule="auto"/>
        <w:jc w:val="both"/>
        <w:rPr>
          <w:rFonts w:ascii="Times New Roman" w:hAnsi="Times New Roman" w:cs="Times New Roman"/>
          <w:b/>
          <w:bCs/>
          <w:color w:val="212121"/>
          <w:sz w:val="20"/>
          <w:szCs w:val="20"/>
        </w:rPr>
      </w:pPr>
      <w:bookmarkStart w:id="3" w:name="co_opinion_1"/>
      <w:bookmarkEnd w:id="3"/>
    </w:p>
    <w:p w14:paraId="1CEB5A0E"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 w:name="co_anchor_Iec1c89424d8e11ebacebac3a102d6"/>
      <w:bookmarkEnd w:id="4"/>
    </w:p>
    <w:p w14:paraId="0BEA7E31"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3DF7CCA2"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 w:name="co_anchor_Iec27d3e14d8e11ebacebac3a102d6"/>
      <w:bookmarkEnd w:id="5"/>
    </w:p>
    <w:p w14:paraId="66722A7B" w14:textId="77777777" w:rsidR="00000000" w:rsidRDefault="0066374B">
      <w:pPr>
        <w:widowControl w:val="0"/>
        <w:autoSpaceDE w:val="0"/>
        <w:autoSpaceDN w:val="0"/>
        <w:adjustRightInd w:val="0"/>
        <w:spacing w:before="800"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UNPUBLISHED OPINION</w:t>
      </w:r>
    </w:p>
    <w:p w14:paraId="44D4A366" w14:textId="77777777" w:rsidR="00000000" w:rsidRDefault="0066374B">
      <w:pPr>
        <w:widowControl w:val="0"/>
        <w:autoSpaceDE w:val="0"/>
        <w:autoSpaceDN w:val="0"/>
        <w:adjustRightInd w:val="0"/>
        <w:spacing w:before="200" w:after="200" w:line="240" w:lineRule="auto"/>
        <w:jc w:val="both"/>
        <w:rPr>
          <w:rFonts w:ascii="Times New Roman" w:hAnsi="Times New Roman" w:cs="Times New Roman"/>
          <w:color w:val="000000"/>
          <w:sz w:val="20"/>
          <w:szCs w:val="20"/>
        </w:rPr>
      </w:pPr>
      <w:hyperlink r:id="rId13" w:history="1">
        <w:r>
          <w:rPr>
            <w:rFonts w:ascii="Times New Roman" w:hAnsi="Times New Roman" w:cs="Times New Roman"/>
            <w:color w:val="0000FF"/>
            <w:sz w:val="20"/>
            <w:szCs w:val="20"/>
          </w:rPr>
          <w:t>Verellen</w:t>
        </w:r>
      </w:hyperlink>
      <w:r>
        <w:rPr>
          <w:rFonts w:ascii="Times New Roman" w:hAnsi="Times New Roman" w:cs="Times New Roman"/>
          <w:color w:val="000000"/>
          <w:sz w:val="20"/>
          <w:szCs w:val="20"/>
        </w:rPr>
        <w:t>, J.</w:t>
      </w:r>
    </w:p>
    <w:p w14:paraId="2C8D5D6B"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 w:name="co_pp_sp_999_1_1"/>
      <w:bookmarkEnd w:id="6"/>
      <w:r>
        <w:rPr>
          <w:rFonts w:ascii="Times New Roman" w:hAnsi="Times New Roman" w:cs="Times New Roman"/>
          <w:b/>
          <w:bCs/>
          <w:color w:val="000000"/>
          <w:sz w:val="20"/>
          <w:szCs w:val="20"/>
        </w:rPr>
        <w:t>*1</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 In this declaratory judgment action to quiet title, Gregory and Susan Grahn contend that Bank of New York Mellon Trust (BNY) is an ineligible beneficiary of a</w:t>
      </w:r>
      <w:r>
        <w:rPr>
          <w:rFonts w:ascii="Times New Roman" w:hAnsi="Times New Roman" w:cs="Times New Roman"/>
          <w:color w:val="000000"/>
          <w:sz w:val="20"/>
          <w:szCs w:val="20"/>
        </w:rPr>
        <w:t xml:space="preserve"> deed of trust for lack of any interest in the underlying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Because a declaration from the loan service provider adequately establishes that BNY is the holder of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it is a lawful beneficiary.</w:t>
      </w:r>
    </w:p>
    <w:p w14:paraId="464591C9"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F6A388"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 Grahn also contends that after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and de</w:t>
      </w:r>
      <w:r>
        <w:rPr>
          <w:rFonts w:ascii="Times New Roman" w:hAnsi="Times New Roman" w:cs="Times New Roman"/>
          <w:color w:val="000000"/>
          <w:sz w:val="20"/>
          <w:szCs w:val="20"/>
        </w:rPr>
        <w:t xml:space="preserve">ed of trust were </w:t>
      </w:r>
      <w:r>
        <w:rPr>
          <w:rFonts w:ascii="Times New Roman" w:hAnsi="Times New Roman" w:cs="Times New Roman"/>
          <w:color w:val="000000"/>
          <w:sz w:val="20"/>
          <w:szCs w:val="20"/>
        </w:rPr>
        <w:t>“</w:t>
      </w:r>
      <w:r>
        <w:rPr>
          <w:rFonts w:ascii="Times New Roman" w:hAnsi="Times New Roman" w:cs="Times New Roman"/>
          <w:color w:val="000000"/>
          <w:sz w:val="20"/>
          <w:szCs w:val="20"/>
        </w:rPr>
        <w:t>split,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debt was subject to the bankruptcy order discharging unsecured debts, but he fails to provide persuasive authority that the split-the-</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theory has any application here.</w:t>
      </w:r>
    </w:p>
    <w:p w14:paraId="11EC9E9B"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8D6013"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 Grahn contends the six-year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w:t>
      </w:r>
      <w:r>
        <w:rPr>
          <w:rFonts w:ascii="Times New Roman" w:hAnsi="Times New Roman" w:cs="Times New Roman"/>
          <w:b/>
          <w:bCs/>
          <w:color w:val="252525"/>
          <w:sz w:val="20"/>
          <w:szCs w:val="20"/>
          <w:shd w:val="clear" w:color="auto" w:fill="FFFF66"/>
        </w:rPr>
        <w:t>ns</w:t>
      </w:r>
      <w:r>
        <w:rPr>
          <w:rFonts w:ascii="Times New Roman" w:hAnsi="Times New Roman" w:cs="Times New Roman"/>
          <w:color w:val="000000"/>
          <w:sz w:val="20"/>
          <w:szCs w:val="20"/>
        </w:rPr>
        <w:t xml:space="preserve"> has expired because the installment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was accelerated in 2009. But the mere notice of intent to accelerate did not accomplish an acceleration triggering the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w:t>
      </w:r>
    </w:p>
    <w:p w14:paraId="73AB827B"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B990C3"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4 Finally, Grahn contends BNY is judicially estopped to deny it l</w:t>
      </w:r>
      <w:r>
        <w:rPr>
          <w:rFonts w:ascii="Times New Roman" w:hAnsi="Times New Roman" w:cs="Times New Roman"/>
          <w:color w:val="000000"/>
          <w:sz w:val="20"/>
          <w:szCs w:val="20"/>
        </w:rPr>
        <w:t>acks any interest in the underlying deed of trust, but he fails to satisfy the requirements of judicial estoppel including clearly inconsistent positions and that the trial court accepted the allegedly initial inconsistent position.</w:t>
      </w:r>
    </w:p>
    <w:p w14:paraId="0AF347DC"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186D2F"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 Because Grahn fails to establish any basis for relief on appeal, we affirm the trial court decision that BNY has a valid interest in the deed of trust and the dismissal of Grahn’s request to quiet title.</w:t>
      </w:r>
    </w:p>
    <w:p w14:paraId="6E2168A2"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B7F069"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 w:name="co_anchor_Iec2933714d8e11ebacebac3a102d6"/>
      <w:bookmarkEnd w:id="7"/>
    </w:p>
    <w:p w14:paraId="358EB2CE" w14:textId="77777777" w:rsidR="00000000" w:rsidRDefault="0066374B">
      <w:pPr>
        <w:widowControl w:val="0"/>
        <w:autoSpaceDE w:val="0"/>
        <w:autoSpaceDN w:val="0"/>
        <w:adjustRightInd w:val="0"/>
        <w:spacing w:before="400"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FACTS</w:t>
      </w:r>
    </w:p>
    <w:p w14:paraId="3E6E4754"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6 In February 2007, Grahn signed an installment promissory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for $512,000, payable to Kitsap Bank.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was </w:t>
      </w:r>
      <w:r>
        <w:rPr>
          <w:rFonts w:ascii="Times New Roman" w:hAnsi="Times New Roman" w:cs="Times New Roman"/>
          <w:b/>
          <w:bCs/>
          <w:color w:val="252525"/>
          <w:sz w:val="20"/>
          <w:szCs w:val="20"/>
          <w:shd w:val="clear" w:color="auto" w:fill="FFFF66"/>
        </w:rPr>
        <w:t>secured</w:t>
      </w:r>
      <w:r>
        <w:rPr>
          <w:rFonts w:ascii="Times New Roman" w:hAnsi="Times New Roman" w:cs="Times New Roman"/>
          <w:color w:val="000000"/>
          <w:sz w:val="20"/>
          <w:szCs w:val="20"/>
        </w:rPr>
        <w:t xml:space="preserve"> by a deed of trust on a residence. Kitsap Bank assigned </w:t>
      </w:r>
      <w:r>
        <w:rPr>
          <w:rFonts w:ascii="Times New Roman" w:hAnsi="Times New Roman" w:cs="Times New Roman"/>
          <w:color w:val="000000"/>
          <w:sz w:val="20"/>
          <w:szCs w:val="20"/>
        </w:rPr>
        <w:t>“</w:t>
      </w:r>
      <w:r>
        <w:rPr>
          <w:rFonts w:ascii="Times New Roman" w:hAnsi="Times New Roman" w:cs="Times New Roman"/>
          <w:color w:val="000000"/>
          <w:sz w:val="20"/>
          <w:szCs w:val="20"/>
        </w:rPr>
        <w:t>all beneficiary interests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under the deed of trust to Mortgage Electronic Registration Services (MERS).</w:t>
      </w:r>
      <w:bookmarkStart w:id="8" w:name="co_fnRef_B00012051999703_ID0EFGAC_1"/>
      <w:bookmarkEnd w:id="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"#co_footnote_B</w:instrText>
      </w:r>
      <w:r>
        <w:rPr>
          <w:rFonts w:ascii="Times New Roman" w:hAnsi="Times New Roman" w:cs="Times New Roman"/>
          <w:color w:val="000000"/>
          <w:sz w:val="16"/>
          <w:szCs w:val="16"/>
        </w:rPr>
        <w:instrText xml:space="preserve">00012051999703_1"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Kitsap Bank endorsed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over to Countrywide N.A., which endorsed it to Countrywide Home Loans Inc., which converted it into bearer paper.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was ultimately held by BNY. Bayview Loan Servicing LLC was the loan servicer for</w:t>
      </w:r>
      <w:r>
        <w:rPr>
          <w:rFonts w:ascii="Times New Roman" w:hAnsi="Times New Roman" w:cs="Times New Roman"/>
          <w:color w:val="000000"/>
          <w:sz w:val="20"/>
          <w:szCs w:val="20"/>
        </w:rPr>
        <w:t xml:space="preserve"> BNY and maintained the loan documents.</w:t>
      </w:r>
    </w:p>
    <w:p w14:paraId="27B327BA"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07C59E"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7 In February of 2009, Grahn defaulted on the installment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and has made no subsequent payments. That March, Grahn received a notice of intent to accelerate.</w:t>
      </w:r>
    </w:p>
    <w:p w14:paraId="0834F6F9"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w:t>
      </w:r>
    </w:p>
    <w:p w14:paraId="72F36740"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8 In January 2010, Grahn filed for chapter 7 ba</w:t>
      </w:r>
      <w:r>
        <w:rPr>
          <w:rFonts w:ascii="Times New Roman" w:hAnsi="Times New Roman" w:cs="Times New Roman"/>
          <w:color w:val="000000"/>
          <w:sz w:val="20"/>
          <w:szCs w:val="20"/>
        </w:rPr>
        <w:t xml:space="preserve">nkruptcy, culminating in an order discharging his unsecured debts. That May, MERS assigned </w:t>
      </w:r>
      <w:r>
        <w:rPr>
          <w:rFonts w:ascii="Times New Roman" w:hAnsi="Times New Roman" w:cs="Times New Roman"/>
          <w:color w:val="000000"/>
          <w:sz w:val="20"/>
          <w:szCs w:val="20"/>
        </w:rPr>
        <w:t>“</w:t>
      </w:r>
      <w:r>
        <w:rPr>
          <w:rFonts w:ascii="Times New Roman" w:hAnsi="Times New Roman" w:cs="Times New Roman"/>
          <w:color w:val="000000"/>
          <w:sz w:val="20"/>
          <w:szCs w:val="20"/>
        </w:rPr>
        <w:t>all beneficiary interests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under the deed of trust to BNY but omitted a portion of its formal name, </w:t>
      </w:r>
      <w:r>
        <w:rPr>
          <w:rFonts w:ascii="Times New Roman" w:hAnsi="Times New Roman" w:cs="Times New Roman"/>
          <w:color w:val="000000"/>
          <w:sz w:val="20"/>
          <w:szCs w:val="20"/>
        </w:rPr>
        <w:t>“</w:t>
      </w:r>
      <w:r>
        <w:rPr>
          <w:rFonts w:ascii="Times New Roman" w:hAnsi="Times New Roman" w:cs="Times New Roman"/>
          <w:color w:val="000000"/>
          <w:sz w:val="20"/>
          <w:szCs w:val="20"/>
        </w:rPr>
        <w:t>CWALT INC.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October 2010, a nonjudicial trustee’s sale occur</w:t>
      </w:r>
      <w:r>
        <w:rPr>
          <w:rFonts w:ascii="Times New Roman" w:hAnsi="Times New Roman" w:cs="Times New Roman"/>
          <w:color w:val="000000"/>
          <w:sz w:val="20"/>
          <w:szCs w:val="20"/>
        </w:rPr>
        <w:t>red. A trustee’s deed conveyed the property to BNY. BNY recorded and then in April 2011, rerecorded the trustee’s deed.</w:t>
      </w:r>
    </w:p>
    <w:p w14:paraId="7ECCF64F"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1242D7"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9 In 2013, BNY filed an unlawful detainer action to obtain possession of the property. BNY took a voluntary dismissal of the unlawfu</w:t>
      </w:r>
      <w:r>
        <w:rPr>
          <w:rFonts w:ascii="Times New Roman" w:hAnsi="Times New Roman" w:cs="Times New Roman"/>
          <w:color w:val="000000"/>
          <w:sz w:val="20"/>
          <w:szCs w:val="20"/>
        </w:rPr>
        <w:t>l detainer action and later commenced a quiet title action. Because MERS omitted a portion of BNY’s formal name on the May 2010 assignment of the deed of trust, BNY requested that the court unwind the 2010 trustee’s sale. In 2014, the court issued an order</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per the agreement of the parties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that the 2010 trustee’s sale and resulting trustee’s deeds were void.</w:t>
      </w:r>
      <w:bookmarkStart w:id="9" w:name="co_fnRef_B00022051999703_ID0EBJAC_1"/>
      <w:bookmarkEnd w:id="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"#co_footnote_B00022051999703_1"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w:t>
      </w:r>
      <w:r>
        <w:rPr>
          <w:rFonts w:ascii="Times New Roman" w:hAnsi="Times New Roman" w:cs="Times New Roman"/>
          <w:color w:val="000000"/>
          <w:sz w:val="16"/>
          <w:szCs w:val="16"/>
        </w:rPr>
        <w:fldChar w:fldCharType="end"/>
      </w:r>
    </w:p>
    <w:p w14:paraId="0F9AFB9D"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B370C7"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 w:name="co_pp_sp_999_2_1"/>
      <w:bookmarkEnd w:id="10"/>
      <w:r>
        <w:rPr>
          <w:rFonts w:ascii="Times New Roman" w:hAnsi="Times New Roman" w:cs="Times New Roman"/>
          <w:b/>
          <w:bCs/>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10 In 2017, Grahn filed this declaratory judgment action to quiet title and declare the deed of trust </w:t>
      </w:r>
      <w:r>
        <w:rPr>
          <w:rFonts w:ascii="Times New Roman" w:hAnsi="Times New Roman" w:cs="Times New Roman"/>
          <w:color w:val="000000"/>
          <w:sz w:val="20"/>
          <w:szCs w:val="20"/>
        </w:rPr>
        <w:t>“</w:t>
      </w:r>
      <w:r>
        <w:rPr>
          <w:rFonts w:ascii="Times New Roman" w:hAnsi="Times New Roman" w:cs="Times New Roman"/>
          <w:color w:val="000000"/>
          <w:sz w:val="20"/>
          <w:szCs w:val="20"/>
        </w:rPr>
        <w:t>void and [expunge it] from the auditor’s records.</w:t>
      </w:r>
      <w:r>
        <w:rPr>
          <w:rFonts w:ascii="Times New Roman" w:hAnsi="Times New Roman" w:cs="Times New Roman"/>
          <w:color w:val="000000"/>
          <w:sz w:val="20"/>
          <w:szCs w:val="20"/>
        </w:rPr>
        <w:t>”</w:t>
      </w:r>
      <w:bookmarkStart w:id="11" w:name="co_fnRef_B00032051999703_ID0EJKAC_1"/>
      <w:bookmarkEnd w:id="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"#co_footnote_B00</w:instrText>
      </w:r>
      <w:r>
        <w:rPr>
          <w:rFonts w:ascii="Times New Roman" w:hAnsi="Times New Roman" w:cs="Times New Roman"/>
          <w:color w:val="000000"/>
          <w:sz w:val="16"/>
          <w:szCs w:val="16"/>
        </w:rPr>
        <w:instrText xml:space="preserve">032051999703_1"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He filed a motion for summary judgment, and BNY filed a cross motion for summary judgment to dismiss the quiet title action and to declare the deed of trust valid.</w:t>
      </w:r>
    </w:p>
    <w:p w14:paraId="49FA6BB7"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033B20"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11 On March 1, 2018, MERS issued a </w:t>
      </w:r>
      <w:r>
        <w:rPr>
          <w:rFonts w:ascii="Times New Roman" w:hAnsi="Times New Roman" w:cs="Times New Roman"/>
          <w:color w:val="000000"/>
          <w:sz w:val="20"/>
          <w:szCs w:val="20"/>
        </w:rPr>
        <w:t>“</w:t>
      </w:r>
      <w:r>
        <w:rPr>
          <w:rFonts w:ascii="Times New Roman" w:hAnsi="Times New Roman" w:cs="Times New Roman"/>
          <w:color w:val="000000"/>
          <w:sz w:val="20"/>
          <w:szCs w:val="20"/>
        </w:rPr>
        <w:t>Second Corrective Corporate Ass</w:t>
      </w:r>
      <w:r>
        <w:rPr>
          <w:rFonts w:ascii="Times New Roman" w:hAnsi="Times New Roman" w:cs="Times New Roman"/>
          <w:color w:val="000000"/>
          <w:sz w:val="20"/>
          <w:szCs w:val="20"/>
        </w:rPr>
        <w:t>ign Deed of Trust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include the formal name of BNY and correct the May 2010 assignment of the deed of trust.</w:t>
      </w:r>
      <w:bookmarkStart w:id="12" w:name="co_fnRef_B00042051999703_ID0ESLAC_1"/>
      <w:bookmarkEnd w:id="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"#co_footnote_B00042051999703_1"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4</w:t>
      </w:r>
      <w:r>
        <w:rPr>
          <w:rFonts w:ascii="Times New Roman" w:hAnsi="Times New Roman" w:cs="Times New Roman"/>
          <w:color w:val="000000"/>
          <w:sz w:val="16"/>
          <w:szCs w:val="16"/>
        </w:rPr>
        <w:fldChar w:fldCharType="end"/>
      </w:r>
    </w:p>
    <w:p w14:paraId="420006D4"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12C271"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12 On April 13, 2018, th</w:t>
      </w:r>
      <w:r>
        <w:rPr>
          <w:rFonts w:ascii="Times New Roman" w:hAnsi="Times New Roman" w:cs="Times New Roman"/>
          <w:color w:val="000000"/>
          <w:sz w:val="20"/>
          <w:szCs w:val="20"/>
        </w:rPr>
        <w:t>e trial court granted summary judgment in favor of BNY and dismissed Grahn’s quiet title action.</w:t>
      </w:r>
    </w:p>
    <w:p w14:paraId="68BA3134"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FE9505"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13 Grahn appeals.</w:t>
      </w:r>
    </w:p>
    <w:p w14:paraId="46A7C7B1"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A4BA34"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23881BC2" w14:textId="77777777" w:rsidR="00000000" w:rsidRDefault="0066374B">
      <w:pPr>
        <w:widowControl w:val="0"/>
        <w:autoSpaceDE w:val="0"/>
        <w:autoSpaceDN w:val="0"/>
        <w:adjustRightInd w:val="0"/>
        <w:spacing w:before="400" w:after="20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ANALYSIS</w:t>
      </w:r>
    </w:p>
    <w:p w14:paraId="379DA42A"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3" w:name="co_anchor_Iec2c19a14d8e11ebacebac3a102d6"/>
      <w:bookmarkEnd w:id="13"/>
    </w:p>
    <w:p w14:paraId="35AFAC0F" w14:textId="77777777" w:rsidR="00000000" w:rsidRDefault="0066374B">
      <w:pPr>
        <w:widowControl w:val="0"/>
        <w:autoSpaceDE w:val="0"/>
        <w:autoSpaceDN w:val="0"/>
        <w:adjustRightInd w:val="0"/>
        <w:spacing w:before="400" w:after="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 Lawful Beneficiary</w:t>
      </w:r>
    </w:p>
    <w:p w14:paraId="2F689C42"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14 Grahn argues that BNY was not a lawful beneficiary because BNY </w:t>
      </w:r>
      <w:r>
        <w:rPr>
          <w:rFonts w:ascii="Times New Roman" w:hAnsi="Times New Roman" w:cs="Times New Roman"/>
          <w:color w:val="000000"/>
          <w:sz w:val="20"/>
          <w:szCs w:val="20"/>
        </w:rPr>
        <w:t>“</w:t>
      </w:r>
      <w:r>
        <w:rPr>
          <w:rFonts w:ascii="Times New Roman" w:hAnsi="Times New Roman" w:cs="Times New Roman"/>
          <w:color w:val="000000"/>
          <w:sz w:val="20"/>
          <w:szCs w:val="20"/>
        </w:rPr>
        <w:t>never held any [interest] in the underlying debt.</w:t>
      </w:r>
      <w:r>
        <w:rPr>
          <w:rFonts w:ascii="Times New Roman" w:hAnsi="Times New Roman" w:cs="Times New Roman"/>
          <w:color w:val="000000"/>
          <w:sz w:val="20"/>
          <w:szCs w:val="20"/>
        </w:rPr>
        <w:t>”</w:t>
      </w:r>
      <w:bookmarkStart w:id="14" w:name="co_fnRef_B00052051999703_ID0E2NAC_1"/>
      <w:bookmarkEnd w:id="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"#co_footnote_B00052051999703_1"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He also contends that the evidence BNY presented at summary judgment violated </w:t>
      </w:r>
      <w:hyperlink r:id="rId14" w:history="1">
        <w:r>
          <w:rPr>
            <w:rFonts w:ascii="Times New Roman" w:hAnsi="Times New Roman" w:cs="Times New Roman"/>
            <w:color w:val="0000FF"/>
            <w:sz w:val="20"/>
            <w:szCs w:val="20"/>
          </w:rPr>
          <w:t>CR 56(e)</w:t>
        </w:r>
      </w:hyperlink>
      <w:r>
        <w:rPr>
          <w:rFonts w:ascii="Times New Roman" w:hAnsi="Times New Roman" w:cs="Times New Roman"/>
          <w:color w:val="000000"/>
          <w:sz w:val="20"/>
          <w:szCs w:val="20"/>
        </w:rPr>
        <w:t xml:space="preserve"> and was improperly considered.</w:t>
      </w:r>
    </w:p>
    <w:p w14:paraId="5B3F5D87"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F3DDCF"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15 We review an order granting summary judgment de novo.</w:t>
      </w:r>
      <w:bookmarkStart w:id="15" w:name="co_fnRef_B00062051999703_ID0EEPAC_1"/>
      <w:bookmarkEnd w:id="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"#co_footnote_B00062051999703_1"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Summary judgment is appropriate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only when there is no genuine issue as to any </w:t>
      </w:r>
      <w:r>
        <w:rPr>
          <w:rFonts w:ascii="Times New Roman" w:hAnsi="Times New Roman" w:cs="Times New Roman"/>
          <w:color w:val="000000"/>
          <w:sz w:val="20"/>
          <w:szCs w:val="20"/>
        </w:rPr>
        <w:t>material fact and the moving party is entitled to judgment as a matter of law.</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bookmarkStart w:id="16" w:name="co_fnRef_B00072051999703_ID0EBAAE_1"/>
      <w:bookmarkEnd w:id="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"#co_footnote_B00072051999703_1"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view the evidence in the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light most favorable to the </w:t>
      </w:r>
      <w:r>
        <w:rPr>
          <w:rFonts w:ascii="Times New Roman" w:hAnsi="Times New Roman" w:cs="Times New Roman"/>
          <w:color w:val="000000"/>
          <w:sz w:val="20"/>
          <w:szCs w:val="20"/>
        </w:rPr>
        <w:t>nonmoving party.</w:t>
      </w:r>
      <w:r>
        <w:rPr>
          <w:rFonts w:ascii="Times New Roman" w:hAnsi="Times New Roman" w:cs="Times New Roman"/>
          <w:color w:val="000000"/>
          <w:sz w:val="20"/>
          <w:szCs w:val="20"/>
        </w:rPr>
        <w:t>”</w:t>
      </w:r>
      <w:bookmarkStart w:id="17" w:name="co_fnRef_B00082051999703_ID0EPAAE_1"/>
      <w:bookmarkEnd w:id="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"#co_footnote_B00082051999703_1"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review an objection raised at summary judgment de novo based only on a party’s argument below.</w:t>
      </w:r>
      <w:bookmarkStart w:id="18" w:name="co_fnRef_B00092051999703_ID0EZAAE_1"/>
      <w:bookmarkEnd w:id="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"#co_footnote_B00092051999703_1"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9</w:t>
      </w:r>
      <w:r>
        <w:rPr>
          <w:rFonts w:ascii="Times New Roman" w:hAnsi="Times New Roman" w:cs="Times New Roman"/>
          <w:color w:val="000000"/>
          <w:sz w:val="16"/>
          <w:szCs w:val="16"/>
        </w:rPr>
        <w:fldChar w:fldCharType="end"/>
      </w:r>
    </w:p>
    <w:p w14:paraId="2E9118E7"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75336F"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16 The person entitled to enforce an instrument or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is the holder of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w:t>
      </w:r>
      <w:bookmarkStart w:id="19" w:name="co_fnRef_B00102051999703_ID0ENFAE_1"/>
      <w:bookmarkEnd w:id="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w:instrText>
      </w:r>
      <w:r>
        <w:rPr>
          <w:rFonts w:ascii="Times New Roman" w:hAnsi="Times New Roman" w:cs="Times New Roman"/>
          <w:color w:val="000000"/>
          <w:sz w:val="16"/>
          <w:szCs w:val="16"/>
        </w:rPr>
        <w:instrText xml:space="preserve">INK "#co_footnote_B00102051999703_1"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w:t>
      </w:r>
      <w:r>
        <w:rPr>
          <w:rFonts w:ascii="Times New Roman" w:hAnsi="Times New Roman" w:cs="Times New Roman"/>
          <w:color w:val="000000"/>
          <w:sz w:val="20"/>
          <w:szCs w:val="20"/>
        </w:rPr>
        <w:t>holder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a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is </w:t>
      </w:r>
      <w:r>
        <w:rPr>
          <w:rFonts w:ascii="Times New Roman" w:hAnsi="Times New Roman" w:cs="Times New Roman"/>
          <w:color w:val="000000"/>
          <w:sz w:val="20"/>
          <w:szCs w:val="20"/>
        </w:rPr>
        <w:t>“</w:t>
      </w:r>
      <w:r>
        <w:rPr>
          <w:rFonts w:ascii="Times New Roman" w:hAnsi="Times New Roman" w:cs="Times New Roman"/>
          <w:color w:val="000000"/>
          <w:sz w:val="20"/>
          <w:szCs w:val="20"/>
        </w:rPr>
        <w:t>[t]he person in possession of a negotiable instrument that is payable either to bearer or to an identified person that is the person in possession.</w:t>
      </w:r>
      <w:r>
        <w:rPr>
          <w:rFonts w:ascii="Times New Roman" w:hAnsi="Times New Roman" w:cs="Times New Roman"/>
          <w:color w:val="000000"/>
          <w:sz w:val="20"/>
          <w:szCs w:val="20"/>
        </w:rPr>
        <w:t>”</w:t>
      </w:r>
      <w:bookmarkStart w:id="20" w:name="co_fnRef_B00112051999703_ID0EBGAE_1"/>
      <w:bookmarkEnd w:id="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"#co_footnote_B00112051999703_1"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endorsed in blank is payable to the bearer and </w:t>
      </w:r>
      <w:r>
        <w:rPr>
          <w:rFonts w:ascii="Times New Roman" w:hAnsi="Times New Roman" w:cs="Times New Roman"/>
          <w:color w:val="000000"/>
          <w:sz w:val="20"/>
          <w:szCs w:val="20"/>
        </w:rPr>
        <w:t>“</w:t>
      </w:r>
      <w:r>
        <w:rPr>
          <w:rFonts w:ascii="Times New Roman" w:hAnsi="Times New Roman" w:cs="Times New Roman"/>
          <w:color w:val="000000"/>
          <w:sz w:val="20"/>
          <w:szCs w:val="20"/>
        </w:rPr>
        <w:t>may be negotiated by transfer of possession alone.</w:t>
      </w:r>
      <w:r>
        <w:rPr>
          <w:rFonts w:ascii="Times New Roman" w:hAnsi="Times New Roman" w:cs="Times New Roman"/>
          <w:color w:val="000000"/>
          <w:sz w:val="20"/>
          <w:szCs w:val="20"/>
        </w:rPr>
        <w:t>”</w:t>
      </w:r>
      <w:bookmarkStart w:id="21" w:name="co_fnRef_B00122051999703_ID0EVGAE_1"/>
      <w:bookmarkEnd w:id="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"#co_footnote_B00122051999703_1"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holder of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which is the evidence of the debt, has the power to enforce the deed of trust </w:t>
      </w:r>
      <w:r>
        <w:rPr>
          <w:rFonts w:ascii="Times New Roman" w:hAnsi="Times New Roman" w:cs="Times New Roman"/>
          <w:b/>
          <w:bCs/>
          <w:color w:val="252525"/>
          <w:sz w:val="20"/>
          <w:szCs w:val="20"/>
          <w:shd w:val="clear" w:color="auto" w:fill="FFFF66"/>
        </w:rPr>
        <w:t>securing</w:t>
      </w:r>
      <w:r>
        <w:rPr>
          <w:rFonts w:ascii="Times New Roman" w:hAnsi="Times New Roman" w:cs="Times New Roman"/>
          <w:color w:val="000000"/>
          <w:sz w:val="20"/>
          <w:szCs w:val="20"/>
        </w:rPr>
        <w:t xml:space="preserve">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because the deed of trust follows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by operation of law.</w:t>
      </w:r>
      <w:bookmarkStart w:id="22" w:name="co_fnRef_B00132051999703_ID0ELHAE_1"/>
      <w:bookmarkEnd w:id="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"#co_footnote_B00132051999703_1"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13</w:t>
      </w:r>
      <w:r>
        <w:rPr>
          <w:rFonts w:ascii="Times New Roman" w:hAnsi="Times New Roman" w:cs="Times New Roman"/>
          <w:color w:val="000000"/>
          <w:sz w:val="16"/>
          <w:szCs w:val="16"/>
        </w:rPr>
        <w:fldChar w:fldCharType="end"/>
      </w:r>
    </w:p>
    <w:p w14:paraId="1E42D0D0"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518AD7"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17 And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a holder of a promissory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need not produce the original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to prove the right to enforce a deed of trust.</w:t>
      </w:r>
      <w:r>
        <w:rPr>
          <w:rFonts w:ascii="Times New Roman" w:hAnsi="Times New Roman" w:cs="Times New Roman"/>
          <w:color w:val="000000"/>
          <w:sz w:val="20"/>
          <w:szCs w:val="20"/>
        </w:rPr>
        <w:t>”</w:t>
      </w:r>
      <w:bookmarkStart w:id="23" w:name="co_fnRef_B00142051999703_ID0EHMAE_1"/>
      <w:bookmarkEnd w:id="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"#co_footnote_B00142051999703_1"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A declaration ... stating that the beneficiary is the actual holder of the promissory </w:t>
      </w:r>
      <w:r>
        <w:rPr>
          <w:rFonts w:ascii="Times New Roman" w:hAnsi="Times New Roman" w:cs="Times New Roman"/>
          <w:b/>
          <w:bCs/>
          <w:color w:val="252525"/>
          <w:sz w:val="20"/>
          <w:szCs w:val="20"/>
          <w:shd w:val="clear" w:color="auto" w:fill="FFFF66"/>
        </w:rPr>
        <w:t>no</w:t>
      </w:r>
      <w:r>
        <w:rPr>
          <w:rFonts w:ascii="Times New Roman" w:hAnsi="Times New Roman" w:cs="Times New Roman"/>
          <w:b/>
          <w:bCs/>
          <w:color w:val="252525"/>
          <w:sz w:val="20"/>
          <w:szCs w:val="20"/>
          <w:shd w:val="clear" w:color="auto" w:fill="FFFF66"/>
        </w:rPr>
        <w:t>te</w:t>
      </w:r>
      <w:r>
        <w:rPr>
          <w:rFonts w:ascii="Times New Roman" w:hAnsi="Times New Roman" w:cs="Times New Roman"/>
          <w:color w:val="000000"/>
          <w:sz w:val="20"/>
          <w:szCs w:val="20"/>
        </w:rPr>
        <w:t xml:space="preserve"> ... shall be sufficient proof [of the status to enforce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w:t>
      </w:r>
      <w:r>
        <w:rPr>
          <w:rFonts w:ascii="Times New Roman" w:hAnsi="Times New Roman" w:cs="Times New Roman"/>
          <w:color w:val="000000"/>
          <w:sz w:val="20"/>
          <w:szCs w:val="20"/>
        </w:rPr>
        <w:t>”</w:t>
      </w:r>
      <w:bookmarkStart w:id="24" w:name="co_fnRef_B00152051999703_ID0EGNAE_1"/>
      <w:bookmarkEnd w:id="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"#co_footnote_B00152051999703_1"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Statements made by a </w:t>
      </w:r>
      <w:r>
        <w:rPr>
          <w:rFonts w:ascii="Times New Roman" w:hAnsi="Times New Roman" w:cs="Times New Roman"/>
          <w:color w:val="000000"/>
          <w:sz w:val="20"/>
          <w:szCs w:val="20"/>
        </w:rPr>
        <w:t>‘</w:t>
      </w:r>
      <w:r>
        <w:rPr>
          <w:rFonts w:ascii="Times New Roman" w:hAnsi="Times New Roman" w:cs="Times New Roman"/>
          <w:color w:val="000000"/>
          <w:sz w:val="20"/>
          <w:szCs w:val="20"/>
        </w:rPr>
        <w:t>custodian or other qualified witness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a d</w:t>
      </w:r>
      <w:r>
        <w:rPr>
          <w:rFonts w:ascii="Times New Roman" w:hAnsi="Times New Roman" w:cs="Times New Roman"/>
          <w:color w:val="000000"/>
          <w:sz w:val="20"/>
          <w:szCs w:val="20"/>
        </w:rPr>
        <w:t xml:space="preserve">eclaration based on the declarant’s review of business records satisf[ies] </w:t>
      </w:r>
      <w:hyperlink r:id="rId15" w:history="1">
        <w:r>
          <w:rPr>
            <w:rFonts w:ascii="Times New Roman" w:hAnsi="Times New Roman" w:cs="Times New Roman"/>
            <w:color w:val="0000FF"/>
            <w:sz w:val="20"/>
            <w:szCs w:val="20"/>
          </w:rPr>
          <w:t>CR 56(e)</w:t>
        </w:r>
      </w:hyperlink>
      <w:r>
        <w:rPr>
          <w:rFonts w:ascii="Times New Roman" w:hAnsi="Times New Roman" w:cs="Times New Roman"/>
          <w:color w:val="000000"/>
          <w:sz w:val="20"/>
          <w:szCs w:val="20"/>
        </w:rPr>
        <w:t>.</w:t>
      </w:r>
      <w:r>
        <w:rPr>
          <w:rFonts w:ascii="Times New Roman" w:hAnsi="Times New Roman" w:cs="Times New Roman"/>
          <w:color w:val="000000"/>
          <w:sz w:val="20"/>
          <w:szCs w:val="20"/>
        </w:rPr>
        <w:t>”</w:t>
      </w:r>
      <w:bookmarkStart w:id="25" w:name="co_fnRef_B00162051999703_ID0ECOAE_1"/>
      <w:bookmarkEnd w:id="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"#co_footnote_B00162051999703_1"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16</w:t>
      </w:r>
      <w:r>
        <w:rPr>
          <w:rFonts w:ascii="Times New Roman" w:hAnsi="Times New Roman" w:cs="Times New Roman"/>
          <w:color w:val="000000"/>
          <w:sz w:val="16"/>
          <w:szCs w:val="16"/>
        </w:rPr>
        <w:fldChar w:fldCharType="end"/>
      </w:r>
    </w:p>
    <w:p w14:paraId="47481453"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40932A"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18 Here, the materials submitted on </w:t>
      </w:r>
      <w:r>
        <w:rPr>
          <w:rFonts w:ascii="Times New Roman" w:hAnsi="Times New Roman" w:cs="Times New Roman"/>
          <w:color w:val="000000"/>
          <w:sz w:val="20"/>
          <w:szCs w:val="20"/>
        </w:rPr>
        <w:t xml:space="preserve">summary judgment establish that BNY is the holder of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BNY provided a copy of the promissory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with Grahn’s initials on each page in blue ink. Thus, BNY possessed and was the holder of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w:t>
      </w:r>
      <w:bookmarkStart w:id="26" w:name="co_fnRef_B00172051999703_ID0EURAE_1"/>
      <w:bookmarkEnd w:id="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"#co_footnote_B00172051999703_1"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BNY also submitted a declaration from Bayview’s litigation manager, Gerardo Trueba, which establishes that Bayview is the </w:t>
      </w:r>
      <w:r>
        <w:rPr>
          <w:rFonts w:ascii="Times New Roman" w:hAnsi="Times New Roman" w:cs="Times New Roman"/>
          <w:color w:val="000000"/>
          <w:sz w:val="20"/>
          <w:szCs w:val="20"/>
        </w:rPr>
        <w:t>“</w:t>
      </w:r>
      <w:r>
        <w:rPr>
          <w:rFonts w:ascii="Times New Roman" w:hAnsi="Times New Roman" w:cs="Times New Roman"/>
          <w:color w:val="000000"/>
          <w:sz w:val="20"/>
          <w:szCs w:val="20"/>
        </w:rPr>
        <w:t>agent/servicer and [attorney-in-fact]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BNY, that BNY is </w:t>
      </w:r>
      <w:r>
        <w:rPr>
          <w:rFonts w:ascii="Times New Roman" w:hAnsi="Times New Roman" w:cs="Times New Roman"/>
          <w:color w:val="000000"/>
          <w:sz w:val="20"/>
          <w:szCs w:val="20"/>
        </w:rPr>
        <w:t>“</w:t>
      </w:r>
      <w:r>
        <w:rPr>
          <w:rFonts w:ascii="Times New Roman" w:hAnsi="Times New Roman" w:cs="Times New Roman"/>
          <w:color w:val="000000"/>
          <w:sz w:val="20"/>
          <w:szCs w:val="20"/>
        </w:rPr>
        <w:t>the b</w:t>
      </w:r>
      <w:r>
        <w:rPr>
          <w:rFonts w:ascii="Times New Roman" w:hAnsi="Times New Roman" w:cs="Times New Roman"/>
          <w:color w:val="000000"/>
          <w:sz w:val="20"/>
          <w:szCs w:val="20"/>
        </w:rPr>
        <w:t xml:space="preserve">eneficiary of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and accompanying deed of trust,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that BNY is the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current noteholder and beneficiary of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and accompanying deed of trust.</w:t>
      </w:r>
      <w:r>
        <w:rPr>
          <w:rFonts w:ascii="Times New Roman" w:hAnsi="Times New Roman" w:cs="Times New Roman"/>
          <w:color w:val="000000"/>
          <w:sz w:val="20"/>
          <w:szCs w:val="20"/>
        </w:rPr>
        <w:t>”</w:t>
      </w:r>
      <w:bookmarkStart w:id="27" w:name="co_fnRef_B00182051999703_ID0ETSAE_1"/>
      <w:bookmarkEnd w:id="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"#co_footnote_B00182</w:instrText>
      </w:r>
      <w:r>
        <w:rPr>
          <w:rFonts w:ascii="Times New Roman" w:hAnsi="Times New Roman" w:cs="Times New Roman"/>
          <w:color w:val="000000"/>
          <w:sz w:val="16"/>
          <w:szCs w:val="16"/>
        </w:rPr>
        <w:instrText xml:space="preserve">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BNY’s copy of the promissory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and Trueba’s declaration satisfy </w:t>
      </w:r>
      <w:hyperlink r:id="rId16" w:history="1">
        <w:r>
          <w:rPr>
            <w:rFonts w:ascii="Times New Roman" w:hAnsi="Times New Roman" w:cs="Times New Roman"/>
            <w:color w:val="0000FF"/>
            <w:sz w:val="20"/>
            <w:szCs w:val="20"/>
          </w:rPr>
          <w:t>CR 56(e)</w:t>
        </w:r>
      </w:hyperlink>
      <w:r>
        <w:rPr>
          <w:rFonts w:ascii="Times New Roman" w:hAnsi="Times New Roman" w:cs="Times New Roman"/>
          <w:color w:val="000000"/>
          <w:sz w:val="20"/>
          <w:szCs w:val="20"/>
        </w:rPr>
        <w:t xml:space="preserve"> and establish BNY is the holder of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w:t>
      </w:r>
    </w:p>
    <w:p w14:paraId="4F5A7205"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D519C2"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8" w:name="co_pp_sp_999_3_1"/>
      <w:bookmarkEnd w:id="28"/>
      <w:r>
        <w:rPr>
          <w:rFonts w:ascii="Times New Roman" w:hAnsi="Times New Roman" w:cs="Times New Roman"/>
          <w:b/>
          <w:bCs/>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19 In his opening brief, Grahn makes general arguments about the requirements of </w:t>
      </w:r>
      <w:hyperlink r:id="rId17" w:history="1">
        <w:r>
          <w:rPr>
            <w:rFonts w:ascii="Times New Roman" w:hAnsi="Times New Roman" w:cs="Times New Roman"/>
            <w:color w:val="0000FF"/>
            <w:sz w:val="20"/>
            <w:szCs w:val="20"/>
          </w:rPr>
          <w:t>CR 56(e)</w:t>
        </w:r>
      </w:hyperlink>
      <w:r>
        <w:rPr>
          <w:rFonts w:ascii="Times New Roman" w:hAnsi="Times New Roman" w:cs="Times New Roman"/>
          <w:color w:val="000000"/>
          <w:sz w:val="20"/>
          <w:szCs w:val="20"/>
        </w:rPr>
        <w:t xml:space="preserve">, stating in part that BNY’s evidence </w:t>
      </w:r>
      <w:r>
        <w:rPr>
          <w:rFonts w:ascii="Times New Roman" w:hAnsi="Times New Roman" w:cs="Times New Roman"/>
          <w:color w:val="000000"/>
          <w:sz w:val="20"/>
          <w:szCs w:val="20"/>
        </w:rPr>
        <w:t>“</w:t>
      </w:r>
      <w:r>
        <w:rPr>
          <w:rFonts w:ascii="Times New Roman" w:hAnsi="Times New Roman" w:cs="Times New Roman"/>
          <w:color w:val="000000"/>
          <w:sz w:val="20"/>
          <w:szCs w:val="20"/>
        </w:rPr>
        <w:t>was built on ... unsworn, uncorroborated, and improper foundation solely created and presented by the attorneys.</w:t>
      </w:r>
      <w:r>
        <w:rPr>
          <w:rFonts w:ascii="Times New Roman" w:hAnsi="Times New Roman" w:cs="Times New Roman"/>
          <w:color w:val="000000"/>
          <w:sz w:val="20"/>
          <w:szCs w:val="20"/>
        </w:rPr>
        <w:t>”</w:t>
      </w:r>
      <w:bookmarkStart w:id="29" w:name="co_fnRef_B00192051999703_ID0EPWAE_1"/>
      <w:bookmarkEnd w:id="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"#co_footnote_B00192051999703_1"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19</w:t>
      </w:r>
      <w:r>
        <w:rPr>
          <w:rFonts w:ascii="Times New Roman" w:hAnsi="Times New Roman" w:cs="Times New Roman"/>
          <w:color w:val="000000"/>
          <w:sz w:val="16"/>
          <w:szCs w:val="16"/>
        </w:rPr>
        <w:fldChar w:fldCharType="end"/>
      </w:r>
    </w:p>
    <w:p w14:paraId="194A0F8E"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437987"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20 But Grahn did not raise these specific objections to Trueba’s declaration in the trial court. In his objection to the trial court, G</w:t>
      </w:r>
      <w:r>
        <w:rPr>
          <w:rFonts w:ascii="Times New Roman" w:hAnsi="Times New Roman" w:cs="Times New Roman"/>
          <w:color w:val="000000"/>
          <w:sz w:val="20"/>
          <w:szCs w:val="20"/>
        </w:rPr>
        <w:t xml:space="preserve">rahn challenged Trueba’s personal knowledge as a loan servicer, asserting that BNY </w:t>
      </w:r>
      <w:r>
        <w:rPr>
          <w:rFonts w:ascii="Times New Roman" w:hAnsi="Times New Roman" w:cs="Times New Roman"/>
          <w:color w:val="000000"/>
          <w:sz w:val="20"/>
          <w:szCs w:val="20"/>
        </w:rPr>
        <w:t>“</w:t>
      </w:r>
      <w:r>
        <w:rPr>
          <w:rFonts w:ascii="Times New Roman" w:hAnsi="Times New Roman" w:cs="Times New Roman"/>
          <w:color w:val="000000"/>
          <w:sz w:val="20"/>
          <w:szCs w:val="20"/>
        </w:rPr>
        <w:t>is the only entity that has direct knowledge of [BNY’s] rights, entitlements, and asset ownership.</w:t>
      </w:r>
      <w:r>
        <w:rPr>
          <w:rFonts w:ascii="Times New Roman" w:hAnsi="Times New Roman" w:cs="Times New Roman"/>
          <w:color w:val="000000"/>
          <w:sz w:val="20"/>
          <w:szCs w:val="20"/>
        </w:rPr>
        <w:t>”</w:t>
      </w:r>
      <w:bookmarkStart w:id="30" w:name="co_fnRef_B00202051999703_ID0EWXAE_1"/>
      <w:bookmarkEnd w:id="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w:instrText>
      </w:r>
      <w:r>
        <w:rPr>
          <w:rFonts w:ascii="Times New Roman" w:hAnsi="Times New Roman" w:cs="Times New Roman"/>
          <w:color w:val="000000"/>
          <w:sz w:val="16"/>
          <w:szCs w:val="16"/>
        </w:rPr>
        <w:instrText xml:space="preserve">ERLINK "#co_footnote_B00202051999703_1"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But Trueba’s declaration establishes he is a litigation manager at Bayview, he has personal knowledge of the policies, practices, and procedures of Bayview in servicing mortgage loans, and he is familiar with B</w:t>
      </w:r>
      <w:r>
        <w:rPr>
          <w:rFonts w:ascii="Times New Roman" w:hAnsi="Times New Roman" w:cs="Times New Roman"/>
          <w:color w:val="000000"/>
          <w:sz w:val="20"/>
          <w:szCs w:val="20"/>
        </w:rPr>
        <w:t>ayview’s record keeping of the underlying loan documents. As the agent and the attorney-in-fact for BNY, Bayview has the authority to file declarations authenticating loan documents.</w:t>
      </w:r>
      <w:bookmarkStart w:id="31" w:name="co_fnRef_B00212051999703_ID0EDYAE_1"/>
      <w:bookmarkEnd w:id="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"#co_footnote_B00212051999703_1"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21</w:t>
      </w:r>
      <w:r>
        <w:rPr>
          <w:rFonts w:ascii="Times New Roman" w:hAnsi="Times New Roman" w:cs="Times New Roman"/>
          <w:color w:val="000000"/>
          <w:sz w:val="16"/>
          <w:szCs w:val="16"/>
        </w:rPr>
        <w:fldChar w:fldCharType="end"/>
      </w:r>
    </w:p>
    <w:p w14:paraId="3C99F9B3"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0D10B4"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21 Next, Grahn contends that when Kitsap Bank assigned </w:t>
      </w:r>
      <w:r>
        <w:rPr>
          <w:rFonts w:ascii="Times New Roman" w:hAnsi="Times New Roman" w:cs="Times New Roman"/>
          <w:color w:val="000000"/>
          <w:sz w:val="20"/>
          <w:szCs w:val="20"/>
        </w:rPr>
        <w:t>“</w:t>
      </w:r>
      <w:r>
        <w:rPr>
          <w:rFonts w:ascii="Times New Roman" w:hAnsi="Times New Roman" w:cs="Times New Roman"/>
          <w:color w:val="000000"/>
          <w:sz w:val="20"/>
          <w:szCs w:val="20"/>
        </w:rPr>
        <w:t>all beneficiary interests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the deed of trust to MERS and subsequently transferred all interests in the promissory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to Countrywide, the deed of t</w:t>
      </w:r>
      <w:r>
        <w:rPr>
          <w:rFonts w:ascii="Times New Roman" w:hAnsi="Times New Roman" w:cs="Times New Roman"/>
          <w:color w:val="000000"/>
          <w:sz w:val="20"/>
          <w:szCs w:val="20"/>
        </w:rPr>
        <w:t xml:space="preserve">rust and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split.</w:t>
      </w:r>
      <w:bookmarkStart w:id="32" w:name="co_fnRef_B00222051999703_ID0EX3AE_1"/>
      <w:bookmarkEnd w:id="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"#co_footnote_B00222051999703_1"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Thus, he argues, any subsequent owner of the deed of trust held no security interest in the debt.</w:t>
      </w:r>
    </w:p>
    <w:p w14:paraId="6246D0EF"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CA514A"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22 Grahn re</w:t>
      </w:r>
      <w:r>
        <w:rPr>
          <w:rFonts w:ascii="Times New Roman" w:hAnsi="Times New Roman" w:cs="Times New Roman"/>
          <w:color w:val="000000"/>
          <w:sz w:val="20"/>
          <w:szCs w:val="20"/>
        </w:rPr>
        <w:t xml:space="preserve">lies on </w:t>
      </w:r>
      <w:r>
        <w:rPr>
          <w:rFonts w:ascii="Times New Roman" w:hAnsi="Times New Roman" w:cs="Times New Roman"/>
          <w:color w:val="000000"/>
          <w:sz w:val="20"/>
          <w:szCs w:val="20"/>
          <w:u w:val="single"/>
        </w:rPr>
        <w:t>Bain v. Metropolitan Mortgage Group, Inc.</w:t>
      </w:r>
      <w:r>
        <w:rPr>
          <w:rFonts w:ascii="Times New Roman" w:hAnsi="Times New Roman" w:cs="Times New Roman"/>
          <w:color w:val="000000"/>
          <w:sz w:val="20"/>
          <w:szCs w:val="20"/>
        </w:rPr>
        <w:t xml:space="preserve"> for the above proposition.</w:t>
      </w:r>
      <w:bookmarkStart w:id="33" w:name="co_fnRef_B00232051999703_ID0EB5AE_1"/>
      <w:bookmarkEnd w:id="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"#co_footnote_B00232051999703_1"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Our Supreme Court in </w:t>
      </w:r>
      <w:r>
        <w:rPr>
          <w:rFonts w:ascii="Times New Roman" w:hAnsi="Times New Roman" w:cs="Times New Roman"/>
          <w:color w:val="000000"/>
          <w:sz w:val="20"/>
          <w:szCs w:val="20"/>
          <w:u w:val="single"/>
        </w:rPr>
        <w:t>Bain</w:t>
      </w:r>
      <w:r>
        <w:rPr>
          <w:rFonts w:ascii="Times New Roman" w:hAnsi="Times New Roman" w:cs="Times New Roman"/>
          <w:color w:val="000000"/>
          <w:sz w:val="20"/>
          <w:szCs w:val="20"/>
        </w:rPr>
        <w:t xml:space="preserve"> held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MERS is an ineligible </w:t>
      </w:r>
      <w:r>
        <w:rPr>
          <w:rFonts w:ascii="Times New Roman" w:hAnsi="Times New Roman" w:cs="Times New Roman"/>
          <w:color w:val="000000"/>
          <w:sz w:val="20"/>
          <w:szCs w:val="20"/>
        </w:rPr>
        <w:t>‘</w:t>
      </w:r>
      <w:r>
        <w:rPr>
          <w:rFonts w:ascii="Times New Roman" w:hAnsi="Times New Roman" w:cs="Times New Roman"/>
          <w:color w:val="000000"/>
          <w:sz w:val="20"/>
          <w:szCs w:val="20"/>
        </w:rPr>
        <w:t>beneficiary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if it never held the promissory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or other debt instrument </w:t>
      </w:r>
      <w:r>
        <w:rPr>
          <w:rFonts w:ascii="Times New Roman" w:hAnsi="Times New Roman" w:cs="Times New Roman"/>
          <w:b/>
          <w:bCs/>
          <w:color w:val="252525"/>
          <w:sz w:val="20"/>
          <w:szCs w:val="20"/>
          <w:shd w:val="clear" w:color="auto" w:fill="FFFF66"/>
        </w:rPr>
        <w:t>secured</w:t>
      </w:r>
      <w:r>
        <w:rPr>
          <w:rFonts w:ascii="Times New Roman" w:hAnsi="Times New Roman" w:cs="Times New Roman"/>
          <w:color w:val="000000"/>
          <w:sz w:val="20"/>
          <w:szCs w:val="20"/>
        </w:rPr>
        <w:t xml:space="preserve"> by the deed of trust.</w:t>
      </w:r>
      <w:bookmarkStart w:id="34" w:name="co_fnRef_B00242051999703_ID0E15AE_1"/>
      <w:bookmarkEnd w:id="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"#co_footnote_B00242051999703_1"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But the</w:t>
      </w:r>
      <w:r>
        <w:rPr>
          <w:rFonts w:ascii="Times New Roman" w:hAnsi="Times New Roman" w:cs="Times New Roman"/>
          <w:color w:val="000000"/>
          <w:sz w:val="20"/>
          <w:szCs w:val="20"/>
        </w:rPr>
        <w:t xml:space="preserve"> court in </w:t>
      </w:r>
      <w:r>
        <w:rPr>
          <w:rFonts w:ascii="Times New Roman" w:hAnsi="Times New Roman" w:cs="Times New Roman"/>
          <w:color w:val="000000"/>
          <w:sz w:val="20"/>
          <w:szCs w:val="20"/>
          <w:u w:val="single"/>
        </w:rPr>
        <w:t>Bain</w:t>
      </w:r>
      <w:r>
        <w:rPr>
          <w:rFonts w:ascii="Times New Roman" w:hAnsi="Times New Roman" w:cs="Times New Roman"/>
          <w:color w:val="000000"/>
          <w:sz w:val="20"/>
          <w:szCs w:val="20"/>
        </w:rPr>
        <w:t xml:space="preserve"> cast doubt upon a theory that involvement of MERS would automatically constitute a </w:t>
      </w:r>
      <w:r>
        <w:rPr>
          <w:rFonts w:ascii="Times New Roman" w:hAnsi="Times New Roman" w:cs="Times New Roman"/>
          <w:color w:val="000000"/>
          <w:sz w:val="20"/>
          <w:szCs w:val="20"/>
        </w:rPr>
        <w:t>“</w:t>
      </w:r>
      <w:r>
        <w:rPr>
          <w:rFonts w:ascii="Times New Roman" w:hAnsi="Times New Roman" w:cs="Times New Roman"/>
          <w:color w:val="000000"/>
          <w:sz w:val="20"/>
          <w:szCs w:val="20"/>
        </w:rPr>
        <w:t>split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rendering a deed of trust unenforceable: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If, for example, MERS is in fact an agent for the holder of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likely no split would have happened.</w:t>
      </w:r>
      <w:r>
        <w:rPr>
          <w:rFonts w:ascii="Times New Roman" w:hAnsi="Times New Roman" w:cs="Times New Roman"/>
          <w:color w:val="000000"/>
          <w:sz w:val="20"/>
          <w:szCs w:val="20"/>
        </w:rPr>
        <w:t>”</w:t>
      </w:r>
      <w:bookmarkStart w:id="35" w:name="co_fnRef_B00252051999703_ID0EQ6AE_1"/>
      <w:bookmarkEnd w:id="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"#co_footnote_B00252051999703_1"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Further, the Ninth Circuit has held that the split-the-</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theory </w:t>
      </w:r>
      <w:r>
        <w:rPr>
          <w:rFonts w:ascii="Times New Roman" w:hAnsi="Times New Roman" w:cs="Times New Roman"/>
          <w:color w:val="000000"/>
          <w:sz w:val="20"/>
          <w:szCs w:val="20"/>
        </w:rPr>
        <w:t>“</w:t>
      </w:r>
      <w:r>
        <w:rPr>
          <w:rFonts w:ascii="Times New Roman" w:hAnsi="Times New Roman" w:cs="Times New Roman"/>
          <w:color w:val="000000"/>
          <w:sz w:val="20"/>
          <w:szCs w:val="20"/>
        </w:rPr>
        <w:t>has no sound basis in law or logic,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while other courts applying Washi</w:t>
      </w:r>
      <w:r>
        <w:rPr>
          <w:rFonts w:ascii="Times New Roman" w:hAnsi="Times New Roman" w:cs="Times New Roman"/>
          <w:color w:val="000000"/>
          <w:sz w:val="20"/>
          <w:szCs w:val="20"/>
        </w:rPr>
        <w:t xml:space="preserve">ngton law have routinely rejected the premise of Grahn’s </w:t>
      </w:r>
      <w:r>
        <w:rPr>
          <w:rFonts w:ascii="Times New Roman" w:hAnsi="Times New Roman" w:cs="Times New Roman"/>
          <w:color w:val="000000"/>
          <w:sz w:val="20"/>
          <w:szCs w:val="20"/>
        </w:rPr>
        <w:t>“</w:t>
      </w:r>
      <w:r>
        <w:rPr>
          <w:rFonts w:ascii="Times New Roman" w:hAnsi="Times New Roman" w:cs="Times New Roman"/>
          <w:color w:val="000000"/>
          <w:sz w:val="20"/>
          <w:szCs w:val="20"/>
        </w:rPr>
        <w:t>split-the-</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theory.</w:t>
      </w:r>
      <w:bookmarkStart w:id="36" w:name="co_fnRef_B00262051999703_ID0EJAAG_1"/>
      <w:bookmarkEnd w:id="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"#co_footnote_B00262051999703_1"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26</w:t>
      </w:r>
      <w:r>
        <w:rPr>
          <w:rFonts w:ascii="Times New Roman" w:hAnsi="Times New Roman" w:cs="Times New Roman"/>
          <w:color w:val="000000"/>
          <w:sz w:val="16"/>
          <w:szCs w:val="16"/>
        </w:rPr>
        <w:fldChar w:fldCharType="end"/>
      </w:r>
    </w:p>
    <w:p w14:paraId="599D765F"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D30956"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7" w:name="co_pp_sp_999_4_1"/>
      <w:bookmarkEnd w:id="37"/>
      <w:r>
        <w:rPr>
          <w:rFonts w:ascii="Times New Roman" w:hAnsi="Times New Roman" w:cs="Times New Roman"/>
          <w:b/>
          <w:bCs/>
          <w:color w:val="000000"/>
          <w:sz w:val="20"/>
          <w:szCs w:val="20"/>
        </w:rPr>
        <w:t>*4</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23 In a related a</w:t>
      </w:r>
      <w:r>
        <w:rPr>
          <w:rFonts w:ascii="Times New Roman" w:hAnsi="Times New Roman" w:cs="Times New Roman"/>
          <w:color w:val="000000"/>
          <w:sz w:val="20"/>
          <w:szCs w:val="20"/>
        </w:rPr>
        <w:t xml:space="preserve">rgument, Grahn contends that because only MERS had been assigned </w:t>
      </w:r>
      <w:r>
        <w:rPr>
          <w:rFonts w:ascii="Times New Roman" w:hAnsi="Times New Roman" w:cs="Times New Roman"/>
          <w:color w:val="000000"/>
          <w:sz w:val="20"/>
          <w:szCs w:val="20"/>
        </w:rPr>
        <w:t>“</w:t>
      </w:r>
      <w:r>
        <w:rPr>
          <w:rFonts w:ascii="Times New Roman" w:hAnsi="Times New Roman" w:cs="Times New Roman"/>
          <w:color w:val="000000"/>
          <w:sz w:val="20"/>
          <w:szCs w:val="20"/>
        </w:rPr>
        <w:t>all beneficiary interest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the deed of trust at the time Grahn filed for bankruptcy, there was no security for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w:t>
      </w:r>
      <w:bookmarkStart w:id="38" w:name="co_fnRef_B00272051999703_ID0EMHAG_1"/>
      <w:bookmarkEnd w:id="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"#co_footnote_B00272051999703_1"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Grahn argues that because the debt was </w:t>
      </w:r>
      <w:r>
        <w:rPr>
          <w:rFonts w:ascii="Times New Roman" w:hAnsi="Times New Roman" w:cs="Times New Roman"/>
          <w:color w:val="000000"/>
          <w:sz w:val="20"/>
          <w:szCs w:val="20"/>
        </w:rPr>
        <w:t>“</w:t>
      </w:r>
      <w:r>
        <w:rPr>
          <w:rFonts w:ascii="Times New Roman" w:hAnsi="Times New Roman" w:cs="Times New Roman"/>
          <w:color w:val="000000"/>
          <w:sz w:val="20"/>
          <w:szCs w:val="20"/>
        </w:rPr>
        <w:t>unsecured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discharge in bankruptcy must have discharged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an </w:t>
      </w:r>
      <w:r>
        <w:rPr>
          <w:rFonts w:ascii="Times New Roman" w:hAnsi="Times New Roman" w:cs="Times New Roman"/>
          <w:color w:val="000000"/>
          <w:sz w:val="20"/>
          <w:szCs w:val="20"/>
        </w:rPr>
        <w:t>“</w:t>
      </w:r>
      <w:r>
        <w:rPr>
          <w:rFonts w:ascii="Times New Roman" w:hAnsi="Times New Roman" w:cs="Times New Roman"/>
          <w:color w:val="000000"/>
          <w:sz w:val="20"/>
          <w:szCs w:val="20"/>
        </w:rPr>
        <w:t>unsecured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debt.</w:t>
      </w:r>
      <w:bookmarkStart w:id="39" w:name="co_fnRef_B00282051999703_ID0EZHAG_1"/>
      <w:bookmarkEnd w:id="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w:instrText>
      </w:r>
      <w:r>
        <w:rPr>
          <w:rFonts w:ascii="Times New Roman" w:hAnsi="Times New Roman" w:cs="Times New Roman"/>
          <w:color w:val="000000"/>
          <w:sz w:val="16"/>
          <w:szCs w:val="16"/>
        </w:rPr>
        <w:instrText xml:space="preserve">LINK "#co_footnote_B00282051999703_1"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28</w:t>
      </w:r>
      <w:r>
        <w:rPr>
          <w:rFonts w:ascii="Times New Roman" w:hAnsi="Times New Roman" w:cs="Times New Roman"/>
          <w:color w:val="000000"/>
          <w:sz w:val="16"/>
          <w:szCs w:val="16"/>
        </w:rPr>
        <w:fldChar w:fldCharType="end"/>
      </w:r>
    </w:p>
    <w:p w14:paraId="2319CE28"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06AAED"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24 But, as discussed, the deed of trust followed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as a matter of law, so there is no support for Grahn’s split-the-</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theory.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was not listed by Grahn as an unsecured debt on the petition fo</w:t>
      </w:r>
      <w:r>
        <w:rPr>
          <w:rFonts w:ascii="Times New Roman" w:hAnsi="Times New Roman" w:cs="Times New Roman"/>
          <w:color w:val="000000"/>
          <w:sz w:val="20"/>
          <w:szCs w:val="20"/>
        </w:rPr>
        <w:t xml:space="preserve">r bankruptcy or bankruptcy schedules, and the order of discharge did not extend to any deed of trust. Because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was </w:t>
      </w:r>
      <w:r>
        <w:rPr>
          <w:rFonts w:ascii="Times New Roman" w:hAnsi="Times New Roman" w:cs="Times New Roman"/>
          <w:b/>
          <w:bCs/>
          <w:color w:val="252525"/>
          <w:sz w:val="20"/>
          <w:szCs w:val="20"/>
          <w:shd w:val="clear" w:color="auto" w:fill="FFFF66"/>
        </w:rPr>
        <w:t>secured</w:t>
      </w:r>
      <w:r>
        <w:rPr>
          <w:rFonts w:ascii="Times New Roman" w:hAnsi="Times New Roman" w:cs="Times New Roman"/>
          <w:color w:val="000000"/>
          <w:sz w:val="20"/>
          <w:szCs w:val="20"/>
        </w:rPr>
        <w:t xml:space="preserve"> by the deed of trust it survived bankruptcy, Grahn’s argument fails.</w:t>
      </w:r>
    </w:p>
    <w:p w14:paraId="0AD80A23"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09917F"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131F7222"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0" w:name="co_anchor_Iec38c3d14d8e11ebacebac3a102d6"/>
      <w:bookmarkEnd w:id="40"/>
    </w:p>
    <w:p w14:paraId="386A3049"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u w:val="single"/>
        </w:rPr>
        <w:t xml:space="preserve">II. </w:t>
      </w:r>
      <w:r>
        <w:rPr>
          <w:rFonts w:ascii="Times New Roman" w:hAnsi="Times New Roman" w:cs="Times New Roman"/>
          <w:b/>
          <w:bCs/>
          <w:color w:val="252525"/>
          <w:sz w:val="20"/>
          <w:szCs w:val="20"/>
          <w:u w:val="single"/>
          <w:shd w:val="clear" w:color="auto" w:fill="FFFF66"/>
        </w:rPr>
        <w:t>Statute</w:t>
      </w:r>
      <w:r>
        <w:rPr>
          <w:rFonts w:ascii="Times New Roman" w:hAnsi="Times New Roman" w:cs="Times New Roman"/>
          <w:color w:val="000000"/>
          <w:sz w:val="20"/>
          <w:szCs w:val="20"/>
          <w:u w:val="single"/>
        </w:rPr>
        <w:t xml:space="preserve"> of </w:t>
      </w:r>
      <w:r>
        <w:rPr>
          <w:rFonts w:ascii="Times New Roman" w:hAnsi="Times New Roman" w:cs="Times New Roman"/>
          <w:b/>
          <w:bCs/>
          <w:color w:val="252525"/>
          <w:sz w:val="20"/>
          <w:szCs w:val="20"/>
          <w:u w:val="single"/>
          <w:shd w:val="clear" w:color="auto" w:fill="FFFF66"/>
        </w:rPr>
        <w:t>Limitations</w:t>
      </w:r>
    </w:p>
    <w:p w14:paraId="5CCB2142"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25 Grahn </w:t>
      </w:r>
      <w:r>
        <w:rPr>
          <w:rFonts w:ascii="Times New Roman" w:hAnsi="Times New Roman" w:cs="Times New Roman"/>
          <w:color w:val="000000"/>
          <w:sz w:val="20"/>
          <w:szCs w:val="20"/>
        </w:rPr>
        <w:t xml:space="preserve">contends that the six-year limitations period to enforce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started once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was fully accelerated in 2009. Grahn argues that BNY’s efforts to quiet title in its favor filed in 2018 are barred by the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w:t>
      </w:r>
    </w:p>
    <w:p w14:paraId="77C7B86A"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FAB9BC"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26 The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w:t>
      </w:r>
      <w:r>
        <w:rPr>
          <w:rFonts w:ascii="Times New Roman" w:hAnsi="Times New Roman" w:cs="Times New Roman"/>
          <w:color w:val="000000"/>
          <w:sz w:val="20"/>
          <w:szCs w:val="20"/>
        </w:rPr>
        <w:t xml:space="preserve">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 xml:space="preserve"> for </w:t>
      </w:r>
      <w:r>
        <w:rPr>
          <w:rFonts w:ascii="Times New Roman" w:hAnsi="Times New Roman" w:cs="Times New Roman"/>
          <w:color w:val="000000"/>
          <w:sz w:val="20"/>
          <w:szCs w:val="20"/>
        </w:rPr>
        <w:t>“</w:t>
      </w:r>
      <w:r>
        <w:rPr>
          <w:rFonts w:ascii="Times New Roman" w:hAnsi="Times New Roman" w:cs="Times New Roman"/>
          <w:color w:val="000000"/>
          <w:sz w:val="20"/>
          <w:szCs w:val="20"/>
        </w:rPr>
        <w:t>[a]n action upon a contract in writing, or liability express or implied arising out of a written agreement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six years.</w:t>
      </w:r>
      <w:bookmarkStart w:id="41" w:name="co_fnRef_B00292051999703_ID0E6LAG_1"/>
      <w:bookmarkEnd w:id="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"#co_footnote_B00292051999703_1"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[W]hen recovery is sought on an obligation payable by installments, the </w:t>
      </w:r>
      <w:r>
        <w:rPr>
          <w:rFonts w:ascii="Times New Roman" w:hAnsi="Times New Roman" w:cs="Times New Roman"/>
          <w:b/>
          <w:bCs/>
          <w:color w:val="252525"/>
          <w:sz w:val="20"/>
          <w:szCs w:val="20"/>
          <w:shd w:val="clear" w:color="auto" w:fill="FFFF66"/>
        </w:rPr>
        <w:t>statute</w:t>
      </w:r>
      <w:r>
        <w:rPr>
          <w:rFonts w:ascii="Times New Roman" w:hAnsi="Times New Roman" w:cs="Times New Roman"/>
          <w:color w:val="000000"/>
          <w:sz w:val="20"/>
          <w:szCs w:val="20"/>
        </w:rPr>
        <w:t xml:space="preserve"> of </w:t>
      </w:r>
      <w:r>
        <w:rPr>
          <w:rFonts w:ascii="Times New Roman" w:hAnsi="Times New Roman" w:cs="Times New Roman"/>
          <w:b/>
          <w:bCs/>
          <w:color w:val="252525"/>
          <w:sz w:val="20"/>
          <w:szCs w:val="20"/>
          <w:shd w:val="clear" w:color="auto" w:fill="FFFF66"/>
        </w:rPr>
        <w:t>limitations</w:t>
      </w:r>
      <w:r>
        <w:rPr>
          <w:rFonts w:ascii="Times New Roman" w:hAnsi="Times New Roman" w:cs="Times New Roman"/>
          <w:color w:val="000000"/>
          <w:sz w:val="20"/>
          <w:szCs w:val="20"/>
        </w:rPr>
        <w:t xml:space="preserve"> runs against each installment from the time it becomes due; that is, from the time when an action might be brought to recover it.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bookmarkStart w:id="42" w:name="co_fnRef_B00302051999703_ID0EANAG_1"/>
      <w:bookmarkEnd w:id="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"#co_footnote_B00302051999703_1"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After a proceeding is declared void, it never happened for legal purposes.</w:t>
      </w:r>
      <w:bookmarkStart w:id="43" w:name="co_fnRef_B00312051999703_ID0EHNAG_1"/>
      <w:bookmarkEnd w:id="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"#co_fo</w:instrText>
      </w:r>
      <w:r>
        <w:rPr>
          <w:rFonts w:ascii="Times New Roman" w:hAnsi="Times New Roman" w:cs="Times New Roman"/>
          <w:color w:val="000000"/>
          <w:sz w:val="16"/>
          <w:szCs w:val="16"/>
        </w:rPr>
        <w:instrText xml:space="preserve">otnote_B00312051999703_1"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31</w:t>
      </w:r>
      <w:r>
        <w:rPr>
          <w:rFonts w:ascii="Times New Roman" w:hAnsi="Times New Roman" w:cs="Times New Roman"/>
          <w:color w:val="000000"/>
          <w:sz w:val="16"/>
          <w:szCs w:val="16"/>
        </w:rPr>
        <w:fldChar w:fldCharType="end"/>
      </w:r>
    </w:p>
    <w:p w14:paraId="04B44BA0"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C5E2F0"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27 As this court held in </w:t>
      </w:r>
      <w:r>
        <w:rPr>
          <w:rFonts w:ascii="Times New Roman" w:hAnsi="Times New Roman" w:cs="Times New Roman"/>
          <w:color w:val="000000"/>
          <w:sz w:val="20"/>
          <w:szCs w:val="20"/>
          <w:u w:val="single"/>
        </w:rPr>
        <w:t>Merceri v. Bank of New York Mellon</w:t>
      </w:r>
      <w:r>
        <w:rPr>
          <w:rFonts w:ascii="Times New Roman" w:hAnsi="Times New Roman" w:cs="Times New Roman"/>
          <w:color w:val="000000"/>
          <w:sz w:val="20"/>
          <w:szCs w:val="20"/>
        </w:rPr>
        <w:t xml:space="preserve">, a notice of intent to accelerate containing substantially the same language used in the March 19, 2009, notice here, is a statement of intent to accelerate in the future and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final six-year period to take an action related to the debt does not begin </w:t>
      </w:r>
      <w:r>
        <w:rPr>
          <w:rFonts w:ascii="Times New Roman" w:hAnsi="Times New Roman" w:cs="Times New Roman"/>
          <w:color w:val="000000"/>
          <w:sz w:val="20"/>
          <w:szCs w:val="20"/>
        </w:rPr>
        <w:t>to run until it fully matures [on the maturity date.]</w:t>
      </w:r>
      <w:r>
        <w:rPr>
          <w:rFonts w:ascii="Times New Roman" w:hAnsi="Times New Roman" w:cs="Times New Roman"/>
          <w:color w:val="000000"/>
          <w:sz w:val="20"/>
          <w:szCs w:val="20"/>
        </w:rPr>
        <w:t>”</w:t>
      </w:r>
      <w:bookmarkStart w:id="44" w:name="co_fnRef_B00322051999703_ID0E1QAG_1"/>
      <w:bookmarkEnd w:id="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"#co_footnote_B00322051999703_1"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mere default alone will not accelerate the payments due on an installment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some affirmative action is required.</w:t>
      </w:r>
      <w:bookmarkStart w:id="45" w:name="co_fnRef_B00332051999703_ID0EERAG_1"/>
      <w:bookmarkEnd w:id="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"#co_footnote_B00332051999703_1"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33</w:t>
      </w:r>
      <w:r>
        <w:rPr>
          <w:rFonts w:ascii="Times New Roman" w:hAnsi="Times New Roman" w:cs="Times New Roman"/>
          <w:color w:val="000000"/>
          <w:sz w:val="16"/>
          <w:szCs w:val="16"/>
        </w:rPr>
        <w:fldChar w:fldCharType="end"/>
      </w:r>
    </w:p>
    <w:p w14:paraId="299FD24D"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53A7E4"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28 Here, the language of the installment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provided that the principal amount was $512,000, t</w:t>
      </w:r>
      <w:r>
        <w:rPr>
          <w:rFonts w:ascii="Times New Roman" w:hAnsi="Times New Roman" w:cs="Times New Roman"/>
          <w:color w:val="000000"/>
          <w:sz w:val="20"/>
          <w:szCs w:val="20"/>
        </w:rPr>
        <w:t>hat the Grahns were to pay every month on the first day of each month beginning in April of 2007, and that the maturity date was March 1, 2037. Because the Grahns defaulted but only received a notice of intent to accelerate and no other action was taken, t</w:t>
      </w:r>
      <w:r>
        <w:rPr>
          <w:rFonts w:ascii="Times New Roman" w:hAnsi="Times New Roman" w:cs="Times New Roman"/>
          <w:color w:val="000000"/>
          <w:sz w:val="20"/>
          <w:szCs w:val="20"/>
        </w:rPr>
        <w:t>he six-year limitations period has not run.</w:t>
      </w:r>
    </w:p>
    <w:p w14:paraId="6B5CC073"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4FE7E6"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29 Grahn attempts to distinguish </w:t>
      </w:r>
      <w:r>
        <w:rPr>
          <w:rFonts w:ascii="Times New Roman" w:hAnsi="Times New Roman" w:cs="Times New Roman"/>
          <w:color w:val="000000"/>
          <w:sz w:val="20"/>
          <w:szCs w:val="20"/>
          <w:u w:val="single"/>
        </w:rPr>
        <w:t>Merceri</w:t>
      </w:r>
      <w:r>
        <w:rPr>
          <w:rFonts w:ascii="Times New Roman" w:hAnsi="Times New Roman" w:cs="Times New Roman"/>
          <w:color w:val="000000"/>
          <w:sz w:val="20"/>
          <w:szCs w:val="20"/>
        </w:rPr>
        <w:t xml:space="preserve"> on various grounds. First, Grahn argues that </w:t>
      </w:r>
      <w:r>
        <w:rPr>
          <w:rFonts w:ascii="Times New Roman" w:hAnsi="Times New Roman" w:cs="Times New Roman"/>
          <w:color w:val="000000"/>
          <w:sz w:val="20"/>
          <w:szCs w:val="20"/>
          <w:u w:val="single"/>
        </w:rPr>
        <w:t>Merceri</w:t>
      </w:r>
      <w:r>
        <w:rPr>
          <w:rFonts w:ascii="Times New Roman" w:hAnsi="Times New Roman" w:cs="Times New Roman"/>
          <w:color w:val="000000"/>
          <w:sz w:val="20"/>
          <w:szCs w:val="20"/>
        </w:rPr>
        <w:t xml:space="preserve"> is being improperly raised for the first time on appeal. But the issue whether the debt had been accelerated or wh</w:t>
      </w:r>
      <w:r>
        <w:rPr>
          <w:rFonts w:ascii="Times New Roman" w:hAnsi="Times New Roman" w:cs="Times New Roman"/>
          <w:color w:val="000000"/>
          <w:sz w:val="20"/>
          <w:szCs w:val="20"/>
        </w:rPr>
        <w:t xml:space="preserve">ether BNY was entitled to enforce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xml:space="preserve"> for each ongoing unpaid installment was raised below. A party is not precluded from raising new authority for the first time on appeal of summary judgment if the issue in contention was raised below.</w:t>
      </w:r>
      <w:bookmarkStart w:id="46" w:name="co_fnRef_B00342051999703_ID0EAUAG_1"/>
      <w:bookmarkEnd w:id="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"#co_footnote_B00342051999703_1"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Thus, Grahn’s argument fails because the acceleration issue was before the trial court.</w:t>
      </w:r>
    </w:p>
    <w:p w14:paraId="74804096"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3AB91E"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7" w:name="co_pp_sp_999_5_1"/>
      <w:bookmarkEnd w:id="47"/>
      <w:r>
        <w:rPr>
          <w:rFonts w:ascii="Times New Roman" w:hAnsi="Times New Roman" w:cs="Times New Roman"/>
          <w:b/>
          <w:bCs/>
          <w:color w:val="000000"/>
          <w:sz w:val="20"/>
          <w:szCs w:val="20"/>
        </w:rPr>
        <w:t>*5</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30 Second, Grahn contend</w:t>
      </w:r>
      <w:r>
        <w:rPr>
          <w:rFonts w:ascii="Times New Roman" w:hAnsi="Times New Roman" w:cs="Times New Roman"/>
          <w:color w:val="000000"/>
          <w:sz w:val="20"/>
          <w:szCs w:val="20"/>
        </w:rPr>
        <w:t xml:space="preserve">s that </w:t>
      </w:r>
      <w:r>
        <w:rPr>
          <w:rFonts w:ascii="Times New Roman" w:hAnsi="Times New Roman" w:cs="Times New Roman"/>
          <w:color w:val="000000"/>
          <w:sz w:val="20"/>
          <w:szCs w:val="20"/>
          <w:u w:val="single"/>
        </w:rPr>
        <w:t>Merceri</w:t>
      </w:r>
      <w:r>
        <w:rPr>
          <w:rFonts w:ascii="Times New Roman" w:hAnsi="Times New Roman" w:cs="Times New Roman"/>
          <w:color w:val="000000"/>
          <w:sz w:val="20"/>
          <w:szCs w:val="20"/>
        </w:rPr>
        <w:t xml:space="preserve"> should be distinguished because in </w:t>
      </w:r>
      <w:r>
        <w:rPr>
          <w:rFonts w:ascii="Times New Roman" w:hAnsi="Times New Roman" w:cs="Times New Roman"/>
          <w:color w:val="000000"/>
          <w:sz w:val="20"/>
          <w:szCs w:val="20"/>
          <w:u w:val="single"/>
        </w:rPr>
        <w:t>Merceri</w:t>
      </w:r>
      <w:r>
        <w:rPr>
          <w:rFonts w:ascii="Times New Roman" w:hAnsi="Times New Roman" w:cs="Times New Roman"/>
          <w:color w:val="000000"/>
          <w:sz w:val="20"/>
          <w:szCs w:val="20"/>
        </w:rPr>
        <w:t xml:space="preserve">, the debtor first initiated foreclosure six years after the notice of acceleration was given, but here, BNY immediately initiated foreclosure, which Grahn contends </w:t>
      </w:r>
      <w:r>
        <w:rPr>
          <w:rFonts w:ascii="Times New Roman" w:hAnsi="Times New Roman" w:cs="Times New Roman"/>
          <w:color w:val="000000"/>
          <w:sz w:val="20"/>
          <w:szCs w:val="20"/>
        </w:rPr>
        <w:t>“</w:t>
      </w:r>
      <w:r>
        <w:rPr>
          <w:rFonts w:ascii="Times New Roman" w:hAnsi="Times New Roman" w:cs="Times New Roman"/>
          <w:color w:val="000000"/>
          <w:sz w:val="20"/>
          <w:szCs w:val="20"/>
        </w:rPr>
        <w:t>confirm[ed] [BNY’s] intent [to co</w:t>
      </w:r>
      <w:r>
        <w:rPr>
          <w:rFonts w:ascii="Times New Roman" w:hAnsi="Times New Roman" w:cs="Times New Roman"/>
          <w:color w:val="000000"/>
          <w:sz w:val="20"/>
          <w:szCs w:val="20"/>
        </w:rPr>
        <w:t>mmence acceleration.]</w:t>
      </w:r>
      <w:r>
        <w:rPr>
          <w:rFonts w:ascii="Times New Roman" w:hAnsi="Times New Roman" w:cs="Times New Roman"/>
          <w:color w:val="000000"/>
          <w:sz w:val="20"/>
          <w:szCs w:val="20"/>
        </w:rPr>
        <w:t>”</w:t>
      </w:r>
      <w:bookmarkStart w:id="48" w:name="co_fnRef_B00352051999703_ID0EDWAG_1"/>
      <w:bookmarkEnd w:id="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"#co_footnote_B00352051999703_1"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However, the trial court declared the nonjudicial trustee’s sale that occurred on October 8, 2010 void. And after a</w:t>
      </w:r>
      <w:r>
        <w:rPr>
          <w:rFonts w:ascii="Times New Roman" w:hAnsi="Times New Roman" w:cs="Times New Roman"/>
          <w:color w:val="000000"/>
          <w:sz w:val="20"/>
          <w:szCs w:val="20"/>
        </w:rPr>
        <w:t xml:space="preserve"> proceeding is declared void, it never happened for legal purposes.</w:t>
      </w:r>
      <w:bookmarkStart w:id="49" w:name="co_fnRef_B00362051999703_ID0ENWAG_1"/>
      <w:bookmarkEnd w:id="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"#co_footnote_B00362051999703_1"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Therefore, Grahn’s reliance on the trustee’s sale to prove BNY’s inten</w:t>
      </w:r>
      <w:r>
        <w:rPr>
          <w:rFonts w:ascii="Times New Roman" w:hAnsi="Times New Roman" w:cs="Times New Roman"/>
          <w:color w:val="000000"/>
          <w:sz w:val="20"/>
          <w:szCs w:val="20"/>
        </w:rPr>
        <w:t>t to commence acceleration is misguided.</w:t>
      </w:r>
    </w:p>
    <w:p w14:paraId="22DCB334"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D39CBF"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31 Third, Grahn contends that unlike in </w:t>
      </w:r>
      <w:r>
        <w:rPr>
          <w:rFonts w:ascii="Times New Roman" w:hAnsi="Times New Roman" w:cs="Times New Roman"/>
          <w:color w:val="000000"/>
          <w:sz w:val="20"/>
          <w:szCs w:val="20"/>
          <w:u w:val="single"/>
        </w:rPr>
        <w:t>Merceri</w:t>
      </w:r>
      <w:r>
        <w:rPr>
          <w:rFonts w:ascii="Times New Roman" w:hAnsi="Times New Roman" w:cs="Times New Roman"/>
          <w:color w:val="000000"/>
          <w:sz w:val="20"/>
          <w:szCs w:val="20"/>
        </w:rPr>
        <w:t>, here, the notice of trustee’s sale reflects the debt had been accelerated. But the notice of trustee’s sale stated only that Grahn defaulted on $23,556.89. That s</w:t>
      </w:r>
      <w:r>
        <w:rPr>
          <w:rFonts w:ascii="Times New Roman" w:hAnsi="Times New Roman" w:cs="Times New Roman"/>
          <w:color w:val="000000"/>
          <w:sz w:val="20"/>
          <w:szCs w:val="20"/>
        </w:rPr>
        <w:t xml:space="preserve">pecific default amount is not contradicted by the recitation that the principal balance owing was $501,216.54. A notice indicating the amount in default was $23,556.89 on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which had a principal balance of $501,216.54, does not reflect an accelerat</w:t>
      </w:r>
      <w:r>
        <w:rPr>
          <w:rFonts w:ascii="Times New Roman" w:hAnsi="Times New Roman" w:cs="Times New Roman"/>
          <w:color w:val="000000"/>
          <w:sz w:val="20"/>
          <w:szCs w:val="20"/>
        </w:rPr>
        <w:t>ion in any sense.</w:t>
      </w:r>
    </w:p>
    <w:p w14:paraId="5C311078"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51B790"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32 Here, the notice of trustee’s sale did not purport to demand or announce an acceleration of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And the statements issued through October 2017 had no reference to an accelerated amount. Because the installment loan was not ac</w:t>
      </w:r>
      <w:r>
        <w:rPr>
          <w:rFonts w:ascii="Times New Roman" w:hAnsi="Times New Roman" w:cs="Times New Roman"/>
          <w:color w:val="000000"/>
          <w:sz w:val="20"/>
          <w:szCs w:val="20"/>
        </w:rPr>
        <w:t>celerated until late 2017, at the earliest, the six-year limitation period has not run.</w:t>
      </w:r>
      <w:bookmarkStart w:id="50" w:name="co_fnRef_B00372051999703_ID0EHZAG_1"/>
      <w:bookmarkEnd w:id="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"#co_footnote_B00372051999703_1"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37</w:t>
      </w:r>
      <w:r>
        <w:rPr>
          <w:rFonts w:ascii="Times New Roman" w:hAnsi="Times New Roman" w:cs="Times New Roman"/>
          <w:color w:val="000000"/>
          <w:sz w:val="16"/>
          <w:szCs w:val="16"/>
        </w:rPr>
        <w:fldChar w:fldCharType="end"/>
      </w:r>
    </w:p>
    <w:p w14:paraId="16FC05B4"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737D91"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32A4FFD7"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1" w:name="co_anchor_Iec3f05614d8e11ebacebac3a102d6"/>
      <w:bookmarkEnd w:id="51"/>
    </w:p>
    <w:p w14:paraId="7EF79E9D" w14:textId="77777777" w:rsidR="00000000" w:rsidRDefault="0066374B">
      <w:pPr>
        <w:widowControl w:val="0"/>
        <w:autoSpaceDE w:val="0"/>
        <w:autoSpaceDN w:val="0"/>
        <w:adjustRightInd w:val="0"/>
        <w:spacing w:before="400" w:after="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III. Inconsistency and Judicial Estoppel</w:t>
      </w:r>
    </w:p>
    <w:p w14:paraId="7C8CE01F"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33 Finally, Grahn challenges the inconsistency of B</w:t>
      </w:r>
      <w:r>
        <w:rPr>
          <w:rFonts w:ascii="Times New Roman" w:hAnsi="Times New Roman" w:cs="Times New Roman"/>
          <w:color w:val="000000"/>
          <w:sz w:val="20"/>
          <w:szCs w:val="20"/>
        </w:rPr>
        <w:t xml:space="preserve">NY’s claim that it can enforce the deed of trust. Specifically, Grahn contends BNY’s 2013 pleadings never mentioned that it received the deed of trust, but its 2017 pleadings argued that it received the deed of trust </w:t>
      </w:r>
      <w:r>
        <w:rPr>
          <w:rFonts w:ascii="Times New Roman" w:hAnsi="Times New Roman" w:cs="Times New Roman"/>
          <w:color w:val="000000"/>
          <w:sz w:val="20"/>
          <w:szCs w:val="20"/>
        </w:rPr>
        <w:t>“</w:t>
      </w:r>
      <w:r>
        <w:rPr>
          <w:rFonts w:ascii="Times New Roman" w:hAnsi="Times New Roman" w:cs="Times New Roman"/>
          <w:color w:val="000000"/>
          <w:sz w:val="20"/>
          <w:szCs w:val="20"/>
        </w:rPr>
        <w:t>as a matter of law.</w:t>
      </w:r>
      <w:r>
        <w:rPr>
          <w:rFonts w:ascii="Times New Roman" w:hAnsi="Times New Roman" w:cs="Times New Roman"/>
          <w:color w:val="000000"/>
          <w:sz w:val="20"/>
          <w:szCs w:val="20"/>
        </w:rPr>
        <w:t>”</w:t>
      </w:r>
      <w:bookmarkStart w:id="52" w:name="co_fnRef_B00382051999703_ID0ET1AG_1"/>
      <w:bookmarkEnd w:id="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"#co_footnote_B00382051999703_1"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He argues BNY is </w:t>
      </w:r>
      <w:r>
        <w:rPr>
          <w:rFonts w:ascii="Times New Roman" w:hAnsi="Times New Roman" w:cs="Times New Roman"/>
          <w:color w:val="000000"/>
          <w:sz w:val="20"/>
          <w:szCs w:val="20"/>
        </w:rPr>
        <w:t>“</w:t>
      </w:r>
      <w:r>
        <w:rPr>
          <w:rFonts w:ascii="Times New Roman" w:hAnsi="Times New Roman" w:cs="Times New Roman"/>
          <w:color w:val="000000"/>
          <w:sz w:val="20"/>
          <w:szCs w:val="20"/>
        </w:rPr>
        <w:t>violating judicial estoppel and not incorporating the prior asserted facts.</w:t>
      </w:r>
      <w:r>
        <w:rPr>
          <w:rFonts w:ascii="Times New Roman" w:hAnsi="Times New Roman" w:cs="Times New Roman"/>
          <w:color w:val="000000"/>
          <w:sz w:val="20"/>
          <w:szCs w:val="20"/>
        </w:rPr>
        <w:t>”</w:t>
      </w:r>
      <w:bookmarkStart w:id="53" w:name="co_fnRef_B00392051999703_ID0EE2AG_1"/>
      <w:bookmarkEnd w:id="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"#co_footnote_B00392051999703_1"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He also points to some 2014 trial court comments expressing uncertainty whether the deed of trust was automatically reinstated after the court voided the 2010 trustee’s sale.</w:t>
      </w:r>
    </w:p>
    <w:p w14:paraId="437F0577"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0177F9"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34 First, his argum</w:t>
      </w:r>
      <w:r>
        <w:rPr>
          <w:rFonts w:ascii="Times New Roman" w:hAnsi="Times New Roman" w:cs="Times New Roman"/>
          <w:color w:val="000000"/>
          <w:sz w:val="20"/>
          <w:szCs w:val="20"/>
        </w:rPr>
        <w:t xml:space="preserve">ents do not adequately account for the March 1, 2018 </w:t>
      </w:r>
      <w:r>
        <w:rPr>
          <w:rFonts w:ascii="Times New Roman" w:hAnsi="Times New Roman" w:cs="Times New Roman"/>
          <w:color w:val="000000"/>
          <w:sz w:val="20"/>
          <w:szCs w:val="20"/>
        </w:rPr>
        <w:t>“</w:t>
      </w:r>
      <w:r>
        <w:rPr>
          <w:rFonts w:ascii="Times New Roman" w:hAnsi="Times New Roman" w:cs="Times New Roman"/>
          <w:color w:val="000000"/>
          <w:sz w:val="20"/>
          <w:szCs w:val="20"/>
        </w:rPr>
        <w:t>Second Corrective Corporate Assign Deed of Trust.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He cites no authority precluding the correction of an incomplete name in a prior assignment.</w:t>
      </w:r>
    </w:p>
    <w:p w14:paraId="0264922F"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48B8F6"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35 Second, judicial estoppel is an equitable doctrine </w:t>
      </w:r>
      <w:r>
        <w:rPr>
          <w:rFonts w:ascii="Times New Roman" w:hAnsi="Times New Roman" w:cs="Times New Roman"/>
          <w:color w:val="000000"/>
          <w:sz w:val="20"/>
          <w:szCs w:val="20"/>
        </w:rPr>
        <w:t xml:space="preserve">that prevents a party from asserting one position in a court proceeding and later asserting </w:t>
      </w:r>
      <w:r>
        <w:rPr>
          <w:rFonts w:ascii="Times New Roman" w:hAnsi="Times New Roman" w:cs="Times New Roman"/>
          <w:color w:val="000000"/>
          <w:sz w:val="20"/>
          <w:szCs w:val="20"/>
        </w:rPr>
        <w:t>“</w:t>
      </w:r>
      <w:r>
        <w:rPr>
          <w:rFonts w:ascii="Times New Roman" w:hAnsi="Times New Roman" w:cs="Times New Roman"/>
          <w:color w:val="000000"/>
          <w:sz w:val="20"/>
          <w:szCs w:val="20"/>
        </w:rPr>
        <w:t>a clearly inconsistent position.</w:t>
      </w:r>
      <w:r>
        <w:rPr>
          <w:rFonts w:ascii="Times New Roman" w:hAnsi="Times New Roman" w:cs="Times New Roman"/>
          <w:color w:val="000000"/>
          <w:sz w:val="20"/>
          <w:szCs w:val="20"/>
        </w:rPr>
        <w:t>”</w:t>
      </w:r>
      <w:bookmarkStart w:id="54" w:name="co_fnRef_B00402051999703_ID0EN4AG_1"/>
      <w:bookmarkEnd w:id="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"#co_footnote_B00402051999703_1"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40</w:t>
      </w:r>
      <w:r>
        <w:rPr>
          <w:rFonts w:ascii="Times New Roman" w:hAnsi="Times New Roman" w:cs="Times New Roman"/>
          <w:color w:val="000000"/>
          <w:sz w:val="16"/>
          <w:szCs w:val="16"/>
        </w:rPr>
        <w:fldChar w:fldCharType="end"/>
      </w:r>
    </w:p>
    <w:p w14:paraId="6BECB5CB" w14:textId="77777777" w:rsidR="00000000" w:rsidRDefault="0066374B">
      <w:pPr>
        <w:widowControl w:val="0"/>
        <w:autoSpaceDE w:val="0"/>
        <w:autoSpaceDN w:val="0"/>
        <w:adjustRightInd w:val="0"/>
        <w:spacing w:before="400" w:after="0" w:line="240" w:lineRule="auto"/>
        <w:ind w:left="200"/>
        <w:jc w:val="both"/>
        <w:rPr>
          <w:rFonts w:ascii="Times New Roman" w:hAnsi="Times New Roman" w:cs="Times New Roman"/>
          <w:color w:val="000000"/>
          <w:sz w:val="16"/>
          <w:szCs w:val="16"/>
          <w:vertAlign w:val="superscript"/>
        </w:rPr>
      </w:pPr>
      <w:r>
        <w:rPr>
          <w:rFonts w:ascii="Times New Roman" w:hAnsi="Times New Roman" w:cs="Times New Roman"/>
          <w:color w:val="000000"/>
          <w:sz w:val="20"/>
          <w:szCs w:val="20"/>
        </w:rPr>
        <w:t xml:space="preserve">Three </w:t>
      </w:r>
      <w:r>
        <w:rPr>
          <w:rFonts w:ascii="Times New Roman" w:hAnsi="Times New Roman" w:cs="Times New Roman"/>
          <w:color w:val="000000"/>
          <w:sz w:val="20"/>
          <w:szCs w:val="20"/>
        </w:rPr>
        <w:t>“</w:t>
      </w:r>
      <w:r>
        <w:rPr>
          <w:rFonts w:ascii="Times New Roman" w:hAnsi="Times New Roman" w:cs="Times New Roman"/>
          <w:color w:val="000000"/>
          <w:sz w:val="20"/>
          <w:szCs w:val="20"/>
        </w:rPr>
        <w:t>core</w:t>
      </w:r>
      <w:r>
        <w:rPr>
          <w:rFonts w:ascii="Times New Roman" w:hAnsi="Times New Roman" w:cs="Times New Roman"/>
          <w:color w:val="000000"/>
          <w:sz w:val="20"/>
          <w:szCs w:val="20"/>
        </w:rPr>
        <w: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nonexhaustive factors guide a trial court’s determination of whether to apply judicial estoppel: (1) whether the party’s later position is clearly inconsistent with its earlier position, (2) whether acceptance of the later inconsistent position would cr</w:t>
      </w:r>
      <w:r>
        <w:rPr>
          <w:rFonts w:ascii="Times New Roman" w:hAnsi="Times New Roman" w:cs="Times New Roman"/>
          <w:color w:val="000000"/>
          <w:sz w:val="20"/>
          <w:szCs w:val="20"/>
        </w:rPr>
        <w:t>eate the perception that either the first or the second court was misled, and (3) whether the assertion of the inconsistent position would create an unfair advantage for the asserting party or an unfair detriment to the opposing party.</w:t>
      </w:r>
      <w:r>
        <w:rPr>
          <w:rFonts w:ascii="Times New Roman" w:hAnsi="Times New Roman" w:cs="Times New Roman"/>
          <w:color w:val="000000"/>
          <w:sz w:val="16"/>
          <w:szCs w:val="16"/>
          <w:vertAlign w:val="superscript"/>
        </w:rPr>
        <w:t>[</w:t>
      </w:r>
      <w:bookmarkStart w:id="55" w:name="co_fnRef_B00412051999703_ID0EB5AG_1"/>
      <w:bookmarkEnd w:id="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"#co_footnote_B00412051999703_1"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41</w:t>
      </w:r>
      <w:r>
        <w:rPr>
          <w:rFonts w:ascii="Times New Roman" w:hAnsi="Times New Roman" w:cs="Times New Roman"/>
          <w:color w:val="000000"/>
          <w:sz w:val="16"/>
          <w:szCs w:val="16"/>
        </w:rPr>
        <w:fldChar w:fldCharType="end"/>
      </w:r>
      <w:r>
        <w:rPr>
          <w:rFonts w:ascii="Times New Roman" w:hAnsi="Times New Roman" w:cs="Times New Roman"/>
          <w:color w:val="000000"/>
          <w:sz w:val="16"/>
          <w:szCs w:val="16"/>
          <w:vertAlign w:val="superscript"/>
        </w:rPr>
        <w:t>]</w:t>
      </w:r>
    </w:p>
    <w:p w14:paraId="73072A53"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Before the doctrine of judicial estoppel may be applied, a party’s initial position</w:t>
      </w:r>
      <w:r>
        <w:rPr>
          <w:rFonts w:ascii="Times New Roman" w:hAnsi="Times New Roman" w:cs="Times New Roman"/>
          <w:color w:val="000000"/>
          <w:sz w:val="20"/>
          <w:szCs w:val="20"/>
        </w:rPr>
        <w:t>—</w:t>
      </w:r>
      <w:r>
        <w:rPr>
          <w:rFonts w:ascii="Times New Roman" w:hAnsi="Times New Roman" w:cs="Times New Roman"/>
          <w:color w:val="000000"/>
          <w:sz w:val="20"/>
          <w:szCs w:val="20"/>
        </w:rPr>
        <w:t>which is subsequently contradicted in a different proceeding</w:t>
      </w:r>
      <w:r>
        <w:rPr>
          <w:rFonts w:ascii="Times New Roman" w:hAnsi="Times New Roman" w:cs="Times New Roman"/>
          <w:color w:val="000000"/>
          <w:sz w:val="20"/>
          <w:szCs w:val="20"/>
        </w:rPr>
        <w:t>—</w:t>
      </w:r>
      <w:r>
        <w:rPr>
          <w:rFonts w:ascii="Times New Roman" w:hAnsi="Times New Roman" w:cs="Times New Roman"/>
          <w:color w:val="000000"/>
          <w:sz w:val="20"/>
          <w:szCs w:val="20"/>
        </w:rPr>
        <w:t>must be accepted by the court to which it is presented.</w:t>
      </w:r>
      <w:r>
        <w:rPr>
          <w:rFonts w:ascii="Times New Roman" w:hAnsi="Times New Roman" w:cs="Times New Roman"/>
          <w:color w:val="000000"/>
          <w:sz w:val="20"/>
          <w:szCs w:val="20"/>
        </w:rPr>
        <w:t>”</w:t>
      </w:r>
      <w:bookmarkStart w:id="56" w:name="co_fnRef_B00422051999703_ID0EX5AG_1"/>
      <w:bookmarkEnd w:id="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"#co_footnote_B00422051999703_1"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Grahn does not estab</w:t>
      </w:r>
      <w:r>
        <w:rPr>
          <w:rFonts w:ascii="Times New Roman" w:hAnsi="Times New Roman" w:cs="Times New Roman"/>
          <w:color w:val="000000"/>
          <w:sz w:val="20"/>
          <w:szCs w:val="20"/>
        </w:rPr>
        <w:t xml:space="preserve">lish BNY has taken </w:t>
      </w:r>
      <w:r>
        <w:rPr>
          <w:rFonts w:ascii="Times New Roman" w:hAnsi="Times New Roman" w:cs="Times New Roman"/>
          <w:color w:val="000000"/>
          <w:sz w:val="20"/>
          <w:szCs w:val="20"/>
        </w:rPr>
        <w:t>“</w:t>
      </w:r>
      <w:r>
        <w:rPr>
          <w:rFonts w:ascii="Times New Roman" w:hAnsi="Times New Roman" w:cs="Times New Roman"/>
          <w:color w:val="000000"/>
          <w:sz w:val="20"/>
          <w:szCs w:val="20"/>
        </w:rPr>
        <w:t>clearly inconsistent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positions as required for judicial estoppel. The failure to mention receiving the deed of trust in 2013 is not </w:t>
      </w:r>
      <w:r>
        <w:rPr>
          <w:rFonts w:ascii="Times New Roman" w:hAnsi="Times New Roman" w:cs="Times New Roman"/>
          <w:color w:val="000000"/>
          <w:sz w:val="20"/>
          <w:szCs w:val="20"/>
        </w:rPr>
        <w:t>“</w:t>
      </w:r>
      <w:r>
        <w:rPr>
          <w:rFonts w:ascii="Times New Roman" w:hAnsi="Times New Roman" w:cs="Times New Roman"/>
          <w:color w:val="000000"/>
          <w:sz w:val="20"/>
          <w:szCs w:val="20"/>
        </w:rPr>
        <w:t>clearly inconsistent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with an allegation in 2017 that it received the deed of trust </w:t>
      </w:r>
      <w:r>
        <w:rPr>
          <w:rFonts w:ascii="Times New Roman" w:hAnsi="Times New Roman" w:cs="Times New Roman"/>
          <w:color w:val="000000"/>
          <w:sz w:val="20"/>
          <w:szCs w:val="20"/>
        </w:rPr>
        <w:t>“</w:t>
      </w:r>
      <w:r>
        <w:rPr>
          <w:rFonts w:ascii="Times New Roman" w:hAnsi="Times New Roman" w:cs="Times New Roman"/>
          <w:color w:val="000000"/>
          <w:sz w:val="20"/>
          <w:szCs w:val="20"/>
        </w:rPr>
        <w:t>as a matter of la</w:t>
      </w:r>
      <w:r>
        <w:rPr>
          <w:rFonts w:ascii="Times New Roman" w:hAnsi="Times New Roman" w:cs="Times New Roman"/>
          <w:color w:val="000000"/>
          <w:sz w:val="20"/>
          <w:szCs w:val="20"/>
        </w:rPr>
        <w:t>w.</w:t>
      </w:r>
      <w:r>
        <w:rPr>
          <w:rFonts w:ascii="Times New Roman" w:hAnsi="Times New Roman" w:cs="Times New Roman"/>
          <w:color w:val="000000"/>
          <w:sz w:val="20"/>
          <w:szCs w:val="20"/>
        </w:rPr>
        <w:t>”</w:t>
      </w:r>
    </w:p>
    <w:p w14:paraId="74EF9C79"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52C492"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7" w:name="co_pp_sp_999_6_1"/>
      <w:bookmarkEnd w:id="57"/>
      <w:r>
        <w:rPr>
          <w:rFonts w:ascii="Times New Roman" w:hAnsi="Times New Roman" w:cs="Times New Roman"/>
          <w:b/>
          <w:bCs/>
          <w:color w:val="000000"/>
          <w:sz w:val="20"/>
          <w:szCs w:val="20"/>
        </w:rPr>
        <w:t>*6</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36 And he provides no citations to the record to show that the trial court squarely accepted a proposition that BNY never possessed the deed of trust. At the hearing on the initial summary judgment motion in 2014,</w:t>
      </w:r>
      <w:r>
        <w:rPr>
          <w:rFonts w:ascii="Times New Roman" w:hAnsi="Times New Roman" w:cs="Times New Roman"/>
          <w:color w:val="000000"/>
          <w:sz w:val="20"/>
          <w:szCs w:val="20"/>
        </w:rPr>
        <w:t xml:space="preserve"> the court stated, </w:t>
      </w:r>
      <w:r>
        <w:rPr>
          <w:rFonts w:ascii="Times New Roman" w:hAnsi="Times New Roman" w:cs="Times New Roman"/>
          <w:color w:val="000000"/>
          <w:sz w:val="20"/>
          <w:szCs w:val="20"/>
        </w:rPr>
        <w:t>“</w:t>
      </w:r>
      <w:r>
        <w:rPr>
          <w:rFonts w:ascii="Times New Roman" w:hAnsi="Times New Roman" w:cs="Times New Roman"/>
          <w:color w:val="000000"/>
          <w:sz w:val="20"/>
          <w:szCs w:val="20"/>
        </w:rPr>
        <w:t>I don’t believe [Grahn] has objected to the court voiding the [foreclosure] sale, that is the nonjudicial sale that took place before, and so that does put back in place the deed of trust [to BNY].</w:t>
      </w:r>
      <w:r>
        <w:rPr>
          <w:rFonts w:ascii="Times New Roman" w:hAnsi="Times New Roman" w:cs="Times New Roman"/>
          <w:color w:val="000000"/>
          <w:sz w:val="20"/>
          <w:szCs w:val="20"/>
        </w:rPr>
        <w:t>”</w:t>
      </w:r>
      <w:bookmarkStart w:id="58" w:name="co_fnRef_B00432051999703_ID0EICBG_1"/>
      <w:bookmarkEnd w:id="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"#co_footnote_B00432051999703_1" </w:instrText>
      </w:r>
      <w:r w:rsidR="002938ED">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43</w:t>
      </w:r>
      <w:r>
        <w:rPr>
          <w:rFonts w:ascii="Times New Roman" w:hAnsi="Times New Roman" w:cs="Times New Roman"/>
          <w:color w:val="000000"/>
          <w:sz w:val="16"/>
          <w:szCs w:val="16"/>
        </w:rPr>
        <w:fldChar w:fldCharType="end"/>
      </w:r>
    </w:p>
    <w:p w14:paraId="2D4BDD32"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719DEE"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37 Finally, to the extent there may be exceptions to the doctrine that as a matter of law, the deed of trust follows the </w:t>
      </w:r>
      <w:r>
        <w:rPr>
          <w:rFonts w:ascii="Times New Roman" w:hAnsi="Times New Roman" w:cs="Times New Roman"/>
          <w:b/>
          <w:bCs/>
          <w:color w:val="252525"/>
          <w:sz w:val="20"/>
          <w:szCs w:val="20"/>
          <w:shd w:val="clear" w:color="auto" w:fill="FFFF66"/>
        </w:rPr>
        <w:t>note</w:t>
      </w:r>
      <w:r>
        <w:rPr>
          <w:rFonts w:ascii="Times New Roman" w:hAnsi="Times New Roman" w:cs="Times New Roman"/>
          <w:color w:val="000000"/>
          <w:sz w:val="20"/>
          <w:szCs w:val="20"/>
        </w:rPr>
        <w:t>, Grahn cites no authority supporting an excep</w:t>
      </w:r>
      <w:r>
        <w:rPr>
          <w:rFonts w:ascii="Times New Roman" w:hAnsi="Times New Roman" w:cs="Times New Roman"/>
          <w:color w:val="000000"/>
          <w:sz w:val="20"/>
          <w:szCs w:val="20"/>
        </w:rPr>
        <w:t>tion in this setting.</w:t>
      </w:r>
    </w:p>
    <w:p w14:paraId="6BC49A56"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61BE24"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38 Therefore, we affirm.</w:t>
      </w:r>
    </w:p>
    <w:p w14:paraId="70C8504E"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BDA976" w14:textId="77777777" w:rsidR="00000000" w:rsidRDefault="0066374B">
      <w:pPr>
        <w:widowControl w:val="0"/>
        <w:autoSpaceDE w:val="0"/>
        <w:autoSpaceDN w:val="0"/>
        <w:adjustRightInd w:val="0"/>
        <w:spacing w:before="6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CONCUR:</w:t>
      </w:r>
    </w:p>
    <w:p w14:paraId="3A1AE7B6" w14:textId="77777777" w:rsidR="00000000" w:rsidRDefault="0066374B">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18" w:history="1">
        <w:r>
          <w:rPr>
            <w:rFonts w:ascii="Times New Roman" w:hAnsi="Times New Roman" w:cs="Times New Roman"/>
            <w:color w:val="0000FF"/>
            <w:sz w:val="20"/>
            <w:szCs w:val="20"/>
          </w:rPr>
          <w:t>Dwyer</w:t>
        </w:r>
      </w:hyperlink>
      <w:r>
        <w:rPr>
          <w:rFonts w:ascii="Times New Roman" w:hAnsi="Times New Roman" w:cs="Times New Roman"/>
          <w:color w:val="000000"/>
          <w:sz w:val="20"/>
          <w:szCs w:val="20"/>
        </w:rPr>
        <w:t>, J.</w:t>
      </w:r>
    </w:p>
    <w:p w14:paraId="353814C6" w14:textId="77777777" w:rsidR="00000000" w:rsidRDefault="0066374B">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19" w:history="1">
        <w:r>
          <w:rPr>
            <w:rFonts w:ascii="Times New Roman" w:hAnsi="Times New Roman" w:cs="Times New Roman"/>
            <w:color w:val="0000FF"/>
            <w:sz w:val="20"/>
            <w:szCs w:val="20"/>
          </w:rPr>
          <w:t>Leach</w:t>
        </w:r>
      </w:hyperlink>
      <w:r>
        <w:rPr>
          <w:rFonts w:ascii="Times New Roman" w:hAnsi="Times New Roman" w:cs="Times New Roman"/>
          <w:color w:val="000000"/>
          <w:sz w:val="20"/>
          <w:szCs w:val="20"/>
        </w:rPr>
        <w:t>, J.</w:t>
      </w:r>
    </w:p>
    <w:p w14:paraId="4381B9BC" w14:textId="77777777" w:rsidR="00000000" w:rsidRDefault="0066374B">
      <w:pPr>
        <w:widowControl w:val="0"/>
        <w:autoSpaceDE w:val="0"/>
        <w:autoSpaceDN w:val="0"/>
        <w:adjustRightInd w:val="0"/>
        <w:spacing w:before="200" w:after="200" w:line="240" w:lineRule="auto"/>
        <w:jc w:val="both"/>
        <w:rPr>
          <w:rFonts w:ascii="Times New Roman" w:hAnsi="Times New Roman" w:cs="Times New Roman"/>
          <w:b/>
          <w:bCs/>
          <w:color w:val="212121"/>
          <w:sz w:val="20"/>
          <w:szCs w:val="20"/>
        </w:rPr>
      </w:pPr>
      <w:bookmarkStart w:id="59" w:name="co_allCitations_1"/>
      <w:bookmarkEnd w:id="59"/>
      <w:r>
        <w:rPr>
          <w:rFonts w:ascii="Times New Roman" w:hAnsi="Times New Roman" w:cs="Times New Roman"/>
          <w:b/>
          <w:bCs/>
          <w:color w:val="212121"/>
          <w:sz w:val="20"/>
          <w:szCs w:val="20"/>
        </w:rPr>
        <w:t>All Citations</w:t>
      </w:r>
    </w:p>
    <w:p w14:paraId="62BF37EA" w14:textId="77777777" w:rsidR="00000000" w:rsidRDefault="0066374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Not Reported in Pac. Rptr., 14 Wash.App.2d 1046, 2020 WL 5891892</w:t>
      </w:r>
    </w:p>
    <w:p w14:paraId="5CD0E4F2"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p w14:paraId="54EC090E" w14:textId="77777777" w:rsidR="00000000" w:rsidRDefault="0066374B">
      <w:pPr>
        <w:widowControl w:val="0"/>
        <w:autoSpaceDE w:val="0"/>
        <w:autoSpaceDN w:val="0"/>
        <w:adjustRightInd w:val="0"/>
        <w:spacing w:after="0" w:line="240" w:lineRule="auto"/>
        <w:rPr>
          <w:rFonts w:ascii="Arial" w:hAnsi="Arial" w:cs="Arial"/>
          <w:sz w:val="24"/>
          <w:szCs w:val="24"/>
        </w:rPr>
        <w:sectPr w:rsidR="00000000">
          <w:type w:val="continuous"/>
          <w:pgSz w:w="12240" w:h="15840"/>
          <w:pgMar w:top="1080" w:right="1080" w:bottom="1080" w:left="1080" w:header="720" w:footer="720" w:gutter="0"/>
          <w:cols w:num="2" w:space="720"/>
          <w:noEndnote/>
        </w:sect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000000" w14:paraId="23702B6F" w14:textId="77777777">
        <w:tblPrEx>
          <w:tblCellMar>
            <w:top w:w="0" w:type="dxa"/>
            <w:left w:w="0" w:type="dxa"/>
            <w:bottom w:w="0" w:type="dxa"/>
            <w:right w:w="0" w:type="dxa"/>
          </w:tblCellMar>
        </w:tblPrEx>
        <w:tc>
          <w:tcPr>
            <w:tcW w:w="10080" w:type="dxa"/>
            <w:gridSpan w:val="2"/>
            <w:tcBorders>
              <w:top w:val="nil"/>
              <w:left w:val="nil"/>
              <w:bottom w:val="nil"/>
              <w:right w:val="nil"/>
            </w:tcBorders>
            <w:tcMar>
              <w:top w:w="200" w:type="dxa"/>
            </w:tcMar>
          </w:tcPr>
          <w:p w14:paraId="7E244290" w14:textId="77777777" w:rsidR="00000000" w:rsidRDefault="0066374B">
            <w:pPr>
              <w:widowControl w:val="0"/>
              <w:autoSpaceDE w:val="0"/>
              <w:autoSpaceDN w:val="0"/>
              <w:adjustRightInd w:val="0"/>
              <w:spacing w:after="0" w:line="240" w:lineRule="auto"/>
              <w:rPr>
                <w:rFonts w:ascii="sans-serif" w:hAnsi="sans-serif" w:cs="sans-serif"/>
                <w:color w:val="000000"/>
                <w:sz w:val="20"/>
                <w:szCs w:val="20"/>
              </w:rPr>
            </w:pPr>
            <w:r>
              <w:rPr>
                <w:rFonts w:ascii="sans-serif" w:hAnsi="sans-serif" w:cs="sans-serif"/>
                <w:color w:val="000000"/>
                <w:sz w:val="20"/>
                <w:szCs w:val="20"/>
              </w:rPr>
              <w:t>Footnotes</w:t>
            </w:r>
          </w:p>
          <w:p w14:paraId="501A7E68" w14:textId="77777777" w:rsidR="00000000" w:rsidRDefault="0066374B">
            <w:pPr>
              <w:widowControl w:val="0"/>
              <w:autoSpaceDE w:val="0"/>
              <w:autoSpaceDN w:val="0"/>
              <w:adjustRightInd w:val="0"/>
              <w:spacing w:after="0" w:line="240" w:lineRule="auto"/>
              <w:rPr>
                <w:rFonts w:ascii="sans-serif" w:hAnsi="sans-serif" w:cs="sans-serif"/>
                <w:color w:val="000000"/>
                <w:sz w:val="20"/>
                <w:szCs w:val="20"/>
              </w:rPr>
            </w:pPr>
          </w:p>
        </w:tc>
      </w:tr>
      <w:bookmarkStart w:id="60" w:name="co_footnote_B00012051999703_1"/>
      <w:bookmarkEnd w:id="60"/>
      <w:tr w:rsidR="00000000" w14:paraId="6E5CD1ED" w14:textId="77777777">
        <w:tblPrEx>
          <w:tblCellMar>
            <w:top w:w="0" w:type="dxa"/>
            <w:left w:w="0" w:type="dxa"/>
            <w:bottom w:w="0" w:type="dxa"/>
            <w:right w:w="0" w:type="dxa"/>
          </w:tblCellMar>
        </w:tblPrEx>
        <w:tc>
          <w:tcPr>
            <w:tcW w:w="600" w:type="dxa"/>
            <w:tcBorders>
              <w:top w:val="nil"/>
              <w:left w:val="nil"/>
              <w:bottom w:val="nil"/>
              <w:right w:val="nil"/>
            </w:tcBorders>
          </w:tcPr>
          <w:p w14:paraId="213EF806"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"#co_fnRef_B00012051999703_ID0EFGAC_1"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w:t>
            </w:r>
            <w:r>
              <w:rPr>
                <w:rFonts w:ascii="sans-serif" w:hAnsi="sans-serif" w:cs="sans-serif"/>
                <w:color w:val="000000"/>
                <w:sz w:val="24"/>
                <w:szCs w:val="24"/>
              </w:rPr>
              <w:fldChar w:fldCharType="end"/>
            </w:r>
          </w:p>
          <w:p w14:paraId="07BDC896"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16C4E422"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Clerk’s Papers (CP) at 48-49.</w:t>
            </w:r>
          </w:p>
          <w:p w14:paraId="1A70A453"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61" w:name="co_footnote_B00022051999703_1"/>
      <w:bookmarkEnd w:id="61"/>
      <w:tr w:rsidR="00000000" w14:paraId="0642A750" w14:textId="77777777">
        <w:tblPrEx>
          <w:tblCellMar>
            <w:top w:w="0" w:type="dxa"/>
            <w:left w:w="0" w:type="dxa"/>
            <w:bottom w:w="0" w:type="dxa"/>
            <w:right w:w="0" w:type="dxa"/>
          </w:tblCellMar>
        </w:tblPrEx>
        <w:tc>
          <w:tcPr>
            <w:tcW w:w="600" w:type="dxa"/>
            <w:tcBorders>
              <w:top w:val="nil"/>
              <w:left w:val="nil"/>
              <w:bottom w:val="nil"/>
              <w:right w:val="nil"/>
            </w:tcBorders>
          </w:tcPr>
          <w:p w14:paraId="79EE5FC3"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"#co_fnRef_B00022051999703_ID0EBJAC_1"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w:t>
            </w:r>
            <w:r>
              <w:rPr>
                <w:rFonts w:ascii="sans-serif" w:hAnsi="sans-serif" w:cs="sans-serif"/>
                <w:color w:val="000000"/>
                <w:sz w:val="24"/>
                <w:szCs w:val="24"/>
              </w:rPr>
              <w:fldChar w:fldCharType="end"/>
            </w:r>
          </w:p>
          <w:p w14:paraId="48DCC6FB"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58CA70DC"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CP at 16.</w:t>
            </w:r>
          </w:p>
          <w:p w14:paraId="6958946A"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62" w:name="co_footnote_B00032051999703_1"/>
      <w:bookmarkEnd w:id="62"/>
      <w:tr w:rsidR="00000000" w14:paraId="64640ABF" w14:textId="77777777">
        <w:tblPrEx>
          <w:tblCellMar>
            <w:top w:w="0" w:type="dxa"/>
            <w:left w:w="0" w:type="dxa"/>
            <w:bottom w:w="0" w:type="dxa"/>
            <w:right w:w="0" w:type="dxa"/>
          </w:tblCellMar>
        </w:tblPrEx>
        <w:tc>
          <w:tcPr>
            <w:tcW w:w="600" w:type="dxa"/>
            <w:tcBorders>
              <w:top w:val="nil"/>
              <w:left w:val="nil"/>
              <w:bottom w:val="nil"/>
              <w:right w:val="nil"/>
            </w:tcBorders>
          </w:tcPr>
          <w:p w14:paraId="461964C1"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"#co_fnRef_B00032051999703_ID0EJKAC_1"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w:t>
            </w:r>
            <w:r>
              <w:rPr>
                <w:rFonts w:ascii="sans-serif" w:hAnsi="sans-serif" w:cs="sans-serif"/>
                <w:color w:val="000000"/>
                <w:sz w:val="24"/>
                <w:szCs w:val="24"/>
              </w:rPr>
              <w:fldChar w:fldCharType="end"/>
            </w:r>
          </w:p>
          <w:p w14:paraId="573B1EE5"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121D2EC8"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CP at 26.</w:t>
            </w:r>
          </w:p>
          <w:p w14:paraId="04985E3D"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63" w:name="co_footnote_B00042051999703_1"/>
      <w:bookmarkEnd w:id="63"/>
      <w:tr w:rsidR="00000000" w14:paraId="01E3358A" w14:textId="77777777">
        <w:tblPrEx>
          <w:tblCellMar>
            <w:top w:w="0" w:type="dxa"/>
            <w:left w:w="0" w:type="dxa"/>
            <w:bottom w:w="0" w:type="dxa"/>
            <w:right w:w="0" w:type="dxa"/>
          </w:tblCellMar>
        </w:tblPrEx>
        <w:tc>
          <w:tcPr>
            <w:tcW w:w="600" w:type="dxa"/>
            <w:tcBorders>
              <w:top w:val="nil"/>
              <w:left w:val="nil"/>
              <w:bottom w:val="nil"/>
              <w:right w:val="nil"/>
            </w:tcBorders>
          </w:tcPr>
          <w:p w14:paraId="6CFD3141"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"#co_fnRef_B00042051999703_ID0ESLAC_1"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4</w:t>
            </w:r>
            <w:r>
              <w:rPr>
                <w:rFonts w:ascii="sans-serif" w:hAnsi="sans-serif" w:cs="sans-serif"/>
                <w:color w:val="000000"/>
                <w:sz w:val="24"/>
                <w:szCs w:val="24"/>
              </w:rPr>
              <w:fldChar w:fldCharType="end"/>
            </w:r>
          </w:p>
          <w:p w14:paraId="48576BB8"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5CCC5B44"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CP at 92.</w:t>
            </w:r>
          </w:p>
          <w:p w14:paraId="26D62F59"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64" w:name="co_footnote_B00052051999703_1"/>
      <w:bookmarkEnd w:id="64"/>
      <w:tr w:rsidR="00000000" w14:paraId="0DF26EF4" w14:textId="77777777">
        <w:tblPrEx>
          <w:tblCellMar>
            <w:top w:w="0" w:type="dxa"/>
            <w:left w:w="0" w:type="dxa"/>
            <w:bottom w:w="0" w:type="dxa"/>
            <w:right w:w="0" w:type="dxa"/>
          </w:tblCellMar>
        </w:tblPrEx>
        <w:tc>
          <w:tcPr>
            <w:tcW w:w="600" w:type="dxa"/>
            <w:tcBorders>
              <w:top w:val="nil"/>
              <w:left w:val="nil"/>
              <w:bottom w:val="nil"/>
              <w:right w:val="nil"/>
            </w:tcBorders>
          </w:tcPr>
          <w:p w14:paraId="04899833"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"#co_fnRef_B00052051999703_ID0E2NAC_1"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5</w:t>
            </w:r>
            <w:r>
              <w:rPr>
                <w:rFonts w:ascii="sans-serif" w:hAnsi="sans-serif" w:cs="sans-serif"/>
                <w:color w:val="000000"/>
                <w:sz w:val="24"/>
                <w:szCs w:val="24"/>
              </w:rPr>
              <w:fldChar w:fldCharType="end"/>
            </w:r>
          </w:p>
          <w:p w14:paraId="2DA07E53"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011AFD8E"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Appellant’s Br. at 13.</w:t>
            </w:r>
          </w:p>
          <w:p w14:paraId="037DD8CA"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65" w:name="co_footnote_B00062051999703_1"/>
      <w:bookmarkEnd w:id="65"/>
      <w:tr w:rsidR="00000000" w14:paraId="42B296C8" w14:textId="77777777">
        <w:tblPrEx>
          <w:tblCellMar>
            <w:top w:w="0" w:type="dxa"/>
            <w:left w:w="0" w:type="dxa"/>
            <w:bottom w:w="0" w:type="dxa"/>
            <w:right w:w="0" w:type="dxa"/>
          </w:tblCellMar>
        </w:tblPrEx>
        <w:tc>
          <w:tcPr>
            <w:tcW w:w="600" w:type="dxa"/>
            <w:tcBorders>
              <w:top w:val="nil"/>
              <w:left w:val="nil"/>
              <w:bottom w:val="nil"/>
              <w:right w:val="nil"/>
            </w:tcBorders>
          </w:tcPr>
          <w:p w14:paraId="28973864"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"#co_fnRef_B00062051999703_ID0EEPAC_1"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6</w:t>
            </w:r>
            <w:r>
              <w:rPr>
                <w:rFonts w:ascii="sans-serif" w:hAnsi="sans-serif" w:cs="sans-serif"/>
                <w:color w:val="000000"/>
                <w:sz w:val="24"/>
                <w:szCs w:val="24"/>
              </w:rPr>
              <w:fldChar w:fldCharType="end"/>
            </w:r>
          </w:p>
          <w:p w14:paraId="4C5B178F"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5DA3984C"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20" w:history="1">
              <w:r>
                <w:rPr>
                  <w:rFonts w:ascii="sans-serif" w:hAnsi="sans-serif" w:cs="sans-serif"/>
                  <w:color w:val="0000FF"/>
                  <w:sz w:val="18"/>
                  <w:szCs w:val="18"/>
                  <w:u w:val="single"/>
                </w:rPr>
                <w:t>Loeffelholz v. Univ. of Wash.,</w:t>
              </w:r>
              <w:r>
                <w:rPr>
                  <w:rFonts w:ascii="sans-serif" w:hAnsi="sans-serif" w:cs="sans-serif"/>
                  <w:color w:val="0000FF"/>
                  <w:sz w:val="18"/>
                  <w:szCs w:val="18"/>
                </w:rPr>
                <w:t xml:space="preserve"> 175 Wn.2d 264, 271, 285 P.3d 854 (2012)</w:t>
              </w:r>
            </w:hyperlink>
            <w:r>
              <w:rPr>
                <w:rFonts w:ascii="sans-serif" w:hAnsi="sans-serif" w:cs="sans-serif"/>
                <w:color w:val="000000"/>
                <w:sz w:val="18"/>
                <w:szCs w:val="18"/>
              </w:rPr>
              <w:t>.</w:t>
            </w:r>
          </w:p>
          <w:p w14:paraId="68168328"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66" w:name="co_footnote_B00072051999703_1"/>
      <w:bookmarkEnd w:id="66"/>
      <w:tr w:rsidR="00000000" w14:paraId="3A0C0C7C" w14:textId="77777777">
        <w:tblPrEx>
          <w:tblCellMar>
            <w:top w:w="0" w:type="dxa"/>
            <w:left w:w="0" w:type="dxa"/>
            <w:bottom w:w="0" w:type="dxa"/>
            <w:right w:w="0" w:type="dxa"/>
          </w:tblCellMar>
        </w:tblPrEx>
        <w:tc>
          <w:tcPr>
            <w:tcW w:w="600" w:type="dxa"/>
            <w:tcBorders>
              <w:top w:val="nil"/>
              <w:left w:val="nil"/>
              <w:bottom w:val="nil"/>
              <w:right w:val="nil"/>
            </w:tcBorders>
          </w:tcPr>
          <w:p w14:paraId="584F5D28"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"#co_fnRef_B00072051999703_ID0EBAAE_1"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7</w:t>
            </w:r>
            <w:r>
              <w:rPr>
                <w:rFonts w:ascii="sans-serif" w:hAnsi="sans-serif" w:cs="sans-serif"/>
                <w:color w:val="000000"/>
                <w:sz w:val="24"/>
                <w:szCs w:val="24"/>
              </w:rPr>
              <w:fldChar w:fldCharType="end"/>
            </w:r>
          </w:p>
          <w:p w14:paraId="77B5B3F3"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10C56B1D"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21" w:history="1">
              <w:r>
                <w:rPr>
                  <w:rFonts w:ascii="sans-serif" w:hAnsi="sans-serif" w:cs="sans-serif"/>
                  <w:color w:val="0000FF"/>
                  <w:sz w:val="18"/>
                  <w:szCs w:val="18"/>
                  <w:u w:val="single"/>
                </w:rPr>
                <w:t>Bavand v. OneWest Bank</w:t>
              </w:r>
              <w:r>
                <w:rPr>
                  <w:rFonts w:ascii="sans-serif" w:hAnsi="sans-serif" w:cs="sans-serif"/>
                  <w:color w:val="0000FF"/>
                  <w:sz w:val="18"/>
                  <w:szCs w:val="18"/>
                </w:rPr>
                <w:t>, 196 Wn. App. 813, 824-25, 385 P.3d 233 (2016)</w:t>
              </w:r>
            </w:hyperlink>
            <w:r>
              <w:rPr>
                <w:rFonts w:ascii="sans-serif" w:hAnsi="sans-serif" w:cs="sans-serif"/>
                <w:color w:val="000000"/>
                <w:sz w:val="18"/>
                <w:szCs w:val="18"/>
              </w:rPr>
              <w:t xml:space="preserve"> (quoting </w:t>
            </w:r>
            <w:hyperlink r:id="rId22" w:history="1">
              <w:r>
                <w:rPr>
                  <w:rFonts w:ascii="sans-serif" w:hAnsi="sans-serif" w:cs="sans-serif"/>
                  <w:color w:val="0000FF"/>
                  <w:sz w:val="18"/>
                  <w:szCs w:val="18"/>
                  <w:u w:val="single"/>
                </w:rPr>
                <w:t>Scrivener v. Clark Coll.</w:t>
              </w:r>
              <w:r>
                <w:rPr>
                  <w:rFonts w:ascii="sans-serif" w:hAnsi="sans-serif" w:cs="sans-serif"/>
                  <w:color w:val="0000FF"/>
                  <w:sz w:val="18"/>
                  <w:szCs w:val="18"/>
                </w:rPr>
                <w:t>, 181 Wn.2d 439, 444, 334 P.3d 541 (2014)</w:t>
              </w:r>
            </w:hyperlink>
            <w:r>
              <w:rPr>
                <w:rFonts w:ascii="sans-serif" w:hAnsi="sans-serif" w:cs="sans-serif"/>
                <w:color w:val="000000"/>
                <w:sz w:val="18"/>
                <w:szCs w:val="18"/>
              </w:rPr>
              <w:t xml:space="preserve">) (citing </w:t>
            </w:r>
            <w:hyperlink r:id="rId23" w:history="1">
              <w:r>
                <w:rPr>
                  <w:rFonts w:ascii="sans-serif" w:hAnsi="sans-serif" w:cs="sans-serif"/>
                  <w:color w:val="0000FF"/>
                  <w:sz w:val="18"/>
                  <w:szCs w:val="18"/>
                </w:rPr>
                <w:t>CR 56(c)</w:t>
              </w:r>
            </w:hyperlink>
            <w:r>
              <w:rPr>
                <w:rFonts w:ascii="sans-serif" w:hAnsi="sans-serif" w:cs="sans-serif"/>
                <w:color w:val="000000"/>
                <w:sz w:val="18"/>
                <w:szCs w:val="18"/>
              </w:rPr>
              <w:t>).</w:t>
            </w:r>
          </w:p>
          <w:p w14:paraId="00AAF881"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67" w:name="co_footnote_B00082051999703_1"/>
      <w:bookmarkEnd w:id="67"/>
      <w:tr w:rsidR="00000000" w14:paraId="097EE042" w14:textId="77777777">
        <w:tblPrEx>
          <w:tblCellMar>
            <w:top w:w="0" w:type="dxa"/>
            <w:left w:w="0" w:type="dxa"/>
            <w:bottom w:w="0" w:type="dxa"/>
            <w:right w:w="0" w:type="dxa"/>
          </w:tblCellMar>
        </w:tblPrEx>
        <w:tc>
          <w:tcPr>
            <w:tcW w:w="600" w:type="dxa"/>
            <w:tcBorders>
              <w:top w:val="nil"/>
              <w:left w:val="nil"/>
              <w:bottom w:val="nil"/>
              <w:right w:val="nil"/>
            </w:tcBorders>
          </w:tcPr>
          <w:p w14:paraId="7B47BD8C"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"#co_fnRef_B00082051999703_ID0EPAAE_1"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8</w:t>
            </w:r>
            <w:r>
              <w:rPr>
                <w:rFonts w:ascii="sans-serif" w:hAnsi="sans-serif" w:cs="sans-serif"/>
                <w:color w:val="000000"/>
                <w:sz w:val="24"/>
                <w:szCs w:val="24"/>
              </w:rPr>
              <w:fldChar w:fldCharType="end"/>
            </w:r>
          </w:p>
          <w:p w14:paraId="0A3F9AA0"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451B9BDB"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24" w:history="1">
              <w:r>
                <w:rPr>
                  <w:rFonts w:ascii="sans-serif" w:hAnsi="sans-serif" w:cs="sans-serif"/>
                  <w:color w:val="0000FF"/>
                  <w:sz w:val="18"/>
                  <w:szCs w:val="18"/>
                  <w:u w:val="single"/>
                </w:rPr>
                <w:t>Loeffelholz</w:t>
              </w:r>
              <w:r>
                <w:rPr>
                  <w:rFonts w:ascii="sans-serif" w:hAnsi="sans-serif" w:cs="sans-serif"/>
                  <w:color w:val="0000FF"/>
                  <w:sz w:val="18"/>
                  <w:szCs w:val="18"/>
                </w:rPr>
                <w:t>, 175 Wn.2d at 271</w:t>
              </w:r>
            </w:hyperlink>
            <w:r>
              <w:rPr>
                <w:rFonts w:ascii="sans-serif" w:hAnsi="sans-serif" w:cs="sans-serif"/>
                <w:color w:val="000000"/>
                <w:sz w:val="18"/>
                <w:szCs w:val="18"/>
              </w:rPr>
              <w:t xml:space="preserve"> (citing </w:t>
            </w:r>
            <w:hyperlink r:id="rId25" w:history="1">
              <w:r>
                <w:rPr>
                  <w:rFonts w:ascii="sans-serif" w:hAnsi="sans-serif" w:cs="sans-serif"/>
                  <w:color w:val="0000FF"/>
                  <w:sz w:val="18"/>
                  <w:szCs w:val="18"/>
                </w:rPr>
                <w:t>CR 56(c)</w:t>
              </w:r>
            </w:hyperlink>
            <w:r>
              <w:rPr>
                <w:rFonts w:ascii="sans-serif" w:hAnsi="sans-serif" w:cs="sans-serif"/>
                <w:color w:val="000000"/>
                <w:sz w:val="18"/>
                <w:szCs w:val="18"/>
              </w:rPr>
              <w:t>).</w:t>
            </w:r>
          </w:p>
          <w:p w14:paraId="4F36EF15"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68" w:name="co_footnote_B00092051999703_1"/>
      <w:bookmarkEnd w:id="68"/>
      <w:tr w:rsidR="00000000" w14:paraId="596504E2" w14:textId="77777777">
        <w:tblPrEx>
          <w:tblCellMar>
            <w:top w:w="0" w:type="dxa"/>
            <w:left w:w="0" w:type="dxa"/>
            <w:bottom w:w="0" w:type="dxa"/>
            <w:right w:w="0" w:type="dxa"/>
          </w:tblCellMar>
        </w:tblPrEx>
        <w:tc>
          <w:tcPr>
            <w:tcW w:w="600" w:type="dxa"/>
            <w:tcBorders>
              <w:top w:val="nil"/>
              <w:left w:val="nil"/>
              <w:bottom w:val="nil"/>
              <w:right w:val="nil"/>
            </w:tcBorders>
          </w:tcPr>
          <w:p w14:paraId="636DFF78"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"#co_fnRef_B00092051999703_ID0EZAAE_1"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9</w:t>
            </w:r>
            <w:r>
              <w:rPr>
                <w:rFonts w:ascii="sans-serif" w:hAnsi="sans-serif" w:cs="sans-serif"/>
                <w:color w:val="000000"/>
                <w:sz w:val="24"/>
                <w:szCs w:val="24"/>
              </w:rPr>
              <w:fldChar w:fldCharType="end"/>
            </w:r>
          </w:p>
          <w:p w14:paraId="0DEE80FA"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11D6BD42"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26" w:history="1">
              <w:r>
                <w:rPr>
                  <w:rFonts w:ascii="sans-serif" w:hAnsi="sans-serif" w:cs="sans-serif"/>
                  <w:color w:val="0000FF"/>
                  <w:sz w:val="18"/>
                  <w:szCs w:val="18"/>
                  <w:u w:val="single"/>
                </w:rPr>
                <w:t>Folsom v. Burger King</w:t>
              </w:r>
              <w:r>
                <w:rPr>
                  <w:rFonts w:ascii="sans-serif" w:hAnsi="sans-serif" w:cs="sans-serif"/>
                  <w:color w:val="0000FF"/>
                  <w:sz w:val="18"/>
                  <w:szCs w:val="18"/>
                </w:rPr>
                <w:t>, 135 Wn.2d 658, 663, 958 P.3d 301 (1998)</w:t>
              </w:r>
            </w:hyperlink>
            <w:r>
              <w:rPr>
                <w:rFonts w:ascii="sans-serif" w:hAnsi="sans-serif" w:cs="sans-serif"/>
                <w:color w:val="000000"/>
                <w:sz w:val="18"/>
                <w:szCs w:val="18"/>
              </w:rPr>
              <w:t>.</w:t>
            </w:r>
          </w:p>
          <w:p w14:paraId="7627368F"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69" w:name="co_footnote_B00102051999703_1"/>
      <w:bookmarkEnd w:id="69"/>
      <w:tr w:rsidR="00000000" w14:paraId="1CD92DED" w14:textId="77777777">
        <w:tblPrEx>
          <w:tblCellMar>
            <w:top w:w="0" w:type="dxa"/>
            <w:left w:w="0" w:type="dxa"/>
            <w:bottom w:w="0" w:type="dxa"/>
            <w:right w:w="0" w:type="dxa"/>
          </w:tblCellMar>
        </w:tblPrEx>
        <w:tc>
          <w:tcPr>
            <w:tcW w:w="600" w:type="dxa"/>
            <w:tcBorders>
              <w:top w:val="nil"/>
              <w:left w:val="nil"/>
              <w:bottom w:val="nil"/>
              <w:right w:val="nil"/>
            </w:tcBorders>
          </w:tcPr>
          <w:p w14:paraId="1379328A"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HYPERLINK "</w:instrText>
            </w:r>
            <w:r>
              <w:rPr>
                <w:rFonts w:ascii="sans-serif" w:hAnsi="sans-serif" w:cs="sans-serif"/>
                <w:color w:val="000000"/>
                <w:sz w:val="24"/>
                <w:szCs w:val="24"/>
              </w:rPr>
              <w:instrText xml:space="preserve">#co_fnRef_B00102051999703_ID0ENFAE_1"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10</w:t>
            </w:r>
            <w:r>
              <w:rPr>
                <w:rFonts w:ascii="sans-serif" w:hAnsi="sans-serif" w:cs="sans-serif"/>
                <w:color w:val="000000"/>
                <w:sz w:val="24"/>
                <w:szCs w:val="24"/>
              </w:rPr>
              <w:fldChar w:fldCharType="end"/>
            </w:r>
          </w:p>
          <w:p w14:paraId="2B9482D8"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7B6C6079"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27" w:history="1">
              <w:r>
                <w:rPr>
                  <w:rFonts w:ascii="sans-serif" w:hAnsi="sans-serif" w:cs="sans-serif"/>
                  <w:color w:val="0000FF"/>
                  <w:sz w:val="18"/>
                  <w:szCs w:val="18"/>
                </w:rPr>
                <w:t>RCW 62A.3-301</w:t>
              </w:r>
            </w:hyperlink>
            <w:r>
              <w:rPr>
                <w:rFonts w:ascii="sans-serif" w:hAnsi="sans-serif" w:cs="sans-serif"/>
                <w:color w:val="000000"/>
                <w:sz w:val="18"/>
                <w:szCs w:val="18"/>
              </w:rPr>
              <w:t xml:space="preserve">; </w:t>
            </w:r>
            <w:r>
              <w:rPr>
                <w:rFonts w:ascii="sans-serif" w:hAnsi="sans-serif" w:cs="sans-serif"/>
                <w:color w:val="000000"/>
                <w:sz w:val="18"/>
                <w:szCs w:val="18"/>
                <w:u w:val="single"/>
              </w:rPr>
              <w:t>see also</w:t>
            </w:r>
            <w:r>
              <w:rPr>
                <w:rFonts w:ascii="sans-serif" w:hAnsi="sans-serif" w:cs="sans-serif"/>
                <w:color w:val="000000"/>
                <w:sz w:val="18"/>
                <w:szCs w:val="18"/>
              </w:rPr>
              <w:t xml:space="preserve"> </w:t>
            </w:r>
            <w:hyperlink r:id="rId28" w:history="1">
              <w:r>
                <w:rPr>
                  <w:rFonts w:ascii="sans-serif" w:hAnsi="sans-serif" w:cs="sans-serif"/>
                  <w:color w:val="0000FF"/>
                  <w:sz w:val="18"/>
                  <w:szCs w:val="18"/>
                  <w:u w:val="single"/>
                </w:rPr>
                <w:t>Brown v. Dep’t of Commerce</w:t>
              </w:r>
              <w:r>
                <w:rPr>
                  <w:rFonts w:ascii="sans-serif" w:hAnsi="sans-serif" w:cs="sans-serif"/>
                  <w:color w:val="0000FF"/>
                  <w:sz w:val="18"/>
                  <w:szCs w:val="18"/>
                </w:rPr>
                <w:t>, 184 Wn.2d 509, 524-25, 359 P.3d 771 (2015)</w:t>
              </w:r>
            </w:hyperlink>
            <w:r>
              <w:rPr>
                <w:rFonts w:ascii="sans-serif" w:hAnsi="sans-serif" w:cs="sans-serif"/>
                <w:color w:val="000000"/>
                <w:sz w:val="18"/>
                <w:szCs w:val="18"/>
              </w:rPr>
              <w:t xml:space="preserve">; </w:t>
            </w:r>
            <w:hyperlink r:id="rId29" w:history="1">
              <w:r>
                <w:rPr>
                  <w:rFonts w:ascii="sans-serif" w:hAnsi="sans-serif" w:cs="sans-serif"/>
                  <w:color w:val="0000FF"/>
                  <w:sz w:val="18"/>
                  <w:szCs w:val="18"/>
                  <w:u w:val="single"/>
                </w:rPr>
                <w:t>Bain v. Metro. Mortg. Grp., Inc.</w:t>
              </w:r>
              <w:r>
                <w:rPr>
                  <w:rFonts w:ascii="sans-serif" w:hAnsi="sans-serif" w:cs="sans-serif"/>
                  <w:color w:val="0000FF"/>
                  <w:sz w:val="18"/>
                  <w:szCs w:val="18"/>
                </w:rPr>
                <w:t>, 175 Wn.2d 83, 88-89, 104, 285 P.3d 34 (2012)</w:t>
              </w:r>
            </w:hyperlink>
            <w:r>
              <w:rPr>
                <w:rFonts w:ascii="sans-serif" w:hAnsi="sans-serif" w:cs="sans-serif"/>
                <w:color w:val="000000"/>
                <w:sz w:val="18"/>
                <w:szCs w:val="18"/>
              </w:rPr>
              <w:t>.</w:t>
            </w:r>
          </w:p>
          <w:p w14:paraId="07BDF128"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70" w:name="co_footnote_B00112051999703_1"/>
      <w:bookmarkEnd w:id="70"/>
      <w:tr w:rsidR="00000000" w14:paraId="77092B2F" w14:textId="77777777">
        <w:tblPrEx>
          <w:tblCellMar>
            <w:top w:w="0" w:type="dxa"/>
            <w:left w:w="0" w:type="dxa"/>
            <w:bottom w:w="0" w:type="dxa"/>
            <w:right w:w="0" w:type="dxa"/>
          </w:tblCellMar>
        </w:tblPrEx>
        <w:tc>
          <w:tcPr>
            <w:tcW w:w="600" w:type="dxa"/>
            <w:tcBorders>
              <w:top w:val="nil"/>
              <w:left w:val="nil"/>
              <w:bottom w:val="nil"/>
              <w:right w:val="nil"/>
            </w:tcBorders>
          </w:tcPr>
          <w:p w14:paraId="52C39EE2"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"#co_fnRef_B00112051999703_ID0EBGAE_1"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11</w:t>
            </w:r>
            <w:r>
              <w:rPr>
                <w:rFonts w:ascii="sans-serif" w:hAnsi="sans-serif" w:cs="sans-serif"/>
                <w:color w:val="000000"/>
                <w:sz w:val="24"/>
                <w:szCs w:val="24"/>
              </w:rPr>
              <w:fldChar w:fldCharType="end"/>
            </w:r>
          </w:p>
          <w:p w14:paraId="35B33060"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36539869"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30" w:history="1">
              <w:r>
                <w:rPr>
                  <w:rFonts w:ascii="sans-serif" w:hAnsi="sans-serif" w:cs="sans-serif"/>
                  <w:color w:val="0000FF"/>
                  <w:sz w:val="18"/>
                  <w:szCs w:val="18"/>
                </w:rPr>
                <w:t>RCW 62A.1-201(b)(21)(A)</w:t>
              </w:r>
            </w:hyperlink>
            <w:r>
              <w:rPr>
                <w:rFonts w:ascii="sans-serif" w:hAnsi="sans-serif" w:cs="sans-serif"/>
                <w:color w:val="000000"/>
                <w:sz w:val="18"/>
                <w:szCs w:val="18"/>
              </w:rPr>
              <w:t>.</w:t>
            </w:r>
          </w:p>
          <w:p w14:paraId="400ABD33"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71" w:name="co_footnote_B00122051999703_1"/>
      <w:bookmarkEnd w:id="71"/>
      <w:tr w:rsidR="00000000" w14:paraId="594E1375" w14:textId="77777777">
        <w:tblPrEx>
          <w:tblCellMar>
            <w:top w:w="0" w:type="dxa"/>
            <w:left w:w="0" w:type="dxa"/>
            <w:bottom w:w="0" w:type="dxa"/>
            <w:right w:w="0" w:type="dxa"/>
          </w:tblCellMar>
        </w:tblPrEx>
        <w:tc>
          <w:tcPr>
            <w:tcW w:w="600" w:type="dxa"/>
            <w:tcBorders>
              <w:top w:val="nil"/>
              <w:left w:val="nil"/>
              <w:bottom w:val="nil"/>
              <w:right w:val="nil"/>
            </w:tcBorders>
          </w:tcPr>
          <w:p w14:paraId="35CAAC3A"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"#co_fnRef_B00122051999703_ID0EVGAE_1"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12</w:t>
            </w:r>
            <w:r>
              <w:rPr>
                <w:rFonts w:ascii="sans-serif" w:hAnsi="sans-serif" w:cs="sans-serif"/>
                <w:color w:val="000000"/>
                <w:sz w:val="24"/>
                <w:szCs w:val="24"/>
              </w:rPr>
              <w:fldChar w:fldCharType="end"/>
            </w:r>
          </w:p>
          <w:p w14:paraId="3B3DF42E"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52CD4AA6"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31" w:history="1">
              <w:r>
                <w:rPr>
                  <w:rFonts w:ascii="sans-serif" w:hAnsi="sans-serif" w:cs="sans-serif"/>
                  <w:color w:val="0000FF"/>
                  <w:sz w:val="18"/>
                  <w:szCs w:val="18"/>
                </w:rPr>
                <w:t>RCW 62A.3-205(b)</w:t>
              </w:r>
            </w:hyperlink>
            <w:r>
              <w:rPr>
                <w:rFonts w:ascii="sans-serif" w:hAnsi="sans-serif" w:cs="sans-serif"/>
                <w:color w:val="000000"/>
                <w:sz w:val="18"/>
                <w:szCs w:val="18"/>
              </w:rPr>
              <w:t>.</w:t>
            </w:r>
          </w:p>
          <w:p w14:paraId="28B59627"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72" w:name="co_footnote_B00132051999703_1"/>
      <w:bookmarkEnd w:id="72"/>
      <w:tr w:rsidR="00000000" w14:paraId="592A4BA7" w14:textId="77777777">
        <w:tblPrEx>
          <w:tblCellMar>
            <w:top w:w="0" w:type="dxa"/>
            <w:left w:w="0" w:type="dxa"/>
            <w:bottom w:w="0" w:type="dxa"/>
            <w:right w:w="0" w:type="dxa"/>
          </w:tblCellMar>
        </w:tblPrEx>
        <w:tc>
          <w:tcPr>
            <w:tcW w:w="600" w:type="dxa"/>
            <w:tcBorders>
              <w:top w:val="nil"/>
              <w:left w:val="nil"/>
              <w:bottom w:val="nil"/>
              <w:right w:val="nil"/>
            </w:tcBorders>
          </w:tcPr>
          <w:p w14:paraId="234D5FAC"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"#co_fnRef_B00132051999703_ID0ELHAE_1"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13</w:t>
            </w:r>
            <w:r>
              <w:rPr>
                <w:rFonts w:ascii="sans-serif" w:hAnsi="sans-serif" w:cs="sans-serif"/>
                <w:color w:val="000000"/>
                <w:sz w:val="24"/>
                <w:szCs w:val="24"/>
              </w:rPr>
              <w:fldChar w:fldCharType="end"/>
            </w:r>
          </w:p>
          <w:p w14:paraId="6A5C2019"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6B485E62"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32" w:history="1">
              <w:r>
                <w:rPr>
                  <w:rFonts w:ascii="sans-serif" w:hAnsi="sans-serif" w:cs="sans-serif"/>
                  <w:color w:val="0000FF"/>
                  <w:sz w:val="18"/>
                  <w:szCs w:val="18"/>
                  <w:u w:val="single"/>
                </w:rPr>
                <w:t>Bain</w:t>
              </w:r>
              <w:r>
                <w:rPr>
                  <w:rFonts w:ascii="sans-serif" w:hAnsi="sans-serif" w:cs="sans-serif"/>
                  <w:color w:val="0000FF"/>
                  <w:sz w:val="18"/>
                  <w:szCs w:val="18"/>
                </w:rPr>
                <w:t>, 175 Wn.2d at 104</w:t>
              </w:r>
            </w:hyperlink>
            <w:r>
              <w:rPr>
                <w:rFonts w:ascii="sans-serif" w:hAnsi="sans-serif" w:cs="sans-serif"/>
                <w:color w:val="000000"/>
                <w:sz w:val="18"/>
                <w:szCs w:val="18"/>
              </w:rPr>
              <w:t xml:space="preserve"> (the deeds of trust act </w:t>
            </w:r>
            <w:r>
              <w:rPr>
                <w:rFonts w:ascii="sans-serif" w:hAnsi="sans-serif" w:cs="sans-serif"/>
                <w:color w:val="000000"/>
                <w:sz w:val="18"/>
                <w:szCs w:val="18"/>
              </w:rPr>
              <w:t>“</w:t>
            </w:r>
            <w:r>
              <w:rPr>
                <w:rFonts w:ascii="sans-serif" w:hAnsi="sans-serif" w:cs="sans-serif"/>
                <w:color w:val="000000"/>
                <w:sz w:val="18"/>
                <w:szCs w:val="18"/>
              </w:rPr>
              <w:t xml:space="preserve">[c]ontemplates that the security instrument will follow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not the other way around</w:t>
            </w:r>
            <w:r>
              <w:rPr>
                <w:rFonts w:ascii="sans-serif" w:hAnsi="sans-serif" w:cs="sans-serif"/>
                <w:color w:val="000000"/>
                <w:sz w:val="18"/>
                <w:szCs w:val="18"/>
              </w:rPr>
              <w:t>”</w:t>
            </w:r>
            <w:r>
              <w:rPr>
                <w:rFonts w:ascii="sans-serif" w:hAnsi="sans-serif" w:cs="sans-serif"/>
                <w:color w:val="000000"/>
                <w:sz w:val="18"/>
                <w:szCs w:val="18"/>
              </w:rPr>
              <w:t>).</w:t>
            </w:r>
          </w:p>
          <w:p w14:paraId="5259C6BE"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73" w:name="co_footnote_B00142051999703_1"/>
      <w:bookmarkEnd w:id="73"/>
      <w:tr w:rsidR="00000000" w14:paraId="5DD7F021" w14:textId="77777777">
        <w:tblPrEx>
          <w:tblCellMar>
            <w:top w:w="0" w:type="dxa"/>
            <w:left w:w="0" w:type="dxa"/>
            <w:bottom w:w="0" w:type="dxa"/>
            <w:right w:w="0" w:type="dxa"/>
          </w:tblCellMar>
        </w:tblPrEx>
        <w:tc>
          <w:tcPr>
            <w:tcW w:w="600" w:type="dxa"/>
            <w:tcBorders>
              <w:top w:val="nil"/>
              <w:left w:val="nil"/>
              <w:bottom w:val="nil"/>
              <w:right w:val="nil"/>
            </w:tcBorders>
          </w:tcPr>
          <w:p w14:paraId="46A51D56"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"#co_fnRef_B00142051999703_ID0EHMAE_1"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14</w:t>
            </w:r>
            <w:r>
              <w:rPr>
                <w:rFonts w:ascii="sans-serif" w:hAnsi="sans-serif" w:cs="sans-serif"/>
                <w:color w:val="000000"/>
                <w:sz w:val="24"/>
                <w:szCs w:val="24"/>
              </w:rPr>
              <w:fldChar w:fldCharType="end"/>
            </w:r>
          </w:p>
          <w:p w14:paraId="476333A6"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43C1451D"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33" w:history="1">
              <w:r>
                <w:rPr>
                  <w:rFonts w:ascii="sans-serif" w:hAnsi="sans-serif" w:cs="sans-serif"/>
                  <w:color w:val="0000FF"/>
                  <w:sz w:val="18"/>
                  <w:szCs w:val="18"/>
                </w:rPr>
                <w:t>RCW 61.24.030(7)(a)</w:t>
              </w:r>
            </w:hyperlink>
            <w:r>
              <w:rPr>
                <w:rFonts w:ascii="sans-serif" w:hAnsi="sans-serif" w:cs="sans-serif"/>
                <w:color w:val="000000"/>
                <w:sz w:val="18"/>
                <w:szCs w:val="18"/>
              </w:rPr>
              <w:t>.</w:t>
            </w:r>
          </w:p>
          <w:p w14:paraId="68855342"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74" w:name="co_footnote_B00152051999703_1"/>
      <w:bookmarkEnd w:id="74"/>
      <w:tr w:rsidR="00000000" w14:paraId="15A3BD5E" w14:textId="77777777">
        <w:tblPrEx>
          <w:tblCellMar>
            <w:top w:w="0" w:type="dxa"/>
            <w:left w:w="0" w:type="dxa"/>
            <w:bottom w:w="0" w:type="dxa"/>
            <w:right w:w="0" w:type="dxa"/>
          </w:tblCellMar>
        </w:tblPrEx>
        <w:tc>
          <w:tcPr>
            <w:tcW w:w="600" w:type="dxa"/>
            <w:tcBorders>
              <w:top w:val="nil"/>
              <w:left w:val="nil"/>
              <w:bottom w:val="nil"/>
              <w:right w:val="nil"/>
            </w:tcBorders>
          </w:tcPr>
          <w:p w14:paraId="40240412"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"#co_fnRef_B00152051999703_ID0EGNAE_1"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15</w:t>
            </w:r>
            <w:r>
              <w:rPr>
                <w:rFonts w:ascii="sans-serif" w:hAnsi="sans-serif" w:cs="sans-serif"/>
                <w:color w:val="000000"/>
                <w:sz w:val="24"/>
                <w:szCs w:val="24"/>
              </w:rPr>
              <w:fldChar w:fldCharType="end"/>
            </w:r>
          </w:p>
          <w:p w14:paraId="40BCF776"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2C6E4A4D"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34" w:history="1">
              <w:r>
                <w:rPr>
                  <w:rFonts w:ascii="sans-serif" w:hAnsi="sans-serif" w:cs="sans-serif"/>
                  <w:color w:val="0000FF"/>
                  <w:sz w:val="18"/>
                  <w:szCs w:val="18"/>
                  <w:u w:val="single"/>
                </w:rPr>
                <w:t>Bavand</w:t>
              </w:r>
              <w:r>
                <w:rPr>
                  <w:rFonts w:ascii="sans-serif" w:hAnsi="sans-serif" w:cs="sans-serif"/>
                  <w:color w:val="0000FF"/>
                  <w:sz w:val="18"/>
                  <w:szCs w:val="18"/>
                </w:rPr>
                <w:t>, 196 Wn. App. at 824</w:t>
              </w:r>
            </w:hyperlink>
            <w:r>
              <w:rPr>
                <w:rFonts w:ascii="sans-serif" w:hAnsi="sans-serif" w:cs="sans-serif"/>
                <w:color w:val="000000"/>
                <w:sz w:val="18"/>
                <w:szCs w:val="18"/>
              </w:rPr>
              <w:t xml:space="preserve"> (emphasis omitted) (alteration in original) (quoting </w:t>
            </w:r>
            <w:hyperlink r:id="rId35" w:history="1">
              <w:r>
                <w:rPr>
                  <w:rFonts w:ascii="sans-serif" w:hAnsi="sans-serif" w:cs="sans-serif"/>
                  <w:color w:val="0000FF"/>
                  <w:sz w:val="18"/>
                  <w:szCs w:val="18"/>
                </w:rPr>
                <w:t>RCW 61.24.030(7)(a)</w:t>
              </w:r>
            </w:hyperlink>
            <w:r>
              <w:rPr>
                <w:rFonts w:ascii="sans-serif" w:hAnsi="sans-serif" w:cs="sans-serif"/>
                <w:color w:val="000000"/>
                <w:sz w:val="18"/>
                <w:szCs w:val="18"/>
              </w:rPr>
              <w:t>).</w:t>
            </w:r>
          </w:p>
          <w:p w14:paraId="1E253D0C"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75" w:name="co_footnote_B00162051999703_1"/>
      <w:bookmarkEnd w:id="75"/>
      <w:tr w:rsidR="00000000" w14:paraId="2AC4077D" w14:textId="77777777">
        <w:tblPrEx>
          <w:tblCellMar>
            <w:top w:w="0" w:type="dxa"/>
            <w:left w:w="0" w:type="dxa"/>
            <w:bottom w:w="0" w:type="dxa"/>
            <w:right w:w="0" w:type="dxa"/>
          </w:tblCellMar>
        </w:tblPrEx>
        <w:tc>
          <w:tcPr>
            <w:tcW w:w="600" w:type="dxa"/>
            <w:tcBorders>
              <w:top w:val="nil"/>
              <w:left w:val="nil"/>
              <w:bottom w:val="nil"/>
              <w:right w:val="nil"/>
            </w:tcBorders>
          </w:tcPr>
          <w:p w14:paraId="45A487FB"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"#co_fnRef_B00162051999703_ID0ECOAE_1"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16</w:t>
            </w:r>
            <w:r>
              <w:rPr>
                <w:rFonts w:ascii="sans-serif" w:hAnsi="sans-serif" w:cs="sans-serif"/>
                <w:color w:val="000000"/>
                <w:sz w:val="24"/>
                <w:szCs w:val="24"/>
              </w:rPr>
              <w:fldChar w:fldCharType="end"/>
            </w:r>
          </w:p>
          <w:p w14:paraId="540170F0"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56568F56"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u w:val="single"/>
              </w:rPr>
              <w:t>Id.</w:t>
            </w:r>
            <w:r>
              <w:rPr>
                <w:rFonts w:ascii="sans-serif" w:hAnsi="sans-serif" w:cs="sans-serif"/>
                <w:color w:val="000000"/>
                <w:sz w:val="18"/>
                <w:szCs w:val="18"/>
              </w:rPr>
              <w:t xml:space="preserve"> at 826.</w:t>
            </w:r>
          </w:p>
          <w:p w14:paraId="51C5C283"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76" w:name="co_footnote_B00172051999703_1"/>
      <w:bookmarkEnd w:id="76"/>
      <w:tr w:rsidR="00000000" w14:paraId="440BF04B" w14:textId="77777777">
        <w:tblPrEx>
          <w:tblCellMar>
            <w:top w:w="0" w:type="dxa"/>
            <w:left w:w="0" w:type="dxa"/>
            <w:bottom w:w="0" w:type="dxa"/>
            <w:right w:w="0" w:type="dxa"/>
          </w:tblCellMar>
        </w:tblPrEx>
        <w:tc>
          <w:tcPr>
            <w:tcW w:w="600" w:type="dxa"/>
            <w:tcBorders>
              <w:top w:val="nil"/>
              <w:left w:val="nil"/>
              <w:bottom w:val="nil"/>
              <w:right w:val="nil"/>
            </w:tcBorders>
          </w:tcPr>
          <w:p w14:paraId="3D600F77"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"#co_fnRef_B00172051999703_ID0EURAE_1"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17</w:t>
            </w:r>
            <w:r>
              <w:rPr>
                <w:rFonts w:ascii="sans-serif" w:hAnsi="sans-serif" w:cs="sans-serif"/>
                <w:color w:val="000000"/>
                <w:sz w:val="24"/>
                <w:szCs w:val="24"/>
              </w:rPr>
              <w:fldChar w:fldCharType="end"/>
            </w:r>
          </w:p>
          <w:p w14:paraId="293E25E4"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5040779D"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We also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xml:space="preserve"> that Grahn’</w:t>
            </w:r>
            <w:r>
              <w:rPr>
                <w:rFonts w:ascii="sans-serif" w:hAnsi="sans-serif" w:cs="sans-serif"/>
                <w:color w:val="000000"/>
                <w:sz w:val="18"/>
                <w:szCs w:val="18"/>
              </w:rPr>
              <w:t xml:space="preserve">s second request for judicial notice refers to a copy of the promissory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xml:space="preserve"> identical to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xml:space="preserve"> described above as </w:t>
            </w:r>
            <w:r>
              <w:rPr>
                <w:rFonts w:ascii="sans-serif" w:hAnsi="sans-serif" w:cs="sans-serif"/>
                <w:color w:val="000000"/>
                <w:sz w:val="18"/>
                <w:szCs w:val="18"/>
              </w:rPr>
              <w:t>“</w:t>
            </w:r>
            <w:r>
              <w:rPr>
                <w:rFonts w:ascii="sans-serif" w:hAnsi="sans-serif" w:cs="sans-serif"/>
                <w:color w:val="000000"/>
                <w:sz w:val="18"/>
                <w:szCs w:val="18"/>
              </w:rPr>
              <w:t>Copy received by BNY-Trust from prior court action.</w:t>
            </w:r>
            <w:r>
              <w:rPr>
                <w:rFonts w:ascii="sans-serif" w:hAnsi="sans-serif" w:cs="sans-serif"/>
                <w:color w:val="000000"/>
                <w:sz w:val="18"/>
                <w:szCs w:val="18"/>
              </w:rPr>
              <w:t>”</w:t>
            </w:r>
            <w:r>
              <w:rPr>
                <w:rFonts w:ascii="sans-serif" w:hAnsi="sans-serif" w:cs="sans-serif"/>
                <w:color w:val="000000"/>
                <w:sz w:val="18"/>
                <w:szCs w:val="18"/>
              </w:rPr>
              <w:t xml:space="preserve"> CP at 42. Grahn also contends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xml:space="preserve"> was </w:t>
            </w:r>
            <w:r>
              <w:rPr>
                <w:rFonts w:ascii="sans-serif" w:hAnsi="sans-serif" w:cs="sans-serif"/>
                <w:color w:val="000000"/>
                <w:sz w:val="18"/>
                <w:szCs w:val="18"/>
              </w:rPr>
              <w:t>“</w:t>
            </w:r>
            <w:r>
              <w:rPr>
                <w:rFonts w:ascii="sans-serif" w:hAnsi="sans-serif" w:cs="sans-serif"/>
                <w:color w:val="000000"/>
                <w:sz w:val="18"/>
                <w:szCs w:val="18"/>
              </w:rPr>
              <w:t>bearer paper</w:t>
            </w:r>
            <w:r>
              <w:rPr>
                <w:rFonts w:ascii="sans-serif" w:hAnsi="sans-serif" w:cs="sans-serif"/>
                <w:color w:val="000000"/>
                <w:sz w:val="18"/>
                <w:szCs w:val="18"/>
              </w:rPr>
              <w:t>”</w:t>
            </w:r>
            <w:r>
              <w:rPr>
                <w:rFonts w:ascii="sans-serif" w:hAnsi="sans-serif" w:cs="sans-serif"/>
                <w:color w:val="000000"/>
                <w:sz w:val="18"/>
                <w:szCs w:val="18"/>
              </w:rPr>
              <w:t xml:space="preserve"> so whoever has physical po</w:t>
            </w:r>
            <w:r>
              <w:rPr>
                <w:rFonts w:ascii="sans-serif" w:hAnsi="sans-serif" w:cs="sans-serif"/>
                <w:color w:val="000000"/>
                <w:sz w:val="18"/>
                <w:szCs w:val="18"/>
              </w:rPr>
              <w:t xml:space="preserve">ssession is the holder of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xml:space="preserve">. CP at 247. To the extent this was an acknowledgment that BNY had received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xml:space="preserve">, it is consistent with other evidence that BNY is the holder of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w:t>
            </w:r>
          </w:p>
          <w:p w14:paraId="5439AF6E"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77" w:name="co_footnote_B00182051999703_1"/>
      <w:bookmarkEnd w:id="77"/>
      <w:tr w:rsidR="00000000" w14:paraId="2BA1296F" w14:textId="77777777">
        <w:tblPrEx>
          <w:tblCellMar>
            <w:top w:w="0" w:type="dxa"/>
            <w:left w:w="0" w:type="dxa"/>
            <w:bottom w:w="0" w:type="dxa"/>
            <w:right w:w="0" w:type="dxa"/>
          </w:tblCellMar>
        </w:tblPrEx>
        <w:tc>
          <w:tcPr>
            <w:tcW w:w="600" w:type="dxa"/>
            <w:tcBorders>
              <w:top w:val="nil"/>
              <w:left w:val="nil"/>
              <w:bottom w:val="nil"/>
              <w:right w:val="nil"/>
            </w:tcBorders>
          </w:tcPr>
          <w:p w14:paraId="190E4537"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HYP</w:instrText>
            </w:r>
            <w:r>
              <w:rPr>
                <w:rFonts w:ascii="sans-serif" w:hAnsi="sans-serif" w:cs="sans-serif"/>
                <w:color w:val="000000"/>
                <w:sz w:val="24"/>
                <w:szCs w:val="24"/>
              </w:rPr>
              <w:instrText xml:space="preserve">ERLINK "#co_fnRef_B00182051999703_ID0ETSAE_1"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18</w:t>
            </w:r>
            <w:r>
              <w:rPr>
                <w:rFonts w:ascii="sans-serif" w:hAnsi="sans-serif" w:cs="sans-serif"/>
                <w:color w:val="000000"/>
                <w:sz w:val="24"/>
                <w:szCs w:val="24"/>
              </w:rPr>
              <w:fldChar w:fldCharType="end"/>
            </w:r>
          </w:p>
          <w:p w14:paraId="53820BE5"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3F0F43E2"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CP at 88-89.</w:t>
            </w:r>
          </w:p>
          <w:p w14:paraId="47ABF9F6"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78" w:name="co_footnote_B00192051999703_1"/>
      <w:bookmarkEnd w:id="78"/>
      <w:tr w:rsidR="00000000" w14:paraId="28472289" w14:textId="77777777">
        <w:tblPrEx>
          <w:tblCellMar>
            <w:top w:w="0" w:type="dxa"/>
            <w:left w:w="0" w:type="dxa"/>
            <w:bottom w:w="0" w:type="dxa"/>
            <w:right w:w="0" w:type="dxa"/>
          </w:tblCellMar>
        </w:tblPrEx>
        <w:tc>
          <w:tcPr>
            <w:tcW w:w="600" w:type="dxa"/>
            <w:tcBorders>
              <w:top w:val="nil"/>
              <w:left w:val="nil"/>
              <w:bottom w:val="nil"/>
              <w:right w:val="nil"/>
            </w:tcBorders>
          </w:tcPr>
          <w:p w14:paraId="60BF63B6"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"#co_fnRef_B00192051999703_ID0EPWAE_1"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19</w:t>
            </w:r>
            <w:r>
              <w:rPr>
                <w:rFonts w:ascii="sans-serif" w:hAnsi="sans-serif" w:cs="sans-serif"/>
                <w:color w:val="000000"/>
                <w:sz w:val="24"/>
                <w:szCs w:val="24"/>
              </w:rPr>
              <w:fldChar w:fldCharType="end"/>
            </w:r>
          </w:p>
          <w:p w14:paraId="29611589"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0C83E923"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Appellant’s Br. at 28.</w:t>
            </w:r>
          </w:p>
          <w:p w14:paraId="3B939851"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79" w:name="co_footnote_B00202051999703_1"/>
      <w:bookmarkEnd w:id="79"/>
      <w:tr w:rsidR="00000000" w14:paraId="36C0DE59" w14:textId="77777777">
        <w:tblPrEx>
          <w:tblCellMar>
            <w:top w:w="0" w:type="dxa"/>
            <w:left w:w="0" w:type="dxa"/>
            <w:bottom w:w="0" w:type="dxa"/>
            <w:right w:w="0" w:type="dxa"/>
          </w:tblCellMar>
        </w:tblPrEx>
        <w:tc>
          <w:tcPr>
            <w:tcW w:w="600" w:type="dxa"/>
            <w:tcBorders>
              <w:top w:val="nil"/>
              <w:left w:val="nil"/>
              <w:bottom w:val="nil"/>
              <w:right w:val="nil"/>
            </w:tcBorders>
          </w:tcPr>
          <w:p w14:paraId="4C04A3B5"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"#co_fnRef_B00202051999703_ID0EWXAE_1"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20</w:t>
            </w:r>
            <w:r>
              <w:rPr>
                <w:rFonts w:ascii="sans-serif" w:hAnsi="sans-serif" w:cs="sans-serif"/>
                <w:color w:val="000000"/>
                <w:sz w:val="24"/>
                <w:szCs w:val="24"/>
              </w:rPr>
              <w:fldChar w:fldCharType="end"/>
            </w:r>
          </w:p>
          <w:p w14:paraId="69092A99"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1FB4133D"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CP at 244. The objection filed in the trial court included that Trueba’s </w:t>
            </w:r>
            <w:r>
              <w:rPr>
                <w:rFonts w:ascii="sans-serif" w:hAnsi="sans-serif" w:cs="sans-serif"/>
                <w:color w:val="000000"/>
                <w:sz w:val="18"/>
                <w:szCs w:val="18"/>
              </w:rPr>
              <w:t>“</w:t>
            </w:r>
            <w:r>
              <w:rPr>
                <w:rFonts w:ascii="sans-serif" w:hAnsi="sans-serif" w:cs="sans-serif"/>
                <w:color w:val="000000"/>
                <w:sz w:val="18"/>
                <w:szCs w:val="18"/>
              </w:rPr>
              <w:t>conclusory comments ... derived from hearsay-based information and b</w:t>
            </w:r>
            <w:r>
              <w:rPr>
                <w:rFonts w:ascii="sans-serif" w:hAnsi="sans-serif" w:cs="sans-serif"/>
                <w:color w:val="000000"/>
                <w:sz w:val="18"/>
                <w:szCs w:val="18"/>
              </w:rPr>
              <w:t>elief</w:t>
            </w:r>
            <w:r>
              <w:rPr>
                <w:rFonts w:ascii="sans-serif" w:hAnsi="sans-serif" w:cs="sans-serif"/>
                <w:color w:val="000000"/>
                <w:sz w:val="18"/>
                <w:szCs w:val="18"/>
              </w:rPr>
              <w:t>”</w:t>
            </w:r>
            <w:r>
              <w:rPr>
                <w:rFonts w:ascii="sans-serif" w:hAnsi="sans-serif" w:cs="sans-serif"/>
                <w:color w:val="000000"/>
                <w:sz w:val="18"/>
                <w:szCs w:val="18"/>
              </w:rPr>
              <w:t xml:space="preserve"> which is a violation of </w:t>
            </w:r>
            <w:hyperlink r:id="rId36" w:history="1">
              <w:r>
                <w:rPr>
                  <w:rFonts w:ascii="sans-serif" w:hAnsi="sans-serif" w:cs="sans-serif"/>
                  <w:color w:val="0000FF"/>
                  <w:sz w:val="18"/>
                  <w:szCs w:val="18"/>
                </w:rPr>
                <w:t>CR 56(e)</w:t>
              </w:r>
            </w:hyperlink>
            <w:r>
              <w:rPr>
                <w:rFonts w:ascii="sans-serif" w:hAnsi="sans-serif" w:cs="sans-serif"/>
                <w:color w:val="000000"/>
                <w:sz w:val="18"/>
                <w:szCs w:val="18"/>
              </w:rPr>
              <w:t>. CP at 248. But Grahn did not point to anything specific in Trueba’s declaration. The only portion of Trueba’</w:t>
            </w:r>
            <w:r>
              <w:rPr>
                <w:rFonts w:ascii="sans-serif" w:hAnsi="sans-serif" w:cs="sans-serif"/>
                <w:color w:val="000000"/>
                <w:sz w:val="18"/>
                <w:szCs w:val="18"/>
              </w:rPr>
              <w:t>s declaration that is made on information and belief is the portion of the declaration that states Grahn’s principal balance.</w:t>
            </w:r>
          </w:p>
          <w:p w14:paraId="5A52D4F7"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80" w:name="co_footnote_B00212051999703_1"/>
      <w:bookmarkEnd w:id="80"/>
      <w:tr w:rsidR="00000000" w14:paraId="6DA2C430" w14:textId="77777777">
        <w:tblPrEx>
          <w:tblCellMar>
            <w:top w:w="0" w:type="dxa"/>
            <w:left w:w="0" w:type="dxa"/>
            <w:bottom w:w="0" w:type="dxa"/>
            <w:right w:w="0" w:type="dxa"/>
          </w:tblCellMar>
        </w:tblPrEx>
        <w:tc>
          <w:tcPr>
            <w:tcW w:w="600" w:type="dxa"/>
            <w:tcBorders>
              <w:top w:val="nil"/>
              <w:left w:val="nil"/>
              <w:bottom w:val="nil"/>
              <w:right w:val="nil"/>
            </w:tcBorders>
          </w:tcPr>
          <w:p w14:paraId="201ED546"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"#co_fnRef_B00212051999703_ID0EDYAE_1"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21</w:t>
            </w:r>
            <w:r>
              <w:rPr>
                <w:rFonts w:ascii="sans-serif" w:hAnsi="sans-serif" w:cs="sans-serif"/>
                <w:color w:val="000000"/>
                <w:sz w:val="24"/>
                <w:szCs w:val="24"/>
              </w:rPr>
              <w:fldChar w:fldCharType="end"/>
            </w:r>
          </w:p>
          <w:p w14:paraId="59E8A935"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4DB03ABB"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u w:val="single"/>
              </w:rPr>
              <w:t>See</w:t>
            </w:r>
            <w:r>
              <w:rPr>
                <w:rFonts w:ascii="sans-serif" w:hAnsi="sans-serif" w:cs="sans-serif"/>
                <w:color w:val="000000"/>
                <w:sz w:val="18"/>
                <w:szCs w:val="18"/>
              </w:rPr>
              <w:t xml:space="preserve"> </w:t>
            </w:r>
            <w:hyperlink r:id="rId37" w:history="1">
              <w:r>
                <w:rPr>
                  <w:rFonts w:ascii="sans-serif" w:hAnsi="sans-serif" w:cs="sans-serif"/>
                  <w:color w:val="0000FF"/>
                  <w:sz w:val="18"/>
                  <w:szCs w:val="18"/>
                  <w:u w:val="single"/>
                </w:rPr>
                <w:t>Winters v. Quality Loan Serv. Corp. of Wash.</w:t>
              </w:r>
              <w:r>
                <w:rPr>
                  <w:rFonts w:ascii="sans-serif" w:hAnsi="sans-serif" w:cs="sans-serif"/>
                  <w:color w:val="0000FF"/>
                  <w:sz w:val="18"/>
                  <w:szCs w:val="18"/>
                </w:rPr>
                <w:t>, 11 Wn. App. 2d 628, 646, 454 P.3d 896 (2019)</w:t>
              </w:r>
            </w:hyperlink>
            <w:r>
              <w:rPr>
                <w:rFonts w:ascii="sans-serif" w:hAnsi="sans-serif" w:cs="sans-serif"/>
                <w:color w:val="000000"/>
                <w:sz w:val="18"/>
                <w:szCs w:val="18"/>
              </w:rPr>
              <w:t xml:space="preserve"> (an unrebutted declaration by servicer and attorney-in-fact that a bank is the holder of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xml:space="preserve"> satisfies the statutory require</w:t>
            </w:r>
            <w:r>
              <w:rPr>
                <w:rFonts w:ascii="sans-serif" w:hAnsi="sans-serif" w:cs="sans-serif"/>
                <w:color w:val="000000"/>
                <w:sz w:val="18"/>
                <w:szCs w:val="18"/>
              </w:rPr>
              <w:t xml:space="preserve">ment for proof of a beneficiary). For the first time in his reply brief, Grahn made specific objections to Trueba’s declaration. But we will not consider a claim raised for the first time on appeal that </w:t>
            </w:r>
            <w:r>
              <w:rPr>
                <w:rFonts w:ascii="sans-serif" w:hAnsi="sans-serif" w:cs="sans-serif"/>
                <w:color w:val="000000"/>
                <w:sz w:val="18"/>
                <w:szCs w:val="18"/>
              </w:rPr>
              <w:t>“</w:t>
            </w:r>
            <w:r>
              <w:rPr>
                <w:rFonts w:ascii="sans-serif" w:hAnsi="sans-serif" w:cs="sans-serif"/>
                <w:color w:val="000000"/>
                <w:sz w:val="18"/>
                <w:szCs w:val="18"/>
              </w:rPr>
              <w:t xml:space="preserve">there is no evidence that the [servicer’s] employee </w:t>
            </w:r>
            <w:r>
              <w:rPr>
                <w:rFonts w:ascii="sans-serif" w:hAnsi="sans-serif" w:cs="sans-serif"/>
                <w:color w:val="000000"/>
                <w:sz w:val="18"/>
                <w:szCs w:val="18"/>
              </w:rPr>
              <w:t xml:space="preserve">had personal knowledge about the location of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w:t>
            </w:r>
            <w:r>
              <w:rPr>
                <w:rFonts w:ascii="sans-serif" w:hAnsi="sans-serif" w:cs="sans-serif"/>
                <w:color w:val="000000"/>
                <w:sz w:val="18"/>
                <w:szCs w:val="18"/>
              </w:rPr>
              <w:t>”</w:t>
            </w:r>
            <w:r>
              <w:rPr>
                <w:rFonts w:ascii="sans-serif" w:hAnsi="sans-serif" w:cs="sans-serif"/>
                <w:color w:val="000000"/>
                <w:sz w:val="18"/>
                <w:szCs w:val="18"/>
              </w:rPr>
              <w:t xml:space="preserve"> </w:t>
            </w:r>
            <w:r>
              <w:rPr>
                <w:rFonts w:ascii="sans-serif" w:hAnsi="sans-serif" w:cs="sans-serif"/>
                <w:color w:val="000000"/>
                <w:sz w:val="18"/>
                <w:szCs w:val="18"/>
                <w:u w:val="single"/>
              </w:rPr>
              <w:t>Id.</w:t>
            </w:r>
            <w:r>
              <w:rPr>
                <w:rFonts w:ascii="sans-serif" w:hAnsi="sans-serif" w:cs="sans-serif"/>
                <w:color w:val="000000"/>
                <w:sz w:val="18"/>
                <w:szCs w:val="18"/>
              </w:rPr>
              <w:t xml:space="preserve"> Further, we do not consider arguments raised for the first time in a reply brief. </w:t>
            </w:r>
            <w:hyperlink r:id="rId38" w:history="1">
              <w:r>
                <w:rPr>
                  <w:rFonts w:ascii="sans-serif" w:hAnsi="sans-serif" w:cs="sans-serif"/>
                  <w:color w:val="0000FF"/>
                  <w:sz w:val="18"/>
                  <w:szCs w:val="18"/>
                  <w:u w:val="single"/>
                </w:rPr>
                <w:t>Bergerson v. Zurbano</w:t>
              </w:r>
              <w:r>
                <w:rPr>
                  <w:rFonts w:ascii="sans-serif" w:hAnsi="sans-serif" w:cs="sans-serif"/>
                  <w:color w:val="0000FF"/>
                  <w:sz w:val="18"/>
                  <w:szCs w:val="18"/>
                </w:rPr>
                <w:t>, 6 Wn. App. 2d 912, 926, 432 P.3d 850 (2018)</w:t>
              </w:r>
            </w:hyperlink>
            <w:r>
              <w:rPr>
                <w:rFonts w:ascii="sans-serif" w:hAnsi="sans-serif" w:cs="sans-serif"/>
                <w:color w:val="000000"/>
                <w:sz w:val="18"/>
                <w:szCs w:val="18"/>
              </w:rPr>
              <w:t xml:space="preserve"> (c</w:t>
            </w:r>
            <w:r>
              <w:rPr>
                <w:rFonts w:ascii="sans-serif" w:hAnsi="sans-serif" w:cs="sans-serif"/>
                <w:color w:val="000000"/>
                <w:sz w:val="18"/>
                <w:szCs w:val="18"/>
              </w:rPr>
              <w:t xml:space="preserve">iting </w:t>
            </w:r>
            <w:hyperlink r:id="rId39" w:history="1">
              <w:r>
                <w:rPr>
                  <w:rFonts w:ascii="sans-serif" w:hAnsi="sans-serif" w:cs="sans-serif"/>
                  <w:color w:val="0000FF"/>
                  <w:sz w:val="18"/>
                  <w:szCs w:val="18"/>
                </w:rPr>
                <w:t>RAP 10.3(c)</w:t>
              </w:r>
            </w:hyperlink>
            <w:r>
              <w:rPr>
                <w:rFonts w:ascii="sans-serif" w:hAnsi="sans-serif" w:cs="sans-serif"/>
                <w:color w:val="000000"/>
                <w:sz w:val="18"/>
                <w:szCs w:val="18"/>
              </w:rPr>
              <w:t>). Therefore, Grahn’s general challenge to lack of personal knowledge of anyone other than BNY fails in the face of Trueba’s unrebutted declaration.</w:t>
            </w:r>
          </w:p>
          <w:p w14:paraId="7CCA0806"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81" w:name="co_footnote_B00222051999703_1"/>
      <w:bookmarkEnd w:id="81"/>
      <w:tr w:rsidR="00000000" w14:paraId="28E059C5" w14:textId="77777777">
        <w:tblPrEx>
          <w:tblCellMar>
            <w:top w:w="0" w:type="dxa"/>
            <w:left w:w="0" w:type="dxa"/>
            <w:bottom w:w="0" w:type="dxa"/>
            <w:right w:w="0" w:type="dxa"/>
          </w:tblCellMar>
        </w:tblPrEx>
        <w:tc>
          <w:tcPr>
            <w:tcW w:w="600" w:type="dxa"/>
            <w:tcBorders>
              <w:top w:val="nil"/>
              <w:left w:val="nil"/>
              <w:bottom w:val="nil"/>
              <w:right w:val="nil"/>
            </w:tcBorders>
          </w:tcPr>
          <w:p w14:paraId="184D68F0"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HYPERLINK "#co_fnRef_B002</w:instrText>
            </w:r>
            <w:r>
              <w:rPr>
                <w:rFonts w:ascii="sans-serif" w:hAnsi="sans-serif" w:cs="sans-serif"/>
                <w:color w:val="000000"/>
                <w:sz w:val="24"/>
                <w:szCs w:val="24"/>
              </w:rPr>
              <w:instrText xml:space="preserve">22051999703_ID0EX3AE_1"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22</w:t>
            </w:r>
            <w:r>
              <w:rPr>
                <w:rFonts w:ascii="sans-serif" w:hAnsi="sans-serif" w:cs="sans-serif"/>
                <w:color w:val="000000"/>
                <w:sz w:val="24"/>
                <w:szCs w:val="24"/>
              </w:rPr>
              <w:fldChar w:fldCharType="end"/>
            </w:r>
          </w:p>
          <w:p w14:paraId="6CBF90A2"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0C1C81B4"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Appellant’s Br. at 15-17.</w:t>
            </w:r>
          </w:p>
          <w:p w14:paraId="3CA88AC4"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82" w:name="co_footnote_B00232051999703_1"/>
      <w:bookmarkEnd w:id="82"/>
      <w:tr w:rsidR="00000000" w14:paraId="559BE0C7" w14:textId="77777777">
        <w:tblPrEx>
          <w:tblCellMar>
            <w:top w:w="0" w:type="dxa"/>
            <w:left w:w="0" w:type="dxa"/>
            <w:bottom w:w="0" w:type="dxa"/>
            <w:right w:w="0" w:type="dxa"/>
          </w:tblCellMar>
        </w:tblPrEx>
        <w:tc>
          <w:tcPr>
            <w:tcW w:w="600" w:type="dxa"/>
            <w:tcBorders>
              <w:top w:val="nil"/>
              <w:left w:val="nil"/>
              <w:bottom w:val="nil"/>
              <w:right w:val="nil"/>
            </w:tcBorders>
          </w:tcPr>
          <w:p w14:paraId="41E0A8DE"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"#co_fnRef_B00232051999703_ID0EB5AE_1"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23</w:t>
            </w:r>
            <w:r>
              <w:rPr>
                <w:rFonts w:ascii="sans-serif" w:hAnsi="sans-serif" w:cs="sans-serif"/>
                <w:color w:val="000000"/>
                <w:sz w:val="24"/>
                <w:szCs w:val="24"/>
              </w:rPr>
              <w:fldChar w:fldCharType="end"/>
            </w:r>
          </w:p>
          <w:p w14:paraId="62BB1F5E"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3FAF475E"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40" w:history="1">
              <w:r>
                <w:rPr>
                  <w:rFonts w:ascii="sans-serif" w:hAnsi="sans-serif" w:cs="sans-serif"/>
                  <w:color w:val="0000FF"/>
                  <w:sz w:val="18"/>
                  <w:szCs w:val="18"/>
                </w:rPr>
                <w:t>175 Wn.2d 83, 285 P.3d 34 (2012)</w:t>
              </w:r>
            </w:hyperlink>
            <w:r>
              <w:rPr>
                <w:rFonts w:ascii="sans-serif" w:hAnsi="sans-serif" w:cs="sans-serif"/>
                <w:color w:val="000000"/>
                <w:sz w:val="18"/>
                <w:szCs w:val="18"/>
              </w:rPr>
              <w:t>.</w:t>
            </w:r>
          </w:p>
          <w:p w14:paraId="4251C268"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83" w:name="co_footnote_B00242051999703_1"/>
      <w:bookmarkEnd w:id="83"/>
      <w:tr w:rsidR="00000000" w14:paraId="68332A3E" w14:textId="77777777">
        <w:tblPrEx>
          <w:tblCellMar>
            <w:top w:w="0" w:type="dxa"/>
            <w:left w:w="0" w:type="dxa"/>
            <w:bottom w:w="0" w:type="dxa"/>
            <w:right w:w="0" w:type="dxa"/>
          </w:tblCellMar>
        </w:tblPrEx>
        <w:tc>
          <w:tcPr>
            <w:tcW w:w="600" w:type="dxa"/>
            <w:tcBorders>
              <w:top w:val="nil"/>
              <w:left w:val="nil"/>
              <w:bottom w:val="nil"/>
              <w:right w:val="nil"/>
            </w:tcBorders>
          </w:tcPr>
          <w:p w14:paraId="580B19B1"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"#co_fnRef_B00242051999703_ID0E15AE_1"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24</w:t>
            </w:r>
            <w:r>
              <w:rPr>
                <w:rFonts w:ascii="sans-serif" w:hAnsi="sans-serif" w:cs="sans-serif"/>
                <w:color w:val="000000"/>
                <w:sz w:val="24"/>
                <w:szCs w:val="24"/>
              </w:rPr>
              <w:fldChar w:fldCharType="end"/>
            </w:r>
          </w:p>
          <w:p w14:paraId="3CE58E9E"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4D9D0BC7"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u w:val="single"/>
              </w:rPr>
              <w:t>Id.</w:t>
            </w:r>
            <w:r>
              <w:rPr>
                <w:rFonts w:ascii="sans-serif" w:hAnsi="sans-serif" w:cs="sans-serif"/>
                <w:color w:val="000000"/>
                <w:sz w:val="18"/>
                <w:szCs w:val="18"/>
              </w:rPr>
              <w:t xml:space="preserve"> at 110.</w:t>
            </w:r>
          </w:p>
          <w:p w14:paraId="1CD9BCF8"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84" w:name="co_footnote_B00252051999703_1"/>
      <w:bookmarkEnd w:id="84"/>
      <w:tr w:rsidR="00000000" w14:paraId="46150354" w14:textId="77777777">
        <w:tblPrEx>
          <w:tblCellMar>
            <w:top w:w="0" w:type="dxa"/>
            <w:left w:w="0" w:type="dxa"/>
            <w:bottom w:w="0" w:type="dxa"/>
            <w:right w:w="0" w:type="dxa"/>
          </w:tblCellMar>
        </w:tblPrEx>
        <w:tc>
          <w:tcPr>
            <w:tcW w:w="600" w:type="dxa"/>
            <w:tcBorders>
              <w:top w:val="nil"/>
              <w:left w:val="nil"/>
              <w:bottom w:val="nil"/>
              <w:right w:val="nil"/>
            </w:tcBorders>
          </w:tcPr>
          <w:p w14:paraId="0DE8768D"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"#co_fnRef_B00252051999703_ID0EQ6AE_1"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25</w:t>
            </w:r>
            <w:r>
              <w:rPr>
                <w:rFonts w:ascii="sans-serif" w:hAnsi="sans-serif" w:cs="sans-serif"/>
                <w:color w:val="000000"/>
                <w:sz w:val="24"/>
                <w:szCs w:val="24"/>
              </w:rPr>
              <w:fldChar w:fldCharType="end"/>
            </w:r>
          </w:p>
          <w:p w14:paraId="2A18B386"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10ABED48"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u w:val="single"/>
              </w:rPr>
              <w:t>Id.</w:t>
            </w:r>
            <w:r>
              <w:rPr>
                <w:rFonts w:ascii="sans-serif" w:hAnsi="sans-serif" w:cs="sans-serif"/>
                <w:color w:val="000000"/>
                <w:sz w:val="18"/>
                <w:szCs w:val="18"/>
              </w:rPr>
              <w:t xml:space="preserve"> at 112.</w:t>
            </w:r>
          </w:p>
          <w:p w14:paraId="2EBA8F37"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85" w:name="co_footnote_B00262051999703_1"/>
      <w:bookmarkEnd w:id="85"/>
      <w:tr w:rsidR="00000000" w14:paraId="17930EC7" w14:textId="77777777">
        <w:tblPrEx>
          <w:tblCellMar>
            <w:top w:w="0" w:type="dxa"/>
            <w:left w:w="0" w:type="dxa"/>
            <w:bottom w:w="0" w:type="dxa"/>
            <w:right w:w="0" w:type="dxa"/>
          </w:tblCellMar>
        </w:tblPrEx>
        <w:tc>
          <w:tcPr>
            <w:tcW w:w="600" w:type="dxa"/>
            <w:tcBorders>
              <w:top w:val="nil"/>
              <w:left w:val="nil"/>
              <w:bottom w:val="nil"/>
              <w:right w:val="nil"/>
            </w:tcBorders>
          </w:tcPr>
          <w:p w14:paraId="2F2D78E5"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"#co_fnRef_B00262051999703_ID0EJAAG_1"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26</w:t>
            </w:r>
            <w:r>
              <w:rPr>
                <w:rFonts w:ascii="sans-serif" w:hAnsi="sans-serif" w:cs="sans-serif"/>
                <w:color w:val="000000"/>
                <w:sz w:val="24"/>
                <w:szCs w:val="24"/>
              </w:rPr>
              <w:fldChar w:fldCharType="end"/>
            </w:r>
          </w:p>
          <w:p w14:paraId="7E83B8B0"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1E512D6D"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In </w:t>
            </w:r>
            <w:hyperlink r:id="rId41" w:history="1">
              <w:r>
                <w:rPr>
                  <w:rFonts w:ascii="sans-serif" w:hAnsi="sans-serif" w:cs="sans-serif"/>
                  <w:color w:val="0000FF"/>
                  <w:sz w:val="18"/>
                  <w:szCs w:val="18"/>
                  <w:u w:val="single"/>
                </w:rPr>
                <w:t>Cervantes v. Countrywide Home Loans,</w:t>
              </w:r>
              <w:r>
                <w:rPr>
                  <w:rFonts w:ascii="sans-serif" w:hAnsi="sans-serif" w:cs="sans-serif"/>
                  <w:color w:val="0000FF"/>
                  <w:sz w:val="18"/>
                  <w:szCs w:val="18"/>
                  <w:u w:val="single"/>
                </w:rPr>
                <w:t xml:space="preserve"> Inc</w:t>
              </w:r>
              <w:r>
                <w:rPr>
                  <w:rFonts w:ascii="sans-serif" w:hAnsi="sans-serif" w:cs="sans-serif"/>
                  <w:color w:val="0000FF"/>
                  <w:sz w:val="18"/>
                  <w:szCs w:val="18"/>
                </w:rPr>
                <w:t>., 656 F.3d 1034 (2011)</w:t>
              </w:r>
            </w:hyperlink>
            <w:r>
              <w:rPr>
                <w:rFonts w:ascii="sans-serif" w:hAnsi="sans-serif" w:cs="sans-serif"/>
                <w:color w:val="000000"/>
                <w:sz w:val="18"/>
                <w:szCs w:val="18"/>
              </w:rPr>
              <w:t>, the Ninth Circuit explained that the split-the-</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xml:space="preserve"> theory has no sound basis in law or logic and should be rejected. The court recognized that splitting a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xml:space="preserve"> from a deed of trust is not problematic as long as, at the time of foreclosure, the party attempting to foreclose holds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xml:space="preserve"> or is acting on behalf of the noteholder. In other words, a split does not render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xml:space="preserve"> and/or the deed permanently unenfor</w:t>
            </w:r>
            <w:r>
              <w:rPr>
                <w:rFonts w:ascii="sans-serif" w:hAnsi="sans-serif" w:cs="sans-serif"/>
                <w:color w:val="000000"/>
                <w:sz w:val="18"/>
                <w:szCs w:val="18"/>
              </w:rPr>
              <w:t xml:space="preserve">ceable. </w:t>
            </w:r>
            <w:r>
              <w:rPr>
                <w:rFonts w:ascii="sans-serif" w:hAnsi="sans-serif" w:cs="sans-serif"/>
                <w:color w:val="000000"/>
                <w:sz w:val="18"/>
                <w:szCs w:val="18"/>
                <w:u w:val="single"/>
              </w:rPr>
              <w:t>See, e.g.,</w:t>
            </w:r>
            <w:r>
              <w:rPr>
                <w:rFonts w:ascii="sans-serif" w:hAnsi="sans-serif" w:cs="sans-serif"/>
                <w:color w:val="000000"/>
                <w:sz w:val="18"/>
                <w:szCs w:val="18"/>
              </w:rPr>
              <w:t xml:space="preserve"> </w:t>
            </w:r>
            <w:hyperlink r:id="rId42" w:history="1">
              <w:r>
                <w:rPr>
                  <w:rFonts w:ascii="sans-serif" w:hAnsi="sans-serif" w:cs="sans-serif"/>
                  <w:color w:val="0000FF"/>
                  <w:sz w:val="18"/>
                  <w:szCs w:val="18"/>
                  <w:u w:val="single"/>
                </w:rPr>
                <w:t>Rahman v. Greenpoint Mortg. Funding</w:t>
              </w:r>
              <w:r>
                <w:rPr>
                  <w:rFonts w:ascii="sans-serif" w:hAnsi="sans-serif" w:cs="sans-serif"/>
                  <w:color w:val="0000FF"/>
                  <w:sz w:val="18"/>
                  <w:szCs w:val="18"/>
                </w:rPr>
                <w:t>, No. 2:19-cv-530, 2019 WL 3550314, at *4 (U.S. Dist. Ct. W.D. Seattle)</w:t>
              </w:r>
            </w:hyperlink>
            <w:r>
              <w:rPr>
                <w:rFonts w:ascii="sans-serif" w:hAnsi="sans-serif" w:cs="sans-serif"/>
                <w:color w:val="000000"/>
                <w:sz w:val="18"/>
                <w:szCs w:val="18"/>
              </w:rPr>
              <w:t xml:space="preserve"> (</w:t>
            </w:r>
            <w:r>
              <w:rPr>
                <w:rFonts w:ascii="sans-serif" w:hAnsi="sans-serif" w:cs="sans-serif"/>
                <w:color w:val="000000"/>
                <w:sz w:val="18"/>
                <w:szCs w:val="18"/>
              </w:rPr>
              <w:t>“</w:t>
            </w:r>
            <w:r>
              <w:rPr>
                <w:rFonts w:ascii="sans-serif" w:hAnsi="sans-serif" w:cs="sans-serif"/>
                <w:color w:val="000000"/>
                <w:sz w:val="18"/>
                <w:szCs w:val="18"/>
              </w:rPr>
              <w:t>This unsupported legal theory has ... been roundly and uniformly rejected.</w:t>
            </w:r>
            <w:r>
              <w:rPr>
                <w:rFonts w:ascii="sans-serif" w:hAnsi="sans-serif" w:cs="sans-serif"/>
                <w:color w:val="000000"/>
                <w:sz w:val="18"/>
                <w:szCs w:val="18"/>
              </w:rPr>
              <w:t>”</w:t>
            </w:r>
            <w:r>
              <w:rPr>
                <w:rFonts w:ascii="sans-serif" w:hAnsi="sans-serif" w:cs="sans-serif"/>
                <w:color w:val="000000"/>
                <w:sz w:val="18"/>
                <w:szCs w:val="18"/>
              </w:rPr>
              <w:t xml:space="preserve">); </w:t>
            </w:r>
            <w:hyperlink r:id="rId43" w:history="1">
              <w:r>
                <w:rPr>
                  <w:rFonts w:ascii="sans-serif" w:hAnsi="sans-serif" w:cs="sans-serif"/>
                  <w:color w:val="0000FF"/>
                  <w:sz w:val="18"/>
                  <w:szCs w:val="18"/>
                  <w:u w:val="single"/>
                </w:rPr>
                <w:t>Bavand v. OneWest Bank FSB</w:t>
              </w:r>
              <w:r>
                <w:rPr>
                  <w:rFonts w:ascii="sans-serif" w:hAnsi="sans-serif" w:cs="sans-serif"/>
                  <w:color w:val="0000FF"/>
                  <w:sz w:val="18"/>
                  <w:szCs w:val="18"/>
                </w:rPr>
                <w:t>, No. C12-025</w:t>
              </w:r>
              <w:r>
                <w:rPr>
                  <w:rFonts w:ascii="sans-serif" w:hAnsi="sans-serif" w:cs="sans-serif"/>
                  <w:color w:val="0000FF"/>
                  <w:sz w:val="18"/>
                  <w:szCs w:val="18"/>
                </w:rPr>
                <w:t>4JLR, 2013 WL 1208997, at *2 (W.D. Wash. Mar. 25, 2013)</w:t>
              </w:r>
            </w:hyperlink>
            <w:r>
              <w:rPr>
                <w:rFonts w:ascii="sans-serif" w:hAnsi="sans-serif" w:cs="sans-serif"/>
                <w:color w:val="000000"/>
                <w:sz w:val="18"/>
                <w:szCs w:val="18"/>
              </w:rPr>
              <w:t xml:space="preserve"> (citing </w:t>
            </w:r>
            <w:hyperlink r:id="rId44" w:history="1">
              <w:r>
                <w:rPr>
                  <w:rFonts w:ascii="sans-serif" w:hAnsi="sans-serif" w:cs="sans-serif"/>
                  <w:color w:val="0000FF"/>
                  <w:sz w:val="18"/>
                  <w:szCs w:val="18"/>
                  <w:u w:val="single"/>
                </w:rPr>
                <w:t>Cervantes</w:t>
              </w:r>
              <w:r>
                <w:rPr>
                  <w:rFonts w:ascii="sans-serif" w:hAnsi="sans-serif" w:cs="sans-serif"/>
                  <w:color w:val="0000FF"/>
                  <w:sz w:val="18"/>
                  <w:szCs w:val="18"/>
                </w:rPr>
                <w:t>, 656 F.3d at 1044-45</w:t>
              </w:r>
            </w:hyperlink>
            <w:r>
              <w:rPr>
                <w:rFonts w:ascii="sans-serif" w:hAnsi="sans-serif" w:cs="sans-serif"/>
                <w:color w:val="000000"/>
                <w:sz w:val="18"/>
                <w:szCs w:val="18"/>
              </w:rPr>
              <w:t xml:space="preserve"> (</w:t>
            </w:r>
            <w:r>
              <w:rPr>
                <w:rFonts w:ascii="sans-serif" w:hAnsi="sans-serif" w:cs="sans-serif"/>
                <w:color w:val="000000"/>
                <w:sz w:val="18"/>
                <w:szCs w:val="18"/>
              </w:rPr>
              <w:t>“</w:t>
            </w:r>
            <w:r>
              <w:rPr>
                <w:rFonts w:ascii="sans-serif" w:hAnsi="sans-serif" w:cs="sans-serif"/>
                <w:color w:val="000000"/>
                <w:sz w:val="18"/>
                <w:szCs w:val="18"/>
              </w:rPr>
              <w:t xml:space="preserve">[T]he </w:t>
            </w:r>
            <w:r>
              <w:rPr>
                <w:rFonts w:ascii="sans-serif" w:hAnsi="sans-serif" w:cs="sans-serif"/>
                <w:color w:val="000000"/>
                <w:sz w:val="18"/>
                <w:szCs w:val="18"/>
              </w:rPr>
              <w:t>‘</w:t>
            </w:r>
            <w:r>
              <w:rPr>
                <w:rFonts w:ascii="sans-serif" w:hAnsi="sans-serif" w:cs="sans-serif"/>
                <w:color w:val="000000"/>
                <w:sz w:val="18"/>
                <w:szCs w:val="18"/>
              </w:rPr>
              <w:t xml:space="preserve">split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w:t>
            </w:r>
            <w:r>
              <w:rPr>
                <w:rFonts w:ascii="sans-serif" w:hAnsi="sans-serif" w:cs="sans-serif"/>
                <w:color w:val="000000"/>
                <w:sz w:val="18"/>
                <w:szCs w:val="18"/>
              </w:rPr>
              <w:t xml:space="preserve"> theory</w:t>
            </w:r>
            <w:r>
              <w:rPr>
                <w:rFonts w:ascii="sans-serif" w:hAnsi="sans-serif" w:cs="sans-serif"/>
                <w:color w:val="000000"/>
                <w:sz w:val="18"/>
                <w:szCs w:val="18"/>
              </w:rPr>
              <w:t>–</w:t>
            </w:r>
            <w:r>
              <w:rPr>
                <w:rFonts w:ascii="sans-serif" w:hAnsi="sans-serif" w:cs="sans-serif"/>
                <w:color w:val="000000"/>
                <w:sz w:val="18"/>
                <w:szCs w:val="18"/>
              </w:rPr>
              <w:t>the argument that if ownership of a deed of trust is split from ownership of the</w:t>
            </w:r>
            <w:r>
              <w:rPr>
                <w:rFonts w:ascii="sans-serif" w:hAnsi="sans-serif" w:cs="sans-serif"/>
                <w:color w:val="000000"/>
                <w:sz w:val="18"/>
                <w:szCs w:val="18"/>
              </w:rPr>
              <w:t xml:space="preserve"> underlying promissory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 one or both of those documents becomes unenforceable</w:t>
            </w:r>
            <w:r>
              <w:rPr>
                <w:rFonts w:ascii="sans-serif" w:hAnsi="sans-serif" w:cs="sans-serif"/>
                <w:color w:val="000000"/>
                <w:sz w:val="18"/>
                <w:szCs w:val="18"/>
              </w:rPr>
              <w:t>”</w:t>
            </w:r>
            <w:r>
              <w:rPr>
                <w:rFonts w:ascii="sans-serif" w:hAnsi="sans-serif" w:cs="sans-serif"/>
                <w:color w:val="000000"/>
                <w:sz w:val="18"/>
                <w:szCs w:val="18"/>
              </w:rPr>
              <w:t xml:space="preserve"> has been rejected.)); </w:t>
            </w:r>
            <w:hyperlink r:id="rId45" w:history="1">
              <w:r>
                <w:rPr>
                  <w:rFonts w:ascii="sans-serif" w:hAnsi="sans-serif" w:cs="sans-serif"/>
                  <w:color w:val="0000FF"/>
                  <w:sz w:val="18"/>
                  <w:szCs w:val="18"/>
                  <w:u w:val="single"/>
                </w:rPr>
                <w:t>Canzoni v. Countrywide Bank</w:t>
              </w:r>
              <w:r>
                <w:rPr>
                  <w:rFonts w:ascii="sans-serif" w:hAnsi="sans-serif" w:cs="sans-serif"/>
                  <w:color w:val="0000FF"/>
                  <w:sz w:val="18"/>
                  <w:szCs w:val="18"/>
                </w:rPr>
                <w:t>, No. C16-5239-RBL, 2016 WL 3251403, at *3 (W.D. Wash. June 13, 2016)</w:t>
              </w:r>
            </w:hyperlink>
            <w:r>
              <w:rPr>
                <w:rFonts w:ascii="sans-serif" w:hAnsi="sans-serif" w:cs="sans-serif"/>
                <w:color w:val="000000"/>
                <w:sz w:val="18"/>
                <w:szCs w:val="18"/>
              </w:rPr>
              <w:t xml:space="preserve"> (Some courts describe and reject the </w:t>
            </w:r>
            <w:r>
              <w:rPr>
                <w:rFonts w:ascii="sans-serif" w:hAnsi="sans-serif" w:cs="sans-serif"/>
                <w:color w:val="000000"/>
                <w:sz w:val="18"/>
                <w:szCs w:val="18"/>
              </w:rPr>
              <w:t>“</w:t>
            </w:r>
            <w:r>
              <w:rPr>
                <w:rFonts w:ascii="sans-serif" w:hAnsi="sans-serif" w:cs="sans-serif"/>
                <w:color w:val="000000"/>
                <w:sz w:val="18"/>
                <w:szCs w:val="18"/>
              </w:rPr>
              <w:t>split-the</w:t>
            </w:r>
            <w:r>
              <w:rPr>
                <w:rFonts w:ascii="sans-serif" w:hAnsi="sans-serif" w:cs="sans-serif"/>
                <w:color w:val="000000"/>
                <w:sz w:val="18"/>
                <w:szCs w:val="18"/>
              </w:rPr>
              <w:t>-</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w:t>
            </w:r>
            <w:r>
              <w:rPr>
                <w:rFonts w:ascii="sans-serif" w:hAnsi="sans-serif" w:cs="sans-serif"/>
                <w:color w:val="000000"/>
                <w:sz w:val="18"/>
                <w:szCs w:val="18"/>
              </w:rPr>
              <w:t xml:space="preserve"> theory as an incorrect notion that </w:t>
            </w:r>
            <w:r>
              <w:rPr>
                <w:rFonts w:ascii="sans-serif" w:hAnsi="sans-serif" w:cs="sans-serif"/>
                <w:color w:val="000000"/>
                <w:sz w:val="18"/>
                <w:szCs w:val="18"/>
              </w:rPr>
              <w:t>“</w:t>
            </w:r>
            <w:r>
              <w:rPr>
                <w:rFonts w:ascii="sans-serif" w:hAnsi="sans-serif" w:cs="sans-serif"/>
                <w:color w:val="000000"/>
                <w:sz w:val="18"/>
                <w:szCs w:val="18"/>
              </w:rPr>
              <w:t xml:space="preserve">the Deed </w:t>
            </w:r>
            <w:r>
              <w:rPr>
                <w:rFonts w:ascii="sans-serif" w:hAnsi="sans-serif" w:cs="sans-serif"/>
                <w:color w:val="000000"/>
                <w:sz w:val="18"/>
                <w:szCs w:val="18"/>
              </w:rPr>
              <w:t>‘</w:t>
            </w:r>
            <w:r>
              <w:rPr>
                <w:rFonts w:ascii="sans-serif" w:hAnsi="sans-serif" w:cs="sans-serif"/>
                <w:color w:val="000000"/>
                <w:sz w:val="18"/>
                <w:szCs w:val="18"/>
              </w:rPr>
              <w:t xml:space="preserve">follows the </w:t>
            </w:r>
            <w:r>
              <w:rPr>
                <w:rFonts w:ascii="sans-serif" w:hAnsi="sans-serif" w:cs="sans-serif"/>
                <w:b/>
                <w:bCs/>
                <w:color w:val="252525"/>
                <w:sz w:val="18"/>
                <w:szCs w:val="18"/>
                <w:shd w:val="clear" w:color="auto" w:fill="FFFF66"/>
              </w:rPr>
              <w:t>Note</w:t>
            </w:r>
            <w:r>
              <w:rPr>
                <w:rFonts w:ascii="sans-serif" w:hAnsi="sans-serif" w:cs="sans-serif"/>
                <w:color w:val="000000"/>
                <w:sz w:val="18"/>
                <w:szCs w:val="18"/>
              </w:rPr>
              <w:t>’</w:t>
            </w:r>
            <w:r>
              <w:rPr>
                <w:rFonts w:ascii="sans-serif" w:hAnsi="sans-serif" w:cs="sans-serif"/>
                <w:color w:val="000000"/>
                <w:sz w:val="18"/>
                <w:szCs w:val="18"/>
              </w:rPr>
              <w:t xml:space="preserve"> into the abyss.</w:t>
            </w:r>
            <w:r>
              <w:rPr>
                <w:rFonts w:ascii="sans-serif" w:hAnsi="sans-serif" w:cs="sans-serif"/>
                <w:color w:val="000000"/>
                <w:sz w:val="18"/>
                <w:szCs w:val="18"/>
              </w:rPr>
              <w:t>”</w:t>
            </w:r>
            <w:r>
              <w:rPr>
                <w:rFonts w:ascii="sans-serif" w:hAnsi="sans-serif" w:cs="sans-serif"/>
                <w:color w:val="000000"/>
                <w:sz w:val="18"/>
                <w:szCs w:val="18"/>
              </w:rPr>
              <w:t>).</w:t>
            </w:r>
          </w:p>
          <w:p w14:paraId="2B48813F"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86" w:name="co_footnote_B00272051999703_1"/>
      <w:bookmarkEnd w:id="86"/>
      <w:tr w:rsidR="00000000" w14:paraId="4F2B4C81" w14:textId="77777777">
        <w:tblPrEx>
          <w:tblCellMar>
            <w:top w:w="0" w:type="dxa"/>
            <w:left w:w="0" w:type="dxa"/>
            <w:bottom w:w="0" w:type="dxa"/>
            <w:right w:w="0" w:type="dxa"/>
          </w:tblCellMar>
        </w:tblPrEx>
        <w:tc>
          <w:tcPr>
            <w:tcW w:w="600" w:type="dxa"/>
            <w:tcBorders>
              <w:top w:val="nil"/>
              <w:left w:val="nil"/>
              <w:bottom w:val="nil"/>
              <w:right w:val="nil"/>
            </w:tcBorders>
          </w:tcPr>
          <w:p w14:paraId="7FAAA74E"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"#co_fnRef_B00272051999703_ID0EMHAG_1"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27</w:t>
            </w:r>
            <w:r>
              <w:rPr>
                <w:rFonts w:ascii="sans-serif" w:hAnsi="sans-serif" w:cs="sans-serif"/>
                <w:color w:val="000000"/>
                <w:sz w:val="24"/>
                <w:szCs w:val="24"/>
              </w:rPr>
              <w:fldChar w:fldCharType="end"/>
            </w:r>
          </w:p>
          <w:p w14:paraId="50E15252"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6F1FFEB6"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Appellant’s Br. at 17-18.</w:t>
            </w:r>
          </w:p>
          <w:p w14:paraId="397B6DAD"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87" w:name="co_footnote_B00282051999703_1"/>
      <w:bookmarkEnd w:id="87"/>
      <w:tr w:rsidR="00000000" w14:paraId="5625E2E4" w14:textId="77777777">
        <w:tblPrEx>
          <w:tblCellMar>
            <w:top w:w="0" w:type="dxa"/>
            <w:left w:w="0" w:type="dxa"/>
            <w:bottom w:w="0" w:type="dxa"/>
            <w:right w:w="0" w:type="dxa"/>
          </w:tblCellMar>
        </w:tblPrEx>
        <w:tc>
          <w:tcPr>
            <w:tcW w:w="600" w:type="dxa"/>
            <w:tcBorders>
              <w:top w:val="nil"/>
              <w:left w:val="nil"/>
              <w:bottom w:val="nil"/>
              <w:right w:val="nil"/>
            </w:tcBorders>
          </w:tcPr>
          <w:p w14:paraId="4B22D5B7"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"#co_fnRef_B00282051999703_ID0EZHAG_1"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28</w:t>
            </w:r>
            <w:r>
              <w:rPr>
                <w:rFonts w:ascii="sans-serif" w:hAnsi="sans-serif" w:cs="sans-serif"/>
                <w:color w:val="000000"/>
                <w:sz w:val="24"/>
                <w:szCs w:val="24"/>
              </w:rPr>
              <w:fldChar w:fldCharType="end"/>
            </w:r>
          </w:p>
          <w:p w14:paraId="126DBA0E"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16876622"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Id.</w:t>
            </w:r>
          </w:p>
          <w:p w14:paraId="6365DEEC"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88" w:name="co_footnote_B00292051999703_1"/>
      <w:bookmarkEnd w:id="88"/>
      <w:tr w:rsidR="00000000" w14:paraId="6E689873" w14:textId="77777777">
        <w:tblPrEx>
          <w:tblCellMar>
            <w:top w:w="0" w:type="dxa"/>
            <w:left w:w="0" w:type="dxa"/>
            <w:bottom w:w="0" w:type="dxa"/>
            <w:right w:w="0" w:type="dxa"/>
          </w:tblCellMar>
        </w:tblPrEx>
        <w:tc>
          <w:tcPr>
            <w:tcW w:w="600" w:type="dxa"/>
            <w:tcBorders>
              <w:top w:val="nil"/>
              <w:left w:val="nil"/>
              <w:bottom w:val="nil"/>
              <w:right w:val="nil"/>
            </w:tcBorders>
          </w:tcPr>
          <w:p w14:paraId="067E38E5"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"#co_fnRef_B00292051999703_ID0E6LAG_1"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29</w:t>
            </w:r>
            <w:r>
              <w:rPr>
                <w:rFonts w:ascii="sans-serif" w:hAnsi="sans-serif" w:cs="sans-serif"/>
                <w:color w:val="000000"/>
                <w:sz w:val="24"/>
                <w:szCs w:val="24"/>
              </w:rPr>
              <w:fldChar w:fldCharType="end"/>
            </w:r>
          </w:p>
          <w:p w14:paraId="33596A88"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0858A5DF"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46" w:history="1">
              <w:r>
                <w:rPr>
                  <w:rFonts w:ascii="sans-serif" w:hAnsi="sans-serif" w:cs="sans-serif"/>
                  <w:color w:val="0000FF"/>
                  <w:sz w:val="18"/>
                  <w:szCs w:val="18"/>
                </w:rPr>
                <w:t>RCW 4.16.040(1)</w:t>
              </w:r>
            </w:hyperlink>
            <w:r>
              <w:rPr>
                <w:rFonts w:ascii="sans-serif" w:hAnsi="sans-serif" w:cs="sans-serif"/>
                <w:color w:val="000000"/>
                <w:sz w:val="18"/>
                <w:szCs w:val="18"/>
              </w:rPr>
              <w:t>.</w:t>
            </w:r>
          </w:p>
          <w:p w14:paraId="4BE013E8"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89" w:name="co_footnote_B00302051999703_1"/>
      <w:bookmarkEnd w:id="89"/>
      <w:tr w:rsidR="00000000" w14:paraId="27036491" w14:textId="77777777">
        <w:tblPrEx>
          <w:tblCellMar>
            <w:top w:w="0" w:type="dxa"/>
            <w:left w:w="0" w:type="dxa"/>
            <w:bottom w:w="0" w:type="dxa"/>
            <w:right w:w="0" w:type="dxa"/>
          </w:tblCellMar>
        </w:tblPrEx>
        <w:tc>
          <w:tcPr>
            <w:tcW w:w="600" w:type="dxa"/>
            <w:tcBorders>
              <w:top w:val="nil"/>
              <w:left w:val="nil"/>
              <w:bottom w:val="nil"/>
              <w:right w:val="nil"/>
            </w:tcBorders>
          </w:tcPr>
          <w:p w14:paraId="3DAD6691"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"#co_fnRef_B00302051999703_ID0EANAG_1"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30</w:t>
            </w:r>
            <w:r>
              <w:rPr>
                <w:rFonts w:ascii="sans-serif" w:hAnsi="sans-serif" w:cs="sans-serif"/>
                <w:color w:val="000000"/>
                <w:sz w:val="24"/>
                <w:szCs w:val="24"/>
              </w:rPr>
              <w:fldChar w:fldCharType="end"/>
            </w:r>
          </w:p>
          <w:p w14:paraId="4044AD01"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25ADE185"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47" w:history="1">
              <w:r>
                <w:rPr>
                  <w:rFonts w:ascii="sans-serif" w:hAnsi="sans-serif" w:cs="sans-serif"/>
                  <w:color w:val="0000FF"/>
                  <w:sz w:val="18"/>
                  <w:szCs w:val="18"/>
                  <w:u w:val="single"/>
                </w:rPr>
                <w:t>Merceri v. Bank of N.Y. Mellon</w:t>
              </w:r>
              <w:r>
                <w:rPr>
                  <w:rFonts w:ascii="sans-serif" w:hAnsi="sans-serif" w:cs="sans-serif"/>
                  <w:color w:val="0000FF"/>
                  <w:sz w:val="18"/>
                  <w:szCs w:val="18"/>
                </w:rPr>
                <w:t>, 4 Wn. App. 2d 755, 759-60, 434 P.3d 84 (201</w:t>
              </w:r>
              <w:r>
                <w:rPr>
                  <w:rFonts w:ascii="sans-serif" w:hAnsi="sans-serif" w:cs="sans-serif"/>
                  <w:color w:val="0000FF"/>
                  <w:sz w:val="18"/>
                  <w:szCs w:val="18"/>
                </w:rPr>
                <w:t>8)</w:t>
              </w:r>
            </w:hyperlink>
            <w:r>
              <w:rPr>
                <w:rFonts w:ascii="sans-serif" w:hAnsi="sans-serif" w:cs="sans-serif"/>
                <w:color w:val="000000"/>
                <w:sz w:val="18"/>
                <w:szCs w:val="18"/>
              </w:rPr>
              <w:t xml:space="preserve"> (quoting </w:t>
            </w:r>
            <w:hyperlink r:id="rId48" w:history="1">
              <w:r>
                <w:rPr>
                  <w:rFonts w:ascii="sans-serif" w:hAnsi="sans-serif" w:cs="sans-serif"/>
                  <w:color w:val="0000FF"/>
                  <w:sz w:val="18"/>
                  <w:szCs w:val="18"/>
                  <w:u w:val="single"/>
                </w:rPr>
                <w:t>Edmundson v. Bank of Am.</w:t>
              </w:r>
              <w:r>
                <w:rPr>
                  <w:rFonts w:ascii="sans-serif" w:hAnsi="sans-serif" w:cs="sans-serif"/>
                  <w:color w:val="0000FF"/>
                  <w:sz w:val="18"/>
                  <w:szCs w:val="18"/>
                </w:rPr>
                <w:t>, 194 Wn. App. 920, 930, 378 P.3d 272 (2016)</w:t>
              </w:r>
            </w:hyperlink>
            <w:r>
              <w:rPr>
                <w:rFonts w:ascii="sans-serif" w:hAnsi="sans-serif" w:cs="sans-serif"/>
                <w:color w:val="000000"/>
                <w:sz w:val="18"/>
                <w:szCs w:val="18"/>
              </w:rPr>
              <w:t>).</w:t>
            </w:r>
          </w:p>
          <w:p w14:paraId="1AB18336"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90" w:name="co_footnote_B00312051999703_1"/>
      <w:bookmarkEnd w:id="90"/>
      <w:tr w:rsidR="00000000" w14:paraId="11060524" w14:textId="77777777">
        <w:tblPrEx>
          <w:tblCellMar>
            <w:top w:w="0" w:type="dxa"/>
            <w:left w:w="0" w:type="dxa"/>
            <w:bottom w:w="0" w:type="dxa"/>
            <w:right w:w="0" w:type="dxa"/>
          </w:tblCellMar>
        </w:tblPrEx>
        <w:tc>
          <w:tcPr>
            <w:tcW w:w="600" w:type="dxa"/>
            <w:tcBorders>
              <w:top w:val="nil"/>
              <w:left w:val="nil"/>
              <w:bottom w:val="nil"/>
              <w:right w:val="nil"/>
            </w:tcBorders>
          </w:tcPr>
          <w:p w14:paraId="4835E01F"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"#co_fnRef_B00312051999703_ID0EHNAG_1"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31</w:t>
            </w:r>
            <w:r>
              <w:rPr>
                <w:rFonts w:ascii="sans-serif" w:hAnsi="sans-serif" w:cs="sans-serif"/>
                <w:color w:val="000000"/>
                <w:sz w:val="24"/>
                <w:szCs w:val="24"/>
              </w:rPr>
              <w:fldChar w:fldCharType="end"/>
            </w:r>
          </w:p>
          <w:p w14:paraId="55E3F01C"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247F3CC3"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49" w:history="1">
              <w:r>
                <w:rPr>
                  <w:rFonts w:ascii="sans-serif" w:hAnsi="sans-serif" w:cs="sans-serif"/>
                  <w:color w:val="0000FF"/>
                  <w:sz w:val="18"/>
                  <w:szCs w:val="18"/>
                  <w:u w:val="single"/>
                </w:rPr>
                <w:t>Frias v. Asset Foreclosure Servs. Inc.</w:t>
              </w:r>
              <w:r>
                <w:rPr>
                  <w:rFonts w:ascii="sans-serif" w:hAnsi="sans-serif" w:cs="sans-serif"/>
                  <w:color w:val="0000FF"/>
                  <w:sz w:val="18"/>
                  <w:szCs w:val="18"/>
                </w:rPr>
                <w:t>, 181 Wn.2d 412, 427 n.2, 334 P.3d 529 (2014)</w:t>
              </w:r>
            </w:hyperlink>
            <w:r>
              <w:rPr>
                <w:rFonts w:ascii="sans-serif" w:hAnsi="sans-serif" w:cs="sans-serif"/>
                <w:color w:val="000000"/>
                <w:sz w:val="18"/>
                <w:szCs w:val="18"/>
              </w:rPr>
              <w:t>.</w:t>
            </w:r>
          </w:p>
          <w:p w14:paraId="404ACF78"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91" w:name="co_footnote_B00322051999703_1"/>
      <w:bookmarkEnd w:id="91"/>
      <w:tr w:rsidR="00000000" w14:paraId="0701C7F6" w14:textId="77777777">
        <w:tblPrEx>
          <w:tblCellMar>
            <w:top w:w="0" w:type="dxa"/>
            <w:left w:w="0" w:type="dxa"/>
            <w:bottom w:w="0" w:type="dxa"/>
            <w:right w:w="0" w:type="dxa"/>
          </w:tblCellMar>
        </w:tblPrEx>
        <w:tc>
          <w:tcPr>
            <w:tcW w:w="600" w:type="dxa"/>
            <w:tcBorders>
              <w:top w:val="nil"/>
              <w:left w:val="nil"/>
              <w:bottom w:val="nil"/>
              <w:right w:val="nil"/>
            </w:tcBorders>
          </w:tcPr>
          <w:p w14:paraId="2EFFE1B0"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"#co_fnRef_B00322051999703_ID0E1QAG_1"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32</w:t>
            </w:r>
            <w:r>
              <w:rPr>
                <w:rFonts w:ascii="sans-serif" w:hAnsi="sans-serif" w:cs="sans-serif"/>
                <w:color w:val="000000"/>
                <w:sz w:val="24"/>
                <w:szCs w:val="24"/>
              </w:rPr>
              <w:fldChar w:fldCharType="end"/>
            </w:r>
          </w:p>
          <w:p w14:paraId="2981EBD7"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784154D8"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50" w:history="1">
              <w:r>
                <w:rPr>
                  <w:rFonts w:ascii="sans-serif" w:hAnsi="sans-serif" w:cs="sans-serif"/>
                  <w:color w:val="0000FF"/>
                  <w:sz w:val="18"/>
                  <w:szCs w:val="18"/>
                </w:rPr>
                <w:t>4 Wn. App. 2d 755, 759, 434 P.3d 84 (2018)</w:t>
              </w:r>
            </w:hyperlink>
            <w:r>
              <w:rPr>
                <w:rFonts w:ascii="sans-serif" w:hAnsi="sans-serif" w:cs="sans-serif"/>
                <w:color w:val="000000"/>
                <w:sz w:val="18"/>
                <w:szCs w:val="18"/>
              </w:rPr>
              <w:t>.</w:t>
            </w:r>
          </w:p>
          <w:p w14:paraId="7D60D614"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92" w:name="co_footnote_B00332051999703_1"/>
      <w:bookmarkEnd w:id="92"/>
      <w:tr w:rsidR="00000000" w14:paraId="7F39EB5E" w14:textId="77777777">
        <w:tblPrEx>
          <w:tblCellMar>
            <w:top w:w="0" w:type="dxa"/>
            <w:left w:w="0" w:type="dxa"/>
            <w:bottom w:w="0" w:type="dxa"/>
            <w:right w:w="0" w:type="dxa"/>
          </w:tblCellMar>
        </w:tblPrEx>
        <w:tc>
          <w:tcPr>
            <w:tcW w:w="600" w:type="dxa"/>
            <w:tcBorders>
              <w:top w:val="nil"/>
              <w:left w:val="nil"/>
              <w:bottom w:val="nil"/>
              <w:right w:val="nil"/>
            </w:tcBorders>
          </w:tcPr>
          <w:p w14:paraId="6A60E43C"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"#co_fnRef_B00332051999703_ID0EERAG_1"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33</w:t>
            </w:r>
            <w:r>
              <w:rPr>
                <w:rFonts w:ascii="sans-serif" w:hAnsi="sans-serif" w:cs="sans-serif"/>
                <w:color w:val="000000"/>
                <w:sz w:val="24"/>
                <w:szCs w:val="24"/>
              </w:rPr>
              <w:fldChar w:fldCharType="end"/>
            </w:r>
          </w:p>
          <w:p w14:paraId="2220B0A9"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5B25F538"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Id. at 760.</w:t>
            </w:r>
          </w:p>
          <w:p w14:paraId="5A3D5D87"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93" w:name="co_footnote_B00342051999703_1"/>
      <w:bookmarkEnd w:id="93"/>
      <w:tr w:rsidR="00000000" w14:paraId="33454C8F" w14:textId="77777777">
        <w:tblPrEx>
          <w:tblCellMar>
            <w:top w:w="0" w:type="dxa"/>
            <w:left w:w="0" w:type="dxa"/>
            <w:bottom w:w="0" w:type="dxa"/>
            <w:right w:w="0" w:type="dxa"/>
          </w:tblCellMar>
        </w:tblPrEx>
        <w:tc>
          <w:tcPr>
            <w:tcW w:w="600" w:type="dxa"/>
            <w:tcBorders>
              <w:top w:val="nil"/>
              <w:left w:val="nil"/>
              <w:bottom w:val="nil"/>
              <w:right w:val="nil"/>
            </w:tcBorders>
          </w:tcPr>
          <w:p w14:paraId="6C07617E"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"#co_fnRef_B00342051999703_ID0EAUAG_1"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34</w:t>
            </w:r>
            <w:r>
              <w:rPr>
                <w:rFonts w:ascii="sans-serif" w:hAnsi="sans-serif" w:cs="sans-serif"/>
                <w:color w:val="000000"/>
                <w:sz w:val="24"/>
                <w:szCs w:val="24"/>
              </w:rPr>
              <w:fldChar w:fldCharType="end"/>
            </w:r>
          </w:p>
          <w:p w14:paraId="723411C9"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529B4554"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51" w:history="1">
              <w:r>
                <w:rPr>
                  <w:rFonts w:ascii="sans-serif" w:hAnsi="sans-serif" w:cs="sans-serif"/>
                  <w:color w:val="0000FF"/>
                  <w:sz w:val="18"/>
                  <w:szCs w:val="18"/>
                  <w:u w:val="single"/>
                </w:rPr>
                <w:t>Zonne</w:t>
              </w:r>
              <w:r>
                <w:rPr>
                  <w:rFonts w:ascii="sans-serif" w:hAnsi="sans-serif" w:cs="sans-serif"/>
                  <w:color w:val="0000FF"/>
                  <w:sz w:val="18"/>
                  <w:szCs w:val="18"/>
                  <w:u w:val="single"/>
                </w:rPr>
                <w:t>bloem, LLC v. Blue Bay Holdings, LLC</w:t>
              </w:r>
              <w:r>
                <w:rPr>
                  <w:rFonts w:ascii="sans-serif" w:hAnsi="sans-serif" w:cs="sans-serif"/>
                  <w:color w:val="0000FF"/>
                  <w:sz w:val="18"/>
                  <w:szCs w:val="18"/>
                </w:rPr>
                <w:t>, 200 Wn. App. 178, 183 n.1, 401 P.3d 468 (2017)</w:t>
              </w:r>
            </w:hyperlink>
            <w:r>
              <w:rPr>
                <w:rFonts w:ascii="sans-serif" w:hAnsi="sans-serif" w:cs="sans-serif"/>
                <w:color w:val="000000"/>
                <w:sz w:val="18"/>
                <w:szCs w:val="18"/>
              </w:rPr>
              <w:t xml:space="preserve"> (citing </w:t>
            </w:r>
            <w:hyperlink r:id="rId52" w:history="1">
              <w:r>
                <w:rPr>
                  <w:rFonts w:ascii="sans-serif" w:hAnsi="sans-serif" w:cs="sans-serif"/>
                  <w:color w:val="0000FF"/>
                  <w:sz w:val="18"/>
                  <w:szCs w:val="18"/>
                </w:rPr>
                <w:t>RAP 2.5(a)</w:t>
              </w:r>
            </w:hyperlink>
            <w:r>
              <w:rPr>
                <w:rFonts w:ascii="sans-serif" w:hAnsi="sans-serif" w:cs="sans-serif"/>
                <w:color w:val="000000"/>
                <w:sz w:val="18"/>
                <w:szCs w:val="18"/>
              </w:rPr>
              <w:t>).</w:t>
            </w:r>
          </w:p>
          <w:p w14:paraId="29BF845A"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94" w:name="co_footnote_B00352051999703_1"/>
      <w:bookmarkEnd w:id="94"/>
      <w:tr w:rsidR="00000000" w14:paraId="4C25A04F" w14:textId="77777777">
        <w:tblPrEx>
          <w:tblCellMar>
            <w:top w:w="0" w:type="dxa"/>
            <w:left w:w="0" w:type="dxa"/>
            <w:bottom w:w="0" w:type="dxa"/>
            <w:right w:w="0" w:type="dxa"/>
          </w:tblCellMar>
        </w:tblPrEx>
        <w:tc>
          <w:tcPr>
            <w:tcW w:w="600" w:type="dxa"/>
            <w:tcBorders>
              <w:top w:val="nil"/>
              <w:left w:val="nil"/>
              <w:bottom w:val="nil"/>
              <w:right w:val="nil"/>
            </w:tcBorders>
          </w:tcPr>
          <w:p w14:paraId="0496D7F4"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"#co_fnRef_B00352051999703_ID0EDWAG_1"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35</w:t>
            </w:r>
            <w:r>
              <w:rPr>
                <w:rFonts w:ascii="sans-serif" w:hAnsi="sans-serif" w:cs="sans-serif"/>
                <w:color w:val="000000"/>
                <w:sz w:val="24"/>
                <w:szCs w:val="24"/>
              </w:rPr>
              <w:fldChar w:fldCharType="end"/>
            </w:r>
          </w:p>
          <w:p w14:paraId="29E7627D"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2CBA2DC1"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Appellant’s Reply Br. at 12</w:t>
            </w:r>
            <w:r>
              <w:rPr>
                <w:rFonts w:ascii="sans-serif" w:hAnsi="sans-serif" w:cs="sans-serif"/>
                <w:color w:val="000000"/>
                <w:sz w:val="18"/>
                <w:szCs w:val="18"/>
              </w:rPr>
              <w:t>.</w:t>
            </w:r>
          </w:p>
          <w:p w14:paraId="7D79FE81"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95" w:name="co_footnote_B00362051999703_1"/>
      <w:bookmarkEnd w:id="95"/>
      <w:tr w:rsidR="00000000" w14:paraId="03322291" w14:textId="77777777">
        <w:tblPrEx>
          <w:tblCellMar>
            <w:top w:w="0" w:type="dxa"/>
            <w:left w:w="0" w:type="dxa"/>
            <w:bottom w:w="0" w:type="dxa"/>
            <w:right w:w="0" w:type="dxa"/>
          </w:tblCellMar>
        </w:tblPrEx>
        <w:tc>
          <w:tcPr>
            <w:tcW w:w="600" w:type="dxa"/>
            <w:tcBorders>
              <w:top w:val="nil"/>
              <w:left w:val="nil"/>
              <w:bottom w:val="nil"/>
              <w:right w:val="nil"/>
            </w:tcBorders>
          </w:tcPr>
          <w:p w14:paraId="5A83E3DE"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"#co_fnRef_B00362051999703_ID0ENWAG_1"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36</w:t>
            </w:r>
            <w:r>
              <w:rPr>
                <w:rFonts w:ascii="sans-serif" w:hAnsi="sans-serif" w:cs="sans-serif"/>
                <w:color w:val="000000"/>
                <w:sz w:val="24"/>
                <w:szCs w:val="24"/>
              </w:rPr>
              <w:fldChar w:fldCharType="end"/>
            </w:r>
          </w:p>
          <w:p w14:paraId="10C9AE71"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2435E305"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53" w:history="1">
              <w:r>
                <w:rPr>
                  <w:rFonts w:ascii="sans-serif" w:hAnsi="sans-serif" w:cs="sans-serif"/>
                  <w:color w:val="0000FF"/>
                  <w:sz w:val="18"/>
                  <w:szCs w:val="18"/>
                  <w:u w:val="single"/>
                </w:rPr>
                <w:t>Frias</w:t>
              </w:r>
              <w:r>
                <w:rPr>
                  <w:rFonts w:ascii="sans-serif" w:hAnsi="sans-serif" w:cs="sans-serif"/>
                  <w:color w:val="0000FF"/>
                  <w:sz w:val="18"/>
                  <w:szCs w:val="18"/>
                </w:rPr>
                <w:t>, 181 Wn.2d at 427 n.2</w:t>
              </w:r>
            </w:hyperlink>
            <w:r>
              <w:rPr>
                <w:rFonts w:ascii="sans-serif" w:hAnsi="sans-serif" w:cs="sans-serif"/>
                <w:color w:val="000000"/>
                <w:sz w:val="18"/>
                <w:szCs w:val="18"/>
              </w:rPr>
              <w:t>.</w:t>
            </w:r>
          </w:p>
          <w:p w14:paraId="4252F29C"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96" w:name="co_footnote_B00372051999703_1"/>
      <w:bookmarkEnd w:id="96"/>
      <w:tr w:rsidR="00000000" w14:paraId="1DB30719" w14:textId="77777777">
        <w:tblPrEx>
          <w:tblCellMar>
            <w:top w:w="0" w:type="dxa"/>
            <w:left w:w="0" w:type="dxa"/>
            <w:bottom w:w="0" w:type="dxa"/>
            <w:right w:w="0" w:type="dxa"/>
          </w:tblCellMar>
        </w:tblPrEx>
        <w:tc>
          <w:tcPr>
            <w:tcW w:w="600" w:type="dxa"/>
            <w:tcBorders>
              <w:top w:val="nil"/>
              <w:left w:val="nil"/>
              <w:bottom w:val="nil"/>
              <w:right w:val="nil"/>
            </w:tcBorders>
          </w:tcPr>
          <w:p w14:paraId="3564CAA0"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"#co_fnRef_B00372051999703_ID0EHZAG_1"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37</w:t>
            </w:r>
            <w:r>
              <w:rPr>
                <w:rFonts w:ascii="sans-serif" w:hAnsi="sans-serif" w:cs="sans-serif"/>
                <w:color w:val="000000"/>
                <w:sz w:val="24"/>
                <w:szCs w:val="24"/>
              </w:rPr>
              <w:fldChar w:fldCharType="end"/>
            </w:r>
          </w:p>
          <w:p w14:paraId="76BE2D92"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78E73BE3"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We need not address the parties</w:t>
            </w:r>
            <w:r>
              <w:rPr>
                <w:rFonts w:ascii="sans-serif" w:hAnsi="sans-serif" w:cs="sans-serif"/>
                <w:color w:val="000000"/>
                <w:sz w:val="18"/>
                <w:szCs w:val="18"/>
              </w:rPr>
              <w:t>’</w:t>
            </w:r>
            <w:r>
              <w:rPr>
                <w:rFonts w:ascii="sans-serif" w:hAnsi="sans-serif" w:cs="sans-serif"/>
                <w:color w:val="000000"/>
                <w:sz w:val="18"/>
                <w:szCs w:val="18"/>
              </w:rPr>
              <w:t xml:space="preserve"> alternative arguments regarding to</w:t>
            </w:r>
            <w:r>
              <w:rPr>
                <w:rFonts w:ascii="sans-serif" w:hAnsi="sans-serif" w:cs="sans-serif"/>
                <w:color w:val="000000"/>
                <w:sz w:val="18"/>
                <w:szCs w:val="18"/>
              </w:rPr>
              <w:t>lling.</w:t>
            </w:r>
          </w:p>
          <w:p w14:paraId="59F16B6C"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97" w:name="co_footnote_B00382051999703_1"/>
      <w:bookmarkEnd w:id="97"/>
      <w:tr w:rsidR="00000000" w14:paraId="51FB5FC0" w14:textId="77777777">
        <w:tblPrEx>
          <w:tblCellMar>
            <w:top w:w="0" w:type="dxa"/>
            <w:left w:w="0" w:type="dxa"/>
            <w:bottom w:w="0" w:type="dxa"/>
            <w:right w:w="0" w:type="dxa"/>
          </w:tblCellMar>
        </w:tblPrEx>
        <w:tc>
          <w:tcPr>
            <w:tcW w:w="600" w:type="dxa"/>
            <w:tcBorders>
              <w:top w:val="nil"/>
              <w:left w:val="nil"/>
              <w:bottom w:val="nil"/>
              <w:right w:val="nil"/>
            </w:tcBorders>
          </w:tcPr>
          <w:p w14:paraId="7823FD08"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"#co_fnRef_B00382051999703_ID0ET1AG_1"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38</w:t>
            </w:r>
            <w:r>
              <w:rPr>
                <w:rFonts w:ascii="sans-serif" w:hAnsi="sans-serif" w:cs="sans-serif"/>
                <w:color w:val="000000"/>
                <w:sz w:val="24"/>
                <w:szCs w:val="24"/>
              </w:rPr>
              <w:fldChar w:fldCharType="end"/>
            </w:r>
          </w:p>
          <w:p w14:paraId="17AF0987"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310D4FFE"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Appellant’s Br. at 29.</w:t>
            </w:r>
          </w:p>
          <w:p w14:paraId="66C295D8"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98" w:name="co_footnote_B00392051999703_1"/>
      <w:bookmarkEnd w:id="98"/>
      <w:tr w:rsidR="00000000" w14:paraId="6DB5E0D6" w14:textId="77777777">
        <w:tblPrEx>
          <w:tblCellMar>
            <w:top w:w="0" w:type="dxa"/>
            <w:left w:w="0" w:type="dxa"/>
            <w:bottom w:w="0" w:type="dxa"/>
            <w:right w:w="0" w:type="dxa"/>
          </w:tblCellMar>
        </w:tblPrEx>
        <w:tc>
          <w:tcPr>
            <w:tcW w:w="600" w:type="dxa"/>
            <w:tcBorders>
              <w:top w:val="nil"/>
              <w:left w:val="nil"/>
              <w:bottom w:val="nil"/>
              <w:right w:val="nil"/>
            </w:tcBorders>
          </w:tcPr>
          <w:p w14:paraId="33953240"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"#co_fnRef_B00392051999703_ID0EE2AG_1"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w:t>
            </w:r>
            <w:r>
              <w:rPr>
                <w:rFonts w:ascii="sans-serif" w:hAnsi="sans-serif" w:cs="sans-serif"/>
                <w:color w:val="0000FF"/>
                <w:sz w:val="24"/>
                <w:szCs w:val="24"/>
                <w:vertAlign w:val="superscript"/>
              </w:rPr>
              <w:t>9</w:t>
            </w:r>
            <w:r>
              <w:rPr>
                <w:rFonts w:ascii="sans-serif" w:hAnsi="sans-serif" w:cs="sans-serif"/>
                <w:color w:val="000000"/>
                <w:sz w:val="24"/>
                <w:szCs w:val="24"/>
              </w:rPr>
              <w:fldChar w:fldCharType="end"/>
            </w:r>
          </w:p>
          <w:p w14:paraId="7DB5917F"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399BA395"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u w:val="single"/>
              </w:rPr>
            </w:pPr>
            <w:r>
              <w:rPr>
                <w:rFonts w:ascii="sans-serif" w:hAnsi="sans-serif" w:cs="sans-serif"/>
                <w:color w:val="000000"/>
                <w:sz w:val="18"/>
                <w:szCs w:val="18"/>
                <w:u w:val="single"/>
              </w:rPr>
              <w:t>Id.</w:t>
            </w:r>
          </w:p>
          <w:p w14:paraId="22DF5B14"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u w:val="single"/>
              </w:rPr>
            </w:pPr>
          </w:p>
        </w:tc>
      </w:tr>
      <w:bookmarkStart w:id="99" w:name="co_footnote_B00402051999703_1"/>
      <w:bookmarkEnd w:id="99"/>
      <w:tr w:rsidR="00000000" w14:paraId="25650A2C" w14:textId="77777777">
        <w:tblPrEx>
          <w:tblCellMar>
            <w:top w:w="0" w:type="dxa"/>
            <w:left w:w="0" w:type="dxa"/>
            <w:bottom w:w="0" w:type="dxa"/>
            <w:right w:w="0" w:type="dxa"/>
          </w:tblCellMar>
        </w:tblPrEx>
        <w:tc>
          <w:tcPr>
            <w:tcW w:w="600" w:type="dxa"/>
            <w:tcBorders>
              <w:top w:val="nil"/>
              <w:left w:val="nil"/>
              <w:bottom w:val="nil"/>
              <w:right w:val="nil"/>
            </w:tcBorders>
          </w:tcPr>
          <w:p w14:paraId="757F5206"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"#co_fnRef_B00402051999703_ID0EN4AG_1"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40</w:t>
            </w:r>
            <w:r>
              <w:rPr>
                <w:rFonts w:ascii="sans-serif" w:hAnsi="sans-serif" w:cs="sans-serif"/>
                <w:color w:val="000000"/>
                <w:sz w:val="24"/>
                <w:szCs w:val="24"/>
              </w:rPr>
              <w:fldChar w:fldCharType="end"/>
            </w:r>
          </w:p>
          <w:p w14:paraId="307A99C1"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6A695867"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hyperlink r:id="rId54" w:history="1">
              <w:r>
                <w:rPr>
                  <w:rFonts w:ascii="sans-serif" w:hAnsi="sans-serif" w:cs="sans-serif"/>
                  <w:color w:val="0000FF"/>
                  <w:sz w:val="18"/>
                  <w:szCs w:val="18"/>
                  <w:u w:val="single"/>
                </w:rPr>
                <w:t>Taylor v. Bell</w:t>
              </w:r>
              <w:r>
                <w:rPr>
                  <w:rFonts w:ascii="sans-serif" w:hAnsi="sans-serif" w:cs="sans-serif"/>
                  <w:color w:val="0000FF"/>
                  <w:sz w:val="18"/>
                  <w:szCs w:val="18"/>
                </w:rPr>
                <w:t>, 185 Wn. App. 270, 281, 340 P.3d 951 (2014)</w:t>
              </w:r>
            </w:hyperlink>
            <w:r>
              <w:rPr>
                <w:rFonts w:ascii="sans-serif" w:hAnsi="sans-serif" w:cs="sans-serif"/>
                <w:color w:val="000000"/>
                <w:sz w:val="18"/>
                <w:szCs w:val="18"/>
              </w:rPr>
              <w:t>.</w:t>
            </w:r>
          </w:p>
          <w:p w14:paraId="667158B5"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100" w:name="co_footnote_B00412051999703_1"/>
      <w:bookmarkEnd w:id="100"/>
      <w:tr w:rsidR="00000000" w14:paraId="2D90F80A" w14:textId="77777777">
        <w:tblPrEx>
          <w:tblCellMar>
            <w:top w:w="0" w:type="dxa"/>
            <w:left w:w="0" w:type="dxa"/>
            <w:bottom w:w="0" w:type="dxa"/>
            <w:right w:w="0" w:type="dxa"/>
          </w:tblCellMar>
        </w:tblPrEx>
        <w:tc>
          <w:tcPr>
            <w:tcW w:w="600" w:type="dxa"/>
            <w:tcBorders>
              <w:top w:val="nil"/>
              <w:left w:val="nil"/>
              <w:bottom w:val="nil"/>
              <w:right w:val="nil"/>
            </w:tcBorders>
          </w:tcPr>
          <w:p w14:paraId="3043FB79"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"#co_fnRef_B00412051999703_ID0EB5AG_1"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41</w:t>
            </w:r>
            <w:r>
              <w:rPr>
                <w:rFonts w:ascii="sans-serif" w:hAnsi="sans-serif" w:cs="sans-serif"/>
                <w:color w:val="000000"/>
                <w:sz w:val="24"/>
                <w:szCs w:val="24"/>
              </w:rPr>
              <w:fldChar w:fldCharType="end"/>
            </w:r>
          </w:p>
          <w:p w14:paraId="3B13215B"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67F37613"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u w:val="single"/>
              </w:rPr>
              <w:t>Id.</w:t>
            </w:r>
            <w:r>
              <w:rPr>
                <w:rFonts w:ascii="sans-serif" w:hAnsi="sans-serif" w:cs="sans-serif"/>
                <w:color w:val="000000"/>
                <w:sz w:val="18"/>
                <w:szCs w:val="18"/>
              </w:rPr>
              <w:t xml:space="preserve"> at 282 (footnote omitted).</w:t>
            </w:r>
          </w:p>
          <w:p w14:paraId="0205A4D4"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101" w:name="co_footnote_B00422051999703_1"/>
      <w:bookmarkEnd w:id="101"/>
      <w:tr w:rsidR="00000000" w14:paraId="4CEBE272" w14:textId="77777777">
        <w:tblPrEx>
          <w:tblCellMar>
            <w:top w:w="0" w:type="dxa"/>
            <w:left w:w="0" w:type="dxa"/>
            <w:bottom w:w="0" w:type="dxa"/>
            <w:right w:w="0" w:type="dxa"/>
          </w:tblCellMar>
        </w:tblPrEx>
        <w:tc>
          <w:tcPr>
            <w:tcW w:w="600" w:type="dxa"/>
            <w:tcBorders>
              <w:top w:val="nil"/>
              <w:left w:val="nil"/>
              <w:bottom w:val="nil"/>
              <w:right w:val="nil"/>
            </w:tcBorders>
          </w:tcPr>
          <w:p w14:paraId="2D8852C1"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"#co_fnRef_B00422051999703_ID0EX5AG_1"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42</w:t>
            </w:r>
            <w:r>
              <w:rPr>
                <w:rFonts w:ascii="sans-serif" w:hAnsi="sans-serif" w:cs="sans-serif"/>
                <w:color w:val="000000"/>
                <w:sz w:val="24"/>
                <w:szCs w:val="24"/>
              </w:rPr>
              <w:fldChar w:fldCharType="end"/>
            </w:r>
          </w:p>
          <w:p w14:paraId="61DB8CA7"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3EAFDB01"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u w:val="single"/>
              </w:rPr>
              <w:t>Id.</w:t>
            </w:r>
            <w:r>
              <w:rPr>
                <w:rFonts w:ascii="sans-serif" w:hAnsi="sans-serif" w:cs="sans-serif"/>
                <w:color w:val="000000"/>
                <w:sz w:val="18"/>
                <w:szCs w:val="18"/>
              </w:rPr>
              <w:t xml:space="preserve"> at 273.</w:t>
            </w:r>
          </w:p>
          <w:p w14:paraId="7B718442"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bookmarkStart w:id="102" w:name="co_footnote_B00432051999703_1"/>
      <w:bookmarkEnd w:id="102"/>
      <w:tr w:rsidR="00000000" w14:paraId="2272ADC6" w14:textId="77777777">
        <w:tblPrEx>
          <w:tblCellMar>
            <w:top w:w="0" w:type="dxa"/>
            <w:left w:w="0" w:type="dxa"/>
            <w:bottom w:w="0" w:type="dxa"/>
            <w:right w:w="0" w:type="dxa"/>
          </w:tblCellMar>
        </w:tblPrEx>
        <w:tc>
          <w:tcPr>
            <w:tcW w:w="600" w:type="dxa"/>
            <w:tcBorders>
              <w:top w:val="nil"/>
              <w:left w:val="nil"/>
              <w:bottom w:val="nil"/>
              <w:right w:val="nil"/>
            </w:tcBorders>
          </w:tcPr>
          <w:p w14:paraId="105AFCAB"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"#co_fnRef_B00432051999703_ID0EICBG_1" </w:instrText>
            </w:r>
            <w:r w:rsidR="002938ED">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43</w:t>
            </w:r>
            <w:r>
              <w:rPr>
                <w:rFonts w:ascii="sans-serif" w:hAnsi="sans-serif" w:cs="sans-serif"/>
                <w:color w:val="000000"/>
                <w:sz w:val="24"/>
                <w:szCs w:val="24"/>
              </w:rPr>
              <w:fldChar w:fldCharType="end"/>
            </w:r>
          </w:p>
          <w:p w14:paraId="0D9BEA04"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14:paraId="316D5047"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Report of Proceedings (April 25, 2014) at 20; CP at 142.</w:t>
            </w:r>
          </w:p>
          <w:p w14:paraId="49AD8FCE" w14:textId="77777777" w:rsidR="00000000" w:rsidRDefault="0066374B">
            <w:pPr>
              <w:widowControl w:val="0"/>
              <w:autoSpaceDE w:val="0"/>
              <w:autoSpaceDN w:val="0"/>
              <w:adjustRightInd w:val="0"/>
              <w:spacing w:after="0" w:line="240" w:lineRule="auto"/>
              <w:jc w:val="both"/>
              <w:rPr>
                <w:rFonts w:ascii="sans-serif" w:hAnsi="sans-serif" w:cs="sans-serif"/>
                <w:color w:val="000000"/>
                <w:sz w:val="18"/>
                <w:szCs w:val="18"/>
              </w:rPr>
            </w:pPr>
          </w:p>
        </w:tc>
      </w:tr>
    </w:tbl>
    <w:p w14:paraId="248159E6" w14:textId="77777777" w:rsidR="00000000" w:rsidRDefault="0066374B">
      <w:pPr>
        <w:widowControl w:val="0"/>
        <w:autoSpaceDE w:val="0"/>
        <w:autoSpaceDN w:val="0"/>
        <w:adjustRightInd w:val="0"/>
        <w:spacing w:after="0" w:line="240" w:lineRule="auto"/>
        <w:rPr>
          <w:rFonts w:ascii="Arial" w:hAnsi="Arial" w:cs="Arial"/>
          <w:sz w:val="24"/>
          <w:szCs w:val="24"/>
        </w:rPr>
      </w:pPr>
    </w:p>
    <w:p w14:paraId="1162A5A6" w14:textId="77777777" w:rsidR="00000000" w:rsidRDefault="0066374B">
      <w:pPr>
        <w:widowControl w:val="0"/>
        <w:autoSpaceDE w:val="0"/>
        <w:autoSpaceDN w:val="0"/>
        <w:adjustRightInd w:val="0"/>
        <w:spacing w:after="0" w:line="240" w:lineRule="auto"/>
        <w:rPr>
          <w:rFonts w:ascii="Times New Roman" w:hAnsi="Times New Roman" w:cs="Times New Roman"/>
          <w:color w:val="000000"/>
          <w:sz w:val="24"/>
          <w:szCs w:val="24"/>
        </w:rPr>
      </w:pPr>
    </w:p>
    <w:p w14:paraId="107983A9" w14:textId="77777777" w:rsidR="00000000" w:rsidRDefault="0066374B">
      <w:pPr>
        <w:widowControl w:val="0"/>
        <w:autoSpaceDE w:val="0"/>
        <w:autoSpaceDN w:val="0"/>
        <w:adjustRightInd w:val="0"/>
        <w:spacing w:after="0" w:line="240" w:lineRule="auto"/>
        <w:rPr>
          <w:rFonts w:ascii="Arial" w:hAnsi="Arial" w:cs="Arial"/>
          <w:sz w:val="24"/>
          <w:szCs w:val="24"/>
        </w:rPr>
        <w:sectPr w:rsidR="00000000">
          <w:type w:val="continuous"/>
          <w:pgSz w:w="12240" w:h="15840"/>
          <w:pgMar w:top="1080" w:right="1080" w:bottom="1080" w:left="1080" w:header="720" w:footer="720" w:gutter="0"/>
          <w:cols w:space="720"/>
          <w:noEndnote/>
        </w:sectPr>
      </w:pPr>
    </w:p>
    <w:p w14:paraId="20BCA045" w14:textId="77777777" w:rsidR="00000000" w:rsidRDefault="0066374B">
      <w:pPr>
        <w:widowControl w:val="0"/>
        <w:autoSpaceDE w:val="0"/>
        <w:autoSpaceDN w:val="0"/>
        <w:adjustRightInd w:val="0"/>
        <w:spacing w:after="0" w:line="240" w:lineRule="auto"/>
        <w:rPr>
          <w:rFonts w:ascii="sans-serif" w:hAnsi="sans-serif" w:cs="sans-serif"/>
          <w:color w:val="000000"/>
          <w:sz w:val="24"/>
          <w:szCs w:val="24"/>
        </w:rPr>
      </w:pPr>
    </w:p>
    <w:p w14:paraId="7F5D418B" w14:textId="77777777" w:rsidR="00000000" w:rsidRDefault="0066374B">
      <w:pPr>
        <w:widowControl w:val="0"/>
        <w:autoSpaceDE w:val="0"/>
        <w:autoSpaceDN w:val="0"/>
        <w:adjustRightInd w:val="0"/>
        <w:spacing w:after="0" w:line="240" w:lineRule="auto"/>
        <w:rPr>
          <w:rFonts w:ascii="Arial" w:hAnsi="Arial" w:cs="Arial"/>
          <w:sz w:val="24"/>
          <w:szCs w:val="24"/>
        </w:rPr>
        <w:sectPr w:rsidR="00000000">
          <w:type w:val="continuous"/>
          <w:pgSz w:w="12240" w:h="15840"/>
          <w:pgMar w:top="1080" w:right="1080" w:bottom="1080" w:left="1080" w:header="720" w:footer="720" w:gutter="0"/>
          <w:cols w:num="2" w:space="720"/>
          <w:noEndnote/>
        </w:sectPr>
      </w:pPr>
    </w:p>
    <w:tbl>
      <w:tblPr>
        <w:tblW w:w="0" w:type="auto"/>
        <w:tblInd w:w="24" w:type="dxa"/>
        <w:tblLayout w:type="fixed"/>
        <w:tblCellMar>
          <w:left w:w="0" w:type="dxa"/>
          <w:right w:w="0" w:type="dxa"/>
        </w:tblCellMar>
        <w:tblLook w:val="0000" w:firstRow="0" w:lastRow="0" w:firstColumn="0" w:lastColumn="0" w:noHBand="0" w:noVBand="0"/>
      </w:tblPr>
      <w:tblGrid>
        <w:gridCol w:w="4320"/>
        <w:gridCol w:w="5760"/>
      </w:tblGrid>
      <w:tr w:rsidR="00000000" w14:paraId="3D42F82B" w14:textId="77777777">
        <w:tblPrEx>
          <w:tblCellMar>
            <w:top w:w="0" w:type="dxa"/>
            <w:left w:w="0" w:type="dxa"/>
            <w:bottom w:w="0" w:type="dxa"/>
            <w:right w:w="0" w:type="dxa"/>
          </w:tblCellMar>
        </w:tblPrEx>
        <w:tc>
          <w:tcPr>
            <w:tcW w:w="4320" w:type="dxa"/>
            <w:tcBorders>
              <w:top w:val="single" w:sz="4" w:space="0" w:color="777777"/>
              <w:left w:val="nil"/>
              <w:bottom w:val="nil"/>
              <w:right w:val="nil"/>
            </w:tcBorders>
            <w:tcMar>
              <w:top w:w="100" w:type="dxa"/>
              <w:left w:w="24" w:type="dxa"/>
              <w:right w:w="24" w:type="dxa"/>
            </w:tcMar>
          </w:tcPr>
          <w:p w14:paraId="37A86077" w14:textId="77777777" w:rsidR="00000000" w:rsidRDefault="0066374B">
            <w:pPr>
              <w:widowControl w:val="0"/>
              <w:autoSpaceDE w:val="0"/>
              <w:autoSpaceDN w:val="0"/>
              <w:adjustRightInd w:val="0"/>
              <w:spacing w:after="0" w:line="240" w:lineRule="auto"/>
              <w:ind w:left="24" w:right="24"/>
              <w:rPr>
                <w:rFonts w:ascii="sans-serif" w:hAnsi="sans-serif" w:cs="sans-serif"/>
                <w:b/>
                <w:bCs/>
                <w:color w:val="777777"/>
                <w:sz w:val="16"/>
                <w:szCs w:val="16"/>
              </w:rPr>
            </w:pPr>
            <w:r>
              <w:rPr>
                <w:rFonts w:ascii="sans-serif" w:hAnsi="sans-serif" w:cs="sans-serif"/>
                <w:b/>
                <w:bCs/>
                <w:color w:val="777777"/>
                <w:sz w:val="16"/>
                <w:szCs w:val="16"/>
              </w:rPr>
              <w:t>End of Document</w:t>
            </w:r>
          </w:p>
          <w:p w14:paraId="51898F85" w14:textId="77777777" w:rsidR="00000000" w:rsidRDefault="0066374B">
            <w:pPr>
              <w:widowControl w:val="0"/>
              <w:autoSpaceDE w:val="0"/>
              <w:autoSpaceDN w:val="0"/>
              <w:adjustRightInd w:val="0"/>
              <w:spacing w:after="0" w:line="240" w:lineRule="auto"/>
              <w:ind w:left="24" w:right="24"/>
              <w:rPr>
                <w:rFonts w:ascii="sans-serif" w:hAnsi="sans-serif" w:cs="sans-serif"/>
                <w:b/>
                <w:bCs/>
                <w:color w:val="777777"/>
                <w:sz w:val="16"/>
                <w:szCs w:val="16"/>
              </w:rPr>
            </w:pPr>
          </w:p>
        </w:tc>
        <w:tc>
          <w:tcPr>
            <w:tcW w:w="5760" w:type="dxa"/>
            <w:tcBorders>
              <w:top w:val="single" w:sz="4" w:space="0" w:color="777777"/>
              <w:left w:val="nil"/>
              <w:bottom w:val="nil"/>
              <w:right w:val="nil"/>
            </w:tcBorders>
            <w:tcMar>
              <w:top w:w="100" w:type="dxa"/>
              <w:left w:w="29" w:type="dxa"/>
              <w:right w:w="29" w:type="dxa"/>
            </w:tcMar>
          </w:tcPr>
          <w:p w14:paraId="2553B670" w14:textId="77777777" w:rsidR="00000000" w:rsidRDefault="0066374B">
            <w:pPr>
              <w:widowControl w:val="0"/>
              <w:autoSpaceDE w:val="0"/>
              <w:autoSpaceDN w:val="0"/>
              <w:adjustRightInd w:val="0"/>
              <w:spacing w:after="0" w:line="240" w:lineRule="auto"/>
              <w:ind w:left="29" w:right="29"/>
              <w:jc w:val="right"/>
              <w:rPr>
                <w:rFonts w:ascii="sans-serif" w:hAnsi="sans-serif" w:cs="sans-serif"/>
                <w:color w:val="777777"/>
                <w:sz w:val="19"/>
                <w:szCs w:val="19"/>
              </w:rPr>
            </w:pPr>
            <w:r>
              <w:rPr>
                <w:rFonts w:ascii="sans-serif" w:hAnsi="sans-serif" w:cs="sans-serif"/>
                <w:color w:val="777777"/>
                <w:sz w:val="19"/>
                <w:szCs w:val="19"/>
              </w:rPr>
              <w:t>©</w:t>
            </w:r>
            <w:r>
              <w:rPr>
                <w:rFonts w:ascii="sans-serif" w:hAnsi="sans-serif" w:cs="sans-serif"/>
                <w:color w:val="777777"/>
                <w:sz w:val="19"/>
                <w:szCs w:val="19"/>
              </w:rPr>
              <w:t xml:space="preserve"> 2021 Thomson Reuters. No claim to original U.S. Government Works.</w:t>
            </w:r>
          </w:p>
          <w:p w14:paraId="178AA75A" w14:textId="77777777" w:rsidR="00000000" w:rsidRDefault="0066374B">
            <w:pPr>
              <w:widowControl w:val="0"/>
              <w:autoSpaceDE w:val="0"/>
              <w:autoSpaceDN w:val="0"/>
              <w:adjustRightInd w:val="0"/>
              <w:spacing w:after="0" w:line="240" w:lineRule="auto"/>
              <w:ind w:left="29" w:right="29"/>
              <w:jc w:val="right"/>
              <w:rPr>
                <w:rFonts w:ascii="sans-serif" w:hAnsi="sans-serif" w:cs="sans-serif"/>
                <w:color w:val="777777"/>
                <w:sz w:val="19"/>
                <w:szCs w:val="19"/>
              </w:rPr>
            </w:pPr>
          </w:p>
        </w:tc>
      </w:tr>
    </w:tbl>
    <w:p w14:paraId="4D37669B" w14:textId="77777777" w:rsidR="00000000" w:rsidRDefault="0066374B">
      <w:pPr>
        <w:widowControl w:val="0"/>
        <w:autoSpaceDE w:val="0"/>
        <w:autoSpaceDN w:val="0"/>
        <w:adjustRightInd w:val="0"/>
        <w:spacing w:after="0" w:line="240" w:lineRule="auto"/>
        <w:rPr>
          <w:rFonts w:ascii="Arial" w:hAnsi="Arial" w:cs="Arial"/>
          <w:sz w:val="24"/>
          <w:szCs w:val="24"/>
        </w:rPr>
      </w:pPr>
    </w:p>
    <w:p w14:paraId="6168321B" w14:textId="77777777" w:rsidR="00000000" w:rsidRDefault="0066374B">
      <w:pPr>
        <w:widowControl w:val="0"/>
        <w:autoSpaceDE w:val="0"/>
        <w:autoSpaceDN w:val="0"/>
        <w:adjustRightInd w:val="0"/>
        <w:spacing w:after="0" w:line="240" w:lineRule="auto"/>
        <w:rPr>
          <w:rFonts w:ascii="Times New Roman" w:hAnsi="Times New Roman" w:cs="Times New Roman"/>
          <w:color w:val="000000"/>
          <w:sz w:val="24"/>
          <w:szCs w:val="24"/>
        </w:rPr>
      </w:pPr>
    </w:p>
    <w:p w14:paraId="755721ED" w14:textId="77777777" w:rsidR="00000000" w:rsidRDefault="0066374B">
      <w:pPr>
        <w:widowControl w:val="0"/>
        <w:autoSpaceDE w:val="0"/>
        <w:autoSpaceDN w:val="0"/>
        <w:adjustRightInd w:val="0"/>
        <w:spacing w:after="0" w:line="240" w:lineRule="auto"/>
        <w:rPr>
          <w:rFonts w:ascii="Arial" w:hAnsi="Arial" w:cs="Arial"/>
          <w:sz w:val="24"/>
          <w:szCs w:val="24"/>
        </w:rPr>
        <w:sectPr w:rsidR="00000000">
          <w:type w:val="continuous"/>
          <w:pgSz w:w="12240" w:h="15840"/>
          <w:pgMar w:top="1080" w:right="1080" w:bottom="1080" w:left="1080" w:header="720" w:footer="720" w:gutter="0"/>
          <w:cols w:space="720"/>
          <w:noEndnote/>
        </w:sectPr>
      </w:pPr>
    </w:p>
    <w:p w14:paraId="2ABD856C" w14:textId="77777777" w:rsidR="0066374B" w:rsidRDefault="0066374B">
      <w:pPr>
        <w:widowControl w:val="0"/>
        <w:autoSpaceDE w:val="0"/>
        <w:autoSpaceDN w:val="0"/>
        <w:adjustRightInd w:val="0"/>
        <w:spacing w:after="0" w:line="240" w:lineRule="auto"/>
        <w:rPr>
          <w:rFonts w:ascii="Arial" w:hAnsi="Arial" w:cs="Arial"/>
          <w:sz w:val="24"/>
          <w:szCs w:val="24"/>
        </w:rPr>
      </w:pPr>
    </w:p>
    <w:sectPr w:rsidR="0066374B">
      <w:type w:val="continuous"/>
      <w:pgSz w:w="12240" w:h="15840"/>
      <w:pgMar w:top="1080" w:right="1080" w:bottom="1080" w:left="108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BB9E" w14:textId="77777777" w:rsidR="0066374B" w:rsidRDefault="0066374B">
      <w:pPr>
        <w:spacing w:after="0" w:line="240" w:lineRule="auto"/>
      </w:pPr>
      <w:r>
        <w:separator/>
      </w:r>
    </w:p>
  </w:endnote>
  <w:endnote w:type="continuationSeparator" w:id="0">
    <w:p w14:paraId="26FB1944" w14:textId="77777777" w:rsidR="0066374B" w:rsidRDefault="006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ns-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00"/>
      <w:gridCol w:w="700"/>
    </w:tblGrid>
    <w:tr w:rsidR="00000000" w14:paraId="7963C6C3" w14:textId="77777777">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14:paraId="4A5513D5" w14:textId="7EA2B759" w:rsidR="00000000" w:rsidRDefault="002938ED">
          <w:pPr>
            <w:widowControl w:val="0"/>
            <w:autoSpaceDE w:val="0"/>
            <w:autoSpaceDN w:val="0"/>
            <w:adjustRightInd w:val="0"/>
            <w:spacing w:after="0" w:line="240" w:lineRule="auto"/>
            <w:rPr>
              <w:rFonts w:ascii="Arial" w:hAnsi="Arial" w:cs="Arial"/>
              <w:color w:val="AAAAAA"/>
              <w:sz w:val="20"/>
              <w:szCs w:val="20"/>
            </w:rPr>
          </w:pPr>
          <w:r>
            <w:rPr>
              <w:rFonts w:ascii="Arial" w:hAnsi="Arial" w:cs="Arial"/>
              <w:noProof/>
              <w:color w:val="AAAAAA"/>
              <w:sz w:val="20"/>
              <w:szCs w:val="20"/>
            </w:rPr>
            <w:drawing>
              <wp:inline distT="0" distB="0" distL="0" distR="0" wp14:anchorId="063341DD" wp14:editId="189A9DC1">
                <wp:extent cx="7429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5250"/>
                        </a:xfrm>
                        <a:prstGeom prst="rect">
                          <a:avLst/>
                        </a:prstGeom>
                        <a:noFill/>
                        <a:ln>
                          <a:noFill/>
                        </a:ln>
                      </pic:spPr>
                    </pic:pic>
                  </a:graphicData>
                </a:graphic>
              </wp:inline>
            </w:drawing>
          </w:r>
          <w:r w:rsidR="0066374B">
            <w:rPr>
              <w:rFonts w:ascii="Arial" w:hAnsi="Arial" w:cs="Arial"/>
              <w:color w:val="AAAAAA"/>
              <w:sz w:val="20"/>
              <w:szCs w:val="20"/>
            </w:rPr>
            <w:t xml:space="preserve"> </w:t>
          </w:r>
          <w:r w:rsidR="0066374B">
            <w:rPr>
              <w:rFonts w:ascii="Arial" w:hAnsi="Arial" w:cs="Arial"/>
              <w:color w:val="AAAAAA"/>
              <w:sz w:val="20"/>
              <w:szCs w:val="20"/>
            </w:rPr>
            <w:t>©</w:t>
          </w:r>
          <w:r w:rsidR="0066374B">
            <w:rPr>
              <w:rFonts w:ascii="Arial" w:hAnsi="Arial" w:cs="Arial"/>
              <w:color w:val="AAAAAA"/>
              <w:sz w:val="20"/>
              <w:szCs w:val="20"/>
            </w:rPr>
            <w:t xml:space="preserve"> 2021 Thomson Reuters. No claim to original U.S. Government Works.</w:t>
          </w:r>
        </w:p>
      </w:tc>
      <w:tc>
        <w:tcPr>
          <w:tcW w:w="700" w:type="dxa"/>
          <w:tcBorders>
            <w:top w:val="single" w:sz="8" w:space="0" w:color="AAAAAA"/>
            <w:left w:val="nil"/>
            <w:bottom w:val="nil"/>
            <w:right w:val="nil"/>
          </w:tcBorders>
          <w:tcMar>
            <w:top w:w="60" w:type="dxa"/>
          </w:tcMar>
        </w:tcPr>
        <w:p w14:paraId="3CE6B2BD" w14:textId="77777777" w:rsidR="00000000" w:rsidRDefault="0066374B">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03CD1956" w14:textId="77777777" w:rsidR="00000000" w:rsidRDefault="0066374B">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F9D8" w14:textId="77777777" w:rsidR="0066374B" w:rsidRDefault="0066374B">
      <w:pPr>
        <w:spacing w:after="0" w:line="240" w:lineRule="auto"/>
      </w:pPr>
      <w:r>
        <w:separator/>
      </w:r>
    </w:p>
  </w:footnote>
  <w:footnote w:type="continuationSeparator" w:id="0">
    <w:p w14:paraId="6102B22A" w14:textId="77777777" w:rsidR="0066374B" w:rsidRDefault="006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80"/>
      <w:gridCol w:w="700"/>
    </w:tblGrid>
    <w:tr w:rsidR="00000000" w14:paraId="0311C206" w14:textId="77777777">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14:paraId="7275034A" w14:textId="77777777" w:rsidR="00000000" w:rsidRDefault="0066374B">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Grahn v. Bank of New York Mellon Corporation as..., Not Reported in Pac....</w:t>
          </w:r>
        </w:p>
      </w:tc>
      <w:tc>
        <w:tcPr>
          <w:tcW w:w="700" w:type="dxa"/>
          <w:tcBorders>
            <w:top w:val="nil"/>
            <w:left w:val="nil"/>
            <w:bottom w:val="single" w:sz="8" w:space="0" w:color="AAAAAA"/>
            <w:right w:val="nil"/>
          </w:tcBorders>
          <w:tcMar>
            <w:top w:w="400" w:type="dxa"/>
            <w:bottom w:w="60" w:type="dxa"/>
          </w:tcMar>
        </w:tcPr>
        <w:p w14:paraId="0E0C25C5" w14:textId="77777777" w:rsidR="00000000" w:rsidRDefault="0066374B">
          <w:pPr>
            <w:widowControl w:val="0"/>
            <w:autoSpaceDE w:val="0"/>
            <w:autoSpaceDN w:val="0"/>
            <w:adjustRightInd w:val="0"/>
            <w:spacing w:after="0" w:line="240" w:lineRule="auto"/>
            <w:jc w:val="right"/>
            <w:rPr>
              <w:rFonts w:ascii="Arial" w:hAnsi="Arial" w:cs="Arial"/>
              <w:color w:val="000000"/>
              <w:sz w:val="18"/>
              <w:szCs w:val="18"/>
            </w:rPr>
          </w:pPr>
        </w:p>
      </w:tc>
    </w:tr>
    <w:tr w:rsidR="00000000" w14:paraId="36768B87" w14:textId="77777777">
      <w:tblPrEx>
        <w:tblCellMar>
          <w:top w:w="0" w:type="dxa"/>
          <w:left w:w="0" w:type="dxa"/>
          <w:bottom w:w="0" w:type="dxa"/>
          <w:right w:w="0" w:type="dxa"/>
        </w:tblCellMar>
      </w:tblPrEx>
      <w:tc>
        <w:tcPr>
          <w:tcW w:w="10080" w:type="dxa"/>
          <w:gridSpan w:val="2"/>
          <w:tcBorders>
            <w:top w:val="nil"/>
            <w:left w:val="nil"/>
            <w:bottom w:val="nil"/>
            <w:right w:val="nil"/>
          </w:tcBorders>
        </w:tcPr>
        <w:p w14:paraId="5B4D1048" w14:textId="77777777" w:rsidR="00000000" w:rsidRDefault="0066374B">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14 Wash.App.2d 1046</w:t>
          </w:r>
        </w:p>
      </w:tc>
    </w:tr>
  </w:tbl>
  <w:p w14:paraId="7CD37DB3" w14:textId="77777777" w:rsidR="00000000" w:rsidRDefault="0066374B">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ED"/>
    <w:rsid w:val="002938ED"/>
    <w:rsid w:val="0066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22E16"/>
  <w14:defaultImageDpi w14:val="0"/>
  <w15:docId w15:val="{910A5550-B060-40A0-B0FB-931FD327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Link/Document/FullText?findType=h&amp;pubNum=176284&amp;cite=0102816501&amp;originatingDoc=Id6bd0e7007a311eba034d891cc25f3cc&amp;refType=RQ&amp;originationContext=document&amp;vr=3.0&amp;rs=cblt1.0&amp;transitionType=DocumentItem&amp;contextData=(sc.Search)" TargetMode="External"/><Relationship Id="rId18" Type="http://schemas.openxmlformats.org/officeDocument/2006/relationships/hyperlink" Target="http://www.westlaw.com/Link/Document/FullText?findType=h&amp;pubNum=176284&amp;cite=0121092201&amp;originatingDoc=Id6bd0e7007a311eba034d891cc25f3cc&amp;refType=RQ&amp;originationContext=document&amp;vr=3.0&amp;rs=cblt1.0&amp;transitionType=DocumentItem&amp;contextData=(sc.Search)" TargetMode="External"/><Relationship Id="rId26" Type="http://schemas.openxmlformats.org/officeDocument/2006/relationships/hyperlink" Target="http://www.westlaw.com/Link/Document/FullText?findType=Y&amp;serNum=1998141225&amp;pubNum=0000804&amp;originatingDoc=Id6bd0e7007a311eba034d891cc25f3cc&amp;refType=RP&amp;fi=co_pp_sp_804_663&amp;originationContext=document&amp;vr=3.0&amp;rs=cblt1.0&amp;transitionType=DocumentItem&amp;contextData=(sc.Search)#co_pp_sp_804_663" TargetMode="External"/><Relationship Id="rId39" Type="http://schemas.openxmlformats.org/officeDocument/2006/relationships/hyperlink" Target="http://www.westlaw.com/Link/Document/FullText?findType=L&amp;pubNum=1003996&amp;cite=WARRAP10.3&amp;originatingDoc=Id6bd0e7007a311eba034d891cc25f3cc&amp;refType=LQ&amp;originationContext=document&amp;vr=3.0&amp;rs=cblt1.0&amp;transitionType=DocumentItem&amp;contextData=(sc.Search)" TargetMode="External"/><Relationship Id="rId21" Type="http://schemas.openxmlformats.org/officeDocument/2006/relationships/hyperlink" Target="http://www.westlaw.com/Link/Document/FullText?findType=Y&amp;serNum=2040398982&amp;pubNum=0000800&amp;originatingDoc=Id6bd0e7007a311eba034d891cc25f3cc&amp;refType=RP&amp;fi=co_pp_sp_800_824&amp;originationContext=document&amp;vr=3.0&amp;rs=cblt1.0&amp;transitionType=DocumentItem&amp;contextData=(sc.Search)#co_pp_sp_800_824" TargetMode="External"/><Relationship Id="rId34" Type="http://schemas.openxmlformats.org/officeDocument/2006/relationships/hyperlink" Target="http://www.westlaw.com/Link/Document/FullText?findType=Y&amp;serNum=2040398982&amp;pubNum=0000800&amp;originatingDoc=Id6bd0e7007a311eba034d891cc25f3cc&amp;refType=RP&amp;fi=co_pp_sp_800_824&amp;originationContext=document&amp;vr=3.0&amp;rs=cblt1.0&amp;transitionType=DocumentItem&amp;contextData=(sc.Search)#co_pp_sp_800_824" TargetMode="External"/><Relationship Id="rId42" Type="http://schemas.openxmlformats.org/officeDocument/2006/relationships/hyperlink" Target="http://www.westlaw.com/Link/Document/FullText?findType=Y&amp;serNum=2048837348&amp;pubNum=0000999&amp;originatingDoc=Id6bd0e7007a311eba034d891cc25f3cc&amp;refType=RP&amp;originationContext=document&amp;vr=3.0&amp;rs=cblt1.0&amp;transitionType=DocumentItem&amp;contextData=(sc.Search)" TargetMode="External"/><Relationship Id="rId47" Type="http://schemas.openxmlformats.org/officeDocument/2006/relationships/hyperlink" Target="http://www.westlaw.com/Link/Document/FullText?findType=Y&amp;serNum=2045264083&amp;pubNum=0008071&amp;originatingDoc=Id6bd0e7007a311eba034d891cc25f3cc&amp;refType=RP&amp;fi=co_pp_sp_8071_759&amp;originationContext=document&amp;vr=3.0&amp;rs=cblt1.0&amp;transitionType=DocumentItem&amp;contextData=(sc.Search)#co_pp_sp_8071_759" TargetMode="External"/><Relationship Id="rId50" Type="http://schemas.openxmlformats.org/officeDocument/2006/relationships/hyperlink" Target="http://www.westlaw.com/Link/Document/FullText?findType=Y&amp;serNum=2045264083&amp;pubNum=0008071&amp;originatingDoc=Id6bd0e7007a311eba034d891cc25f3cc&amp;refType=RP&amp;fi=co_pp_sp_8071_759&amp;originationContext=document&amp;vr=3.0&amp;rs=cblt1.0&amp;transitionType=DocumentItem&amp;contextData=(sc.Search)#co_pp_sp_8071_759" TargetMode="External"/><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westlaw.com/Link/Document/FullText?findType=h&amp;pubNum=176284&amp;cite=0156614101&amp;originatingDoc=Id6bd0e7007a311eba034d891cc25f3cc&amp;refType=RQ&amp;originationContext=document&amp;vr=3.0&amp;rs=cblt1.0&amp;transitionType=DocumentItem&amp;contextData=(sc.Search)" TargetMode="External"/><Relationship Id="rId17" Type="http://schemas.openxmlformats.org/officeDocument/2006/relationships/hyperlink" Target="http://www.westlaw.com/Link/Document/FullText?findType=L&amp;pubNum=1003982&amp;cite=WARSUPERCTCIVCR56&amp;originatingDoc=Id6bd0e7007a311eba034d891cc25f3cc&amp;refType=LQ&amp;originationContext=document&amp;vr=3.0&amp;rs=cblt1.0&amp;transitionType=DocumentItem&amp;contextData=(sc.Search)" TargetMode="External"/><Relationship Id="rId25" Type="http://schemas.openxmlformats.org/officeDocument/2006/relationships/hyperlink" Target="http://www.westlaw.com/Link/Document/FullText?findType=L&amp;pubNum=1003982&amp;cite=WARSUPERCTCIVCR56&amp;originatingDoc=Id6bd0e7007a311eba034d891cc25f3cc&amp;refType=LQ&amp;originationContext=document&amp;vr=3.0&amp;rs=cblt1.0&amp;transitionType=DocumentItem&amp;contextData=(sc.Search)" TargetMode="External"/><Relationship Id="rId33" Type="http://schemas.openxmlformats.org/officeDocument/2006/relationships/hyperlink" Target="http://www.westlaw.com/Link/Document/FullText?findType=L&amp;pubNum=1000259&amp;cite=WAST61.24.030&amp;originatingDoc=Id6bd0e7007a311eba034d891cc25f3cc&amp;refType=SP&amp;originationContext=document&amp;vr=3.0&amp;rs=cblt1.0&amp;transitionType=DocumentItem&amp;contextData=(sc.Search)#co_pp_d210000035160" TargetMode="External"/><Relationship Id="rId38" Type="http://schemas.openxmlformats.org/officeDocument/2006/relationships/hyperlink" Target="http://www.westlaw.com/Link/Document/FullText?findType=Y&amp;serNum=2047190466&amp;pubNum=0008071&amp;originatingDoc=Id6bd0e7007a311eba034d891cc25f3cc&amp;refType=RP&amp;fi=co_pp_sp_8071_926&amp;originationContext=document&amp;vr=3.0&amp;rs=cblt1.0&amp;transitionType=DocumentItem&amp;contextData=(sc.Search)#co_pp_sp_8071_926" TargetMode="External"/><Relationship Id="rId46" Type="http://schemas.openxmlformats.org/officeDocument/2006/relationships/hyperlink" Target="http://www.westlaw.com/Link/Document/FullText?findType=L&amp;pubNum=1000259&amp;cite=WAST4.16.040&amp;originatingDoc=Id6bd0e7007a311eba034d891cc25f3cc&amp;refType=SP&amp;originationContext=document&amp;vr=3.0&amp;rs=cblt1.0&amp;transitionType=DocumentItem&amp;contextData=(sc.Search)#co_pp_f1c50000821b0" TargetMode="External"/><Relationship Id="rId2" Type="http://schemas.openxmlformats.org/officeDocument/2006/relationships/settings" Target="settings.xml"/><Relationship Id="rId16" Type="http://schemas.openxmlformats.org/officeDocument/2006/relationships/hyperlink" Target="http://www.westlaw.com/Link/Document/FullText?findType=L&amp;pubNum=1003982&amp;cite=WARSUPERCTCIVCR56&amp;originatingDoc=Id6bd0e7007a311eba034d891cc25f3cc&amp;refType=LQ&amp;originationContext=document&amp;vr=3.0&amp;rs=cblt1.0&amp;transitionType=DocumentItem&amp;contextData=(sc.Search)" TargetMode="External"/><Relationship Id="rId20" Type="http://schemas.openxmlformats.org/officeDocument/2006/relationships/hyperlink" Target="http://www.westlaw.com/Link/Document/FullText?findType=Y&amp;serNum=2028602464&amp;pubNum=0000804&amp;originatingDoc=Id6bd0e7007a311eba034d891cc25f3cc&amp;refType=RP&amp;fi=co_pp_sp_804_271&amp;originationContext=document&amp;vr=3.0&amp;rs=cblt1.0&amp;transitionType=DocumentItem&amp;contextData=(sc.Search)#co_pp_sp_804_271" TargetMode="External"/><Relationship Id="rId29" Type="http://schemas.openxmlformats.org/officeDocument/2006/relationships/hyperlink" Target="http://www.westlaw.com/Link/Document/FullText?findType=Y&amp;serNum=2028417341&amp;pubNum=0000804&amp;originatingDoc=Id6bd0e7007a311eba034d891cc25f3cc&amp;refType=RP&amp;fi=co_pp_sp_804_88&amp;originationContext=document&amp;vr=3.0&amp;rs=cblt1.0&amp;transitionType=DocumentItem&amp;contextData=(sc.Search)#co_pp_sp_804_88" TargetMode="External"/><Relationship Id="rId41" Type="http://schemas.openxmlformats.org/officeDocument/2006/relationships/hyperlink" Target="http://www.westlaw.com/Link/Document/FullText?findType=Y&amp;serNum=2026084303&amp;pubNum=0000506&amp;originatingDoc=Id6bd0e7007a311eba034d891cc25f3cc&amp;refType=RP&amp;originationContext=document&amp;vr=3.0&amp;rs=cblt1.0&amp;transitionType=DocumentItem&amp;contextData=(sc.Search)" TargetMode="External"/><Relationship Id="rId54" Type="http://schemas.openxmlformats.org/officeDocument/2006/relationships/hyperlink" Target="http://www.westlaw.com/Link/Document/FullText?findType=Y&amp;serNum=2035177642&amp;pubNum=0000800&amp;originatingDoc=Id6bd0e7007a311eba034d891cc25f3cc&amp;refType=RP&amp;fi=co_pp_sp_800_281&amp;originationContext=document&amp;vr=3.0&amp;rs=cblt1.0&amp;transitionType=DocumentItem&amp;contextData=(sc.Search)#co_pp_sp_800_281"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westlaw.com/Link/Document/FullText?findType=h&amp;pubNum=176284&amp;cite=0333977801&amp;originatingDoc=Id6bd0e7007a311eba034d891cc25f3cc&amp;refType=RQ&amp;originationContext=document&amp;vr=3.0&amp;rs=cblt1.0&amp;transitionType=DocumentItem&amp;contextData=(sc.Search)" TargetMode="External"/><Relationship Id="rId24" Type="http://schemas.openxmlformats.org/officeDocument/2006/relationships/hyperlink" Target="http://www.westlaw.com/Link/Document/FullText?findType=Y&amp;serNum=2028602464&amp;pubNum=0000804&amp;originatingDoc=Id6bd0e7007a311eba034d891cc25f3cc&amp;refType=RP&amp;fi=co_pp_sp_804_271&amp;originationContext=document&amp;vr=3.0&amp;rs=cblt1.0&amp;transitionType=DocumentItem&amp;contextData=(sc.Search)#co_pp_sp_804_271" TargetMode="External"/><Relationship Id="rId32" Type="http://schemas.openxmlformats.org/officeDocument/2006/relationships/hyperlink" Target="http://www.westlaw.com/Link/Document/FullText?findType=Y&amp;serNum=2028417341&amp;pubNum=0000804&amp;originatingDoc=Id6bd0e7007a311eba034d891cc25f3cc&amp;refType=RP&amp;fi=co_pp_sp_804_104&amp;originationContext=document&amp;vr=3.0&amp;rs=cblt1.0&amp;transitionType=DocumentItem&amp;contextData=(sc.Search)#co_pp_sp_804_104" TargetMode="External"/><Relationship Id="rId37" Type="http://schemas.openxmlformats.org/officeDocument/2006/relationships/hyperlink" Target="http://www.westlaw.com/Link/Document/FullText?findType=Y&amp;serNum=2049950513&amp;pubNum=0008071&amp;originatingDoc=Id6bd0e7007a311eba034d891cc25f3cc&amp;refType=RP&amp;fi=co_pp_sp_8071_646&amp;originationContext=document&amp;vr=3.0&amp;rs=cblt1.0&amp;transitionType=DocumentItem&amp;contextData=(sc.Search)#co_pp_sp_8071_646" TargetMode="External"/><Relationship Id="rId40" Type="http://schemas.openxmlformats.org/officeDocument/2006/relationships/hyperlink" Target="http://www.westlaw.com/Link/Document/FullText?findType=Y&amp;serNum=2028417341&amp;pubNum=0004645&amp;originatingDoc=Id6bd0e7007a311eba034d891cc25f3cc&amp;refType=RP&amp;originationContext=document&amp;vr=3.0&amp;rs=cblt1.0&amp;transitionType=DocumentItem&amp;contextData=(sc.Search)" TargetMode="External"/><Relationship Id="rId45" Type="http://schemas.openxmlformats.org/officeDocument/2006/relationships/hyperlink" Target="http://www.westlaw.com/Link/Document/FullText?findType=Y&amp;serNum=2039165171&amp;pubNum=0000999&amp;originatingDoc=Id6bd0e7007a311eba034d891cc25f3cc&amp;refType=RP&amp;originationContext=document&amp;vr=3.0&amp;rs=cblt1.0&amp;transitionType=DocumentItem&amp;contextData=(sc.Search)" TargetMode="External"/><Relationship Id="rId53" Type="http://schemas.openxmlformats.org/officeDocument/2006/relationships/hyperlink" Target="http://www.westlaw.com/Link/Document/FullText?findType=Y&amp;serNum=2034344583&amp;pubNum=0000804&amp;originatingDoc=Id6bd0e7007a311eba034d891cc25f3cc&amp;refType=RP&amp;fi=co_pp_sp_804_427&amp;originationContext=document&amp;vr=3.0&amp;rs=cblt1.0&amp;transitionType=DocumentItem&amp;contextData=(sc.Search)#co_pp_sp_804_427" TargetMode="External"/><Relationship Id="rId5" Type="http://schemas.openxmlformats.org/officeDocument/2006/relationships/endnotes" Target="endnotes.xml"/><Relationship Id="rId15" Type="http://schemas.openxmlformats.org/officeDocument/2006/relationships/hyperlink" Target="http://www.westlaw.com/Link/Document/FullText?findType=L&amp;pubNum=1003982&amp;cite=WARSUPERCTCIVCR56&amp;originatingDoc=Id6bd0e7007a311eba034d891cc25f3cc&amp;refType=LQ&amp;originationContext=document&amp;vr=3.0&amp;rs=cblt1.0&amp;transitionType=DocumentItem&amp;contextData=(sc.Search)" TargetMode="External"/><Relationship Id="rId23" Type="http://schemas.openxmlformats.org/officeDocument/2006/relationships/hyperlink" Target="http://www.westlaw.com/Link/Document/FullText?findType=L&amp;pubNum=1003982&amp;cite=WARSUPERCTCIVCR56&amp;originatingDoc=Id6bd0e7007a311eba034d891cc25f3cc&amp;refType=LQ&amp;originationContext=document&amp;vr=3.0&amp;rs=cblt1.0&amp;transitionType=DocumentItem&amp;contextData=(sc.Search)" TargetMode="External"/><Relationship Id="rId28" Type="http://schemas.openxmlformats.org/officeDocument/2006/relationships/hyperlink" Target="http://www.westlaw.com/Link/Document/FullText?findType=Y&amp;serNum=2037432942&amp;pubNum=0000804&amp;originatingDoc=Id6bd0e7007a311eba034d891cc25f3cc&amp;refType=RP&amp;fi=co_pp_sp_804_524&amp;originationContext=document&amp;vr=3.0&amp;rs=cblt1.0&amp;transitionType=DocumentItem&amp;contextData=(sc.Search)#co_pp_sp_804_524" TargetMode="External"/><Relationship Id="rId36" Type="http://schemas.openxmlformats.org/officeDocument/2006/relationships/hyperlink" Target="http://www.westlaw.com/Link/Document/FullText?findType=L&amp;pubNum=1003982&amp;cite=WARSUPERCTCIVCR56&amp;originatingDoc=Id6bd0e7007a311eba034d891cc25f3cc&amp;refType=LQ&amp;originationContext=document&amp;vr=3.0&amp;rs=cblt1.0&amp;transitionType=DocumentItem&amp;contextData=(sc.Search)" TargetMode="External"/><Relationship Id="rId49" Type="http://schemas.openxmlformats.org/officeDocument/2006/relationships/hyperlink" Target="http://www.westlaw.com/Link/Document/FullText?findType=Y&amp;serNum=2034344583&amp;pubNum=0000804&amp;originatingDoc=Id6bd0e7007a311eba034d891cc25f3cc&amp;refType=RP&amp;fi=co_pp_sp_804_427&amp;originationContext=document&amp;vr=3.0&amp;rs=cblt1.0&amp;transitionType=DocumentItem&amp;contextData=(sc.Search)#co_pp_sp_804_427" TargetMode="External"/><Relationship Id="rId10" Type="http://schemas.openxmlformats.org/officeDocument/2006/relationships/hyperlink" Target="http://www.westlaw.com/Link/Document/FullText?findType=h&amp;pubNum=176284&amp;cite=0498215899&amp;originatingDoc=Id6bd0e7007a311eba034d891cc25f3cc&amp;refType=RQ&amp;originationContext=document&amp;vr=3.0&amp;rs=cblt1.0&amp;transitionType=DocumentItem&amp;contextData=(sc.Search)" TargetMode="External"/><Relationship Id="rId19" Type="http://schemas.openxmlformats.org/officeDocument/2006/relationships/hyperlink" Target="http://www.westlaw.com/Link/Document/FullText?findType=h&amp;pubNum=176284&amp;cite=0175807001&amp;originatingDoc=Id6bd0e7007a311eba034d891cc25f3cc&amp;refType=RQ&amp;originationContext=document&amp;vr=3.0&amp;rs=cblt1.0&amp;transitionType=DocumentItem&amp;contextData=(sc.Search)" TargetMode="External"/><Relationship Id="rId31" Type="http://schemas.openxmlformats.org/officeDocument/2006/relationships/hyperlink" Target="http://www.westlaw.com/Link/Document/FullText?findType=L&amp;pubNum=1000259&amp;cite=WAST62A.3-205&amp;originatingDoc=Id6bd0e7007a311eba034d891cc25f3cc&amp;refType=SP&amp;originationContext=document&amp;vr=3.0&amp;rs=cblt1.0&amp;transitionType=DocumentItem&amp;contextData=(sc.Search)#co_pp_a83b000018c76" TargetMode="External"/><Relationship Id="rId44" Type="http://schemas.openxmlformats.org/officeDocument/2006/relationships/hyperlink" Target="http://www.westlaw.com/Link/Document/FullText?findType=Y&amp;serNum=2026084303&amp;pubNum=0000506&amp;originatingDoc=Id6bd0e7007a311eba034d891cc25f3cc&amp;refType=RP&amp;fi=co_pp_sp_506_1044&amp;originationContext=document&amp;vr=3.0&amp;rs=cblt1.0&amp;transitionType=DocumentItem&amp;contextData=(sc.Search)#co_pp_sp_506_1044" TargetMode="External"/><Relationship Id="rId52" Type="http://schemas.openxmlformats.org/officeDocument/2006/relationships/hyperlink" Target="http://www.westlaw.com/Link/Document/FullText?findType=L&amp;pubNum=1003996&amp;cite=WARRAP2.5&amp;originatingDoc=Id6bd0e7007a311eba034d891cc25f3cc&amp;refType=LQ&amp;originationContext=document&amp;vr=3.0&amp;rs=cblt1.0&amp;transitionType=DocumentItem&amp;contextData=(sc.Search)" TargetMode="External"/><Relationship Id="rId4" Type="http://schemas.openxmlformats.org/officeDocument/2006/relationships/footnotes" Target="footnotes.xml"/><Relationship Id="rId9" Type="http://schemas.openxmlformats.org/officeDocument/2006/relationships/hyperlink" Target="http://www.westlaw.com/Link/Document/FullText?findType=h&amp;pubNum=176284&amp;cite=0457687301&amp;originatingDoc=Id6bd0e7007a311eba034d891cc25f3cc&amp;refType=RQ&amp;originationContext=document&amp;vr=3.0&amp;rs=cblt1.0&amp;transitionType=DocumentItem&amp;contextData=(sc.Search)" TargetMode="External"/><Relationship Id="rId14" Type="http://schemas.openxmlformats.org/officeDocument/2006/relationships/hyperlink" Target="http://www.westlaw.com/Link/Document/FullText?findType=L&amp;pubNum=1003982&amp;cite=WARSUPERCTCIVCR56&amp;originatingDoc=Id6bd0e7007a311eba034d891cc25f3cc&amp;refType=LQ&amp;originationContext=document&amp;vr=3.0&amp;rs=cblt1.0&amp;transitionType=DocumentItem&amp;contextData=(sc.Search)" TargetMode="External"/><Relationship Id="rId22" Type="http://schemas.openxmlformats.org/officeDocument/2006/relationships/hyperlink" Target="http://www.westlaw.com/Link/Document/FullText?findType=Y&amp;serNum=2034344589&amp;pubNum=0000804&amp;originatingDoc=Id6bd0e7007a311eba034d891cc25f3cc&amp;refType=RP&amp;fi=co_pp_sp_804_444&amp;originationContext=document&amp;vr=3.0&amp;rs=cblt1.0&amp;transitionType=DocumentItem&amp;contextData=(sc.Search)#co_pp_sp_804_444" TargetMode="External"/><Relationship Id="rId27" Type="http://schemas.openxmlformats.org/officeDocument/2006/relationships/hyperlink" Target="http://www.westlaw.com/Link/Document/FullText?findType=L&amp;pubNum=1000259&amp;cite=WAST62A.3-301&amp;originatingDoc=Id6bd0e7007a311eba034d891cc25f3cc&amp;refType=LQ&amp;originationContext=document&amp;vr=3.0&amp;rs=cblt1.0&amp;transitionType=DocumentItem&amp;contextData=(sc.Search)" TargetMode="External"/><Relationship Id="rId30" Type="http://schemas.openxmlformats.org/officeDocument/2006/relationships/hyperlink" Target="http://www.westlaw.com/Link/Document/FullText?findType=L&amp;pubNum=1000259&amp;cite=WAST62A.1-201&amp;originatingDoc=Id6bd0e7007a311eba034d891cc25f3cc&amp;refType=SP&amp;originationContext=document&amp;vr=3.0&amp;rs=cblt1.0&amp;transitionType=DocumentItem&amp;contextData=(sc.Search)#co_pp_6a5d0000d9a25" TargetMode="External"/><Relationship Id="rId35" Type="http://schemas.openxmlformats.org/officeDocument/2006/relationships/hyperlink" Target="http://www.westlaw.com/Link/Document/FullText?findType=L&amp;pubNum=1000259&amp;cite=WAST61.24.030&amp;originatingDoc=Id6bd0e7007a311eba034d891cc25f3cc&amp;refType=SP&amp;originationContext=document&amp;vr=3.0&amp;rs=cblt1.0&amp;transitionType=DocumentItem&amp;contextData=(sc.Search)#co_pp_d210000035160" TargetMode="External"/><Relationship Id="rId43" Type="http://schemas.openxmlformats.org/officeDocument/2006/relationships/hyperlink" Target="http://www.westlaw.com/Link/Document/FullText?findType=Y&amp;serNum=2030222138&amp;pubNum=0000999&amp;originatingDoc=Id6bd0e7007a311eba034d891cc25f3cc&amp;refType=RP&amp;originationContext=document&amp;vr=3.0&amp;rs=cblt1.0&amp;transitionType=DocumentItem&amp;contextData=(sc.Search)" TargetMode="External"/><Relationship Id="rId48" Type="http://schemas.openxmlformats.org/officeDocument/2006/relationships/hyperlink" Target="http://www.westlaw.com/Link/Document/FullText?findType=Y&amp;serNum=2039383791&amp;pubNum=0000800&amp;originatingDoc=Id6bd0e7007a311eba034d891cc25f3cc&amp;refType=RP&amp;fi=co_pp_sp_800_930&amp;originationContext=document&amp;vr=3.0&amp;rs=cblt1.0&amp;transitionType=DocumentItem&amp;contextData=(sc.Search)#co_pp_sp_800_930" TargetMode="External"/><Relationship Id="rId56" Type="http://schemas.openxmlformats.org/officeDocument/2006/relationships/theme" Target="theme/theme1.xml"/><Relationship Id="rId8" Type="http://schemas.openxmlformats.org/officeDocument/2006/relationships/hyperlink" Target="http://www.westlaw.com/Link/Document/FullText?findType=h&amp;pubNum=176284&amp;cite=0370570099&amp;originatingDoc=Id6bd0e7007a311eba034d891cc25f3cc&amp;refType=RQ&amp;originationContext=document&amp;vr=3.0&amp;rs=cblt1.0&amp;transitionType=DocumentItem&amp;contextData=(sc.Search)" TargetMode="External"/><Relationship Id="rId51" Type="http://schemas.openxmlformats.org/officeDocument/2006/relationships/hyperlink" Target="http://www.westlaw.com/Link/Document/FullText?findType=Y&amp;serNum=2042359874&amp;pubNum=0000800&amp;originatingDoc=Id6bd0e7007a311eba034d891cc25f3cc&amp;refType=RP&amp;fi=co_pp_sp_800_183&amp;originationContext=document&amp;vr=3.0&amp;rs=cblt1.0&amp;transitionType=DocumentItem&amp;contextData=(sc.Search)#co_pp_sp_800_183"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5839</Words>
  <Characters>33284</Characters>
  <Application>Microsoft Office Word</Application>
  <DocSecurity>0</DocSecurity>
  <Lines>277</Lines>
  <Paragraphs>78</Paragraphs>
  <ScaleCrop>false</ScaleCrop>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dcterms:created xsi:type="dcterms:W3CDTF">2021-04-16T22:48:00Z</dcterms:created>
  <dcterms:modified xsi:type="dcterms:W3CDTF">2021-04-16T22:48:00Z</dcterms:modified>
</cp:coreProperties>
</file>