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2D" w:rsidRDefault="00B6112D">
      <w:pPr>
        <w:spacing w:line="480" w:lineRule="exact"/>
        <w:rPr>
          <w:sz w:val="28"/>
        </w:rPr>
      </w:pPr>
    </w:p>
    <w:p w:rsidR="00B6112D" w:rsidRDefault="00B6112D">
      <w:pPr>
        <w:spacing w:line="480" w:lineRule="exact"/>
        <w:rPr>
          <w:sz w:val="28"/>
        </w:rPr>
      </w:pPr>
    </w:p>
    <w:p w:rsidR="00B6112D" w:rsidRDefault="00B6112D">
      <w:pPr>
        <w:spacing w:line="480" w:lineRule="exact"/>
        <w:rPr>
          <w:sz w:val="28"/>
        </w:rPr>
      </w:pPr>
    </w:p>
    <w:p w:rsidR="00B6112D" w:rsidRDefault="00B6112D">
      <w:pPr>
        <w:spacing w:line="480" w:lineRule="exact"/>
        <w:rPr>
          <w:sz w:val="28"/>
        </w:rPr>
      </w:pPr>
    </w:p>
    <w:p w:rsidR="00B6112D" w:rsidRDefault="00B6112D">
      <w:pPr>
        <w:spacing w:line="480" w:lineRule="exact"/>
        <w:rPr>
          <w:sz w:val="28"/>
        </w:rPr>
      </w:pPr>
    </w:p>
    <w:p w:rsidR="00B6112D" w:rsidRDefault="00B6112D">
      <w:pPr>
        <w:spacing w:line="480" w:lineRule="exact"/>
        <w:rPr>
          <w:sz w:val="28"/>
        </w:rPr>
      </w:pPr>
    </w:p>
    <w:p w:rsidR="00B6112D" w:rsidRDefault="00B6112D">
      <w:pPr>
        <w:pStyle w:val="Heading8"/>
        <w:spacing w:line="240" w:lineRule="auto"/>
        <w:ind w:right="58"/>
        <w:rPr>
          <w:sz w:val="28"/>
        </w:rPr>
      </w:pPr>
      <w:r>
        <w:rPr>
          <w:sz w:val="28"/>
        </w:rPr>
        <w:t xml:space="preserve">IN THE SUPERIOR COURT OF WASHINGTON </w:t>
      </w:r>
    </w:p>
    <w:p w:rsidR="00B6112D" w:rsidRDefault="00B6112D">
      <w:pPr>
        <w:pStyle w:val="Heading8"/>
        <w:spacing w:after="240" w:line="240" w:lineRule="auto"/>
        <w:ind w:right="58"/>
        <w:rPr>
          <w:sz w:val="28"/>
        </w:rPr>
      </w:pPr>
      <w:r>
        <w:rPr>
          <w:sz w:val="28"/>
        </w:rPr>
        <w:t>FOR MASON COUNTY</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72" w:type="dxa"/>
          <w:right w:w="115" w:type="dxa"/>
        </w:tblCellMar>
        <w:tblLook w:val="0000"/>
      </w:tblPr>
      <w:tblGrid>
        <w:gridCol w:w="4867"/>
        <w:gridCol w:w="4240"/>
      </w:tblGrid>
      <w:tr w:rsidR="00B6112D" w:rsidTr="00D33647">
        <w:trPr>
          <w:trHeight w:val="531"/>
        </w:trPr>
        <w:tc>
          <w:tcPr>
            <w:tcW w:w="4867" w:type="dxa"/>
          </w:tcPr>
          <w:p w:rsidR="00F62393" w:rsidRDefault="00F62393" w:rsidP="00F62393">
            <w:pPr>
              <w:spacing w:line="240" w:lineRule="auto"/>
              <w:rPr>
                <w:sz w:val="28"/>
              </w:rPr>
            </w:pPr>
            <w:r>
              <w:rPr>
                <w:sz w:val="28"/>
              </w:rPr>
              <w:t>LAKE LIMERICK COUNTRY CLUB, a Washington not-for-profit corporation,</w:t>
            </w:r>
          </w:p>
          <w:p w:rsidR="00F62393" w:rsidRPr="002538A8" w:rsidRDefault="00F62393" w:rsidP="00F62393">
            <w:pPr>
              <w:spacing w:line="240" w:lineRule="auto"/>
            </w:pPr>
          </w:p>
          <w:p w:rsidR="00F62393" w:rsidRDefault="00F62393" w:rsidP="00F62393">
            <w:pPr>
              <w:spacing w:line="240" w:lineRule="auto"/>
              <w:rPr>
                <w:sz w:val="28"/>
              </w:rPr>
            </w:pPr>
            <w:r>
              <w:rPr>
                <w:sz w:val="28"/>
              </w:rPr>
              <w:tab/>
            </w:r>
            <w:r>
              <w:rPr>
                <w:sz w:val="28"/>
              </w:rPr>
              <w:tab/>
            </w:r>
            <w:r>
              <w:rPr>
                <w:sz w:val="28"/>
              </w:rPr>
              <w:tab/>
            </w:r>
            <w:r>
              <w:rPr>
                <w:sz w:val="28"/>
              </w:rPr>
              <w:tab/>
              <w:t>Plaintiff,</w:t>
            </w:r>
          </w:p>
          <w:p w:rsidR="00F62393" w:rsidRPr="002538A8" w:rsidRDefault="00F62393" w:rsidP="00F62393">
            <w:pPr>
              <w:spacing w:line="240" w:lineRule="auto"/>
            </w:pPr>
          </w:p>
          <w:p w:rsidR="00F62393" w:rsidRDefault="00F62393" w:rsidP="00F62393">
            <w:pPr>
              <w:pStyle w:val="BodyText2"/>
              <w:tabs>
                <w:tab w:val="left" w:pos="692"/>
              </w:tabs>
              <w:spacing w:line="240" w:lineRule="auto"/>
              <w:rPr>
                <w:sz w:val="28"/>
              </w:rPr>
            </w:pPr>
            <w:r>
              <w:rPr>
                <w:sz w:val="28"/>
              </w:rPr>
              <w:tab/>
              <w:t>v.</w:t>
            </w:r>
          </w:p>
          <w:p w:rsidR="00F62393" w:rsidRDefault="00F62393" w:rsidP="00F62393">
            <w:pPr>
              <w:pStyle w:val="BodyText2"/>
              <w:tabs>
                <w:tab w:val="left" w:pos="692"/>
              </w:tabs>
              <w:spacing w:line="240" w:lineRule="auto"/>
              <w:rPr>
                <w:sz w:val="28"/>
              </w:rPr>
            </w:pPr>
          </w:p>
          <w:p w:rsidR="00D33647" w:rsidRDefault="00D33647" w:rsidP="00D33647">
            <w:pPr>
              <w:pStyle w:val="BodyText2"/>
              <w:spacing w:line="240" w:lineRule="auto"/>
              <w:rPr>
                <w:sz w:val="28"/>
                <w:szCs w:val="28"/>
              </w:rPr>
            </w:pPr>
            <w:r w:rsidRPr="00803CF8">
              <w:rPr>
                <w:sz w:val="28"/>
                <w:szCs w:val="28"/>
              </w:rPr>
              <w:t>THE UNKNOWN HEIRS OF ROSEMARY M. WILSON; KENNETH WILSON and JANE DOE WILSON, as a marital community, and as to KENNETH WILSON, individually and as heir of ROSEMARY M. WILSON;</w:t>
            </w:r>
            <w:r>
              <w:rPr>
                <w:sz w:val="28"/>
                <w:szCs w:val="28"/>
              </w:rPr>
              <w:t xml:space="preserve"> WORLD ALLIANCE FINANCIAL CORP., a New York corporation; </w:t>
            </w:r>
            <w:r w:rsidRPr="00803CF8">
              <w:rPr>
                <w:bCs/>
                <w:sz w:val="28"/>
                <w:szCs w:val="28"/>
              </w:rPr>
              <w:t>LIBERTY TITLE COMPANY, now LIBERTY TITLE AND ESCROW COMPANY, a Washington State corporation</w:t>
            </w:r>
            <w:r w:rsidRPr="00803CF8">
              <w:rPr>
                <w:b/>
                <w:bCs/>
                <w:sz w:val="28"/>
                <w:szCs w:val="28"/>
              </w:rPr>
              <w:t>;</w:t>
            </w:r>
            <w:r>
              <w:rPr>
                <w:b/>
                <w:bCs/>
                <w:sz w:val="28"/>
                <w:szCs w:val="28"/>
              </w:rPr>
              <w:t xml:space="preserve"> </w:t>
            </w:r>
            <w:r>
              <w:rPr>
                <w:sz w:val="28"/>
                <w:szCs w:val="28"/>
              </w:rPr>
              <w:t xml:space="preserve">REVERSE MORTGAGE SOLUTIONS, INC., a Texas corporation; WORLD ALLIANCE FINANCIAL CORP., f/k/a VERTICAL LEND INC., a New York corporation;  MORTGAGE ELECTRONIC REGISTRATION SYSTEMS, INC, a Delaware corporation, as nominee for </w:t>
            </w:r>
            <w:r>
              <w:rPr>
                <w:sz w:val="28"/>
                <w:szCs w:val="28"/>
              </w:rPr>
              <w:lastRenderedPageBreak/>
              <w:t xml:space="preserve">BANK OF AMERICA, N.A.; BANK OF AMERICA, N.A. a National Association; </w:t>
            </w:r>
            <w:r w:rsidRPr="00803CF8">
              <w:rPr>
                <w:sz w:val="28"/>
                <w:szCs w:val="28"/>
              </w:rPr>
              <w:t xml:space="preserve"> </w:t>
            </w:r>
            <w:r w:rsidRPr="00803CF8">
              <w:rPr>
                <w:bCs/>
                <w:sz w:val="28"/>
                <w:szCs w:val="28"/>
              </w:rPr>
              <w:t>U.S.</w:t>
            </w:r>
            <w:r w:rsidRPr="00803CF8">
              <w:rPr>
                <w:b/>
                <w:bCs/>
                <w:sz w:val="28"/>
                <w:szCs w:val="28"/>
              </w:rPr>
              <w:t xml:space="preserve"> </w:t>
            </w:r>
            <w:r w:rsidRPr="00803CF8">
              <w:rPr>
                <w:bCs/>
                <w:sz w:val="28"/>
                <w:szCs w:val="28"/>
              </w:rPr>
              <w:t xml:space="preserve">DEPARTMENT OF HOUSING AND URBAN DEVELOPMENT, a governmental agency; </w:t>
            </w:r>
            <w:r w:rsidRPr="00803CF8">
              <w:rPr>
                <w:sz w:val="28"/>
                <w:szCs w:val="28"/>
              </w:rPr>
              <w:t>ALL UNKNOWN OCCUPANTS OF THE SUBJECT PREMISES;  and ALL OTHER PERSONS OR PARTIES UNKNOWN CLAIMING ANY RIGHT, TITLE, ESTATE, LIEN, OR INTEREST IN THE REAL ESTATE DESCRIBED IN THE COMPLAINT HEREIN;</w:t>
            </w:r>
          </w:p>
          <w:p w:rsidR="00D33647" w:rsidRDefault="00D33647" w:rsidP="00D33647">
            <w:pPr>
              <w:spacing w:line="240" w:lineRule="auto"/>
              <w:rPr>
                <w:sz w:val="28"/>
                <w:szCs w:val="28"/>
              </w:rPr>
            </w:pPr>
          </w:p>
          <w:p w:rsidR="00B6112D" w:rsidRDefault="00D33647" w:rsidP="00D33647">
            <w:pPr>
              <w:spacing w:line="240" w:lineRule="auto"/>
              <w:rPr>
                <w:sz w:val="28"/>
              </w:rPr>
            </w:pPr>
            <w:r>
              <w:rPr>
                <w:sz w:val="28"/>
                <w:szCs w:val="28"/>
              </w:rPr>
              <w:tab/>
            </w:r>
            <w:r>
              <w:rPr>
                <w:sz w:val="28"/>
                <w:szCs w:val="28"/>
              </w:rPr>
              <w:tab/>
            </w:r>
            <w:r>
              <w:rPr>
                <w:sz w:val="28"/>
                <w:szCs w:val="28"/>
              </w:rPr>
              <w:tab/>
            </w:r>
            <w:r>
              <w:rPr>
                <w:sz w:val="28"/>
                <w:szCs w:val="28"/>
              </w:rPr>
              <w:tab/>
              <w:t>Defendants</w:t>
            </w:r>
          </w:p>
        </w:tc>
        <w:tc>
          <w:tcPr>
            <w:tcW w:w="4240" w:type="dxa"/>
          </w:tcPr>
          <w:p w:rsidR="00B6112D" w:rsidRDefault="00B6112D">
            <w:pPr>
              <w:spacing w:line="240" w:lineRule="auto"/>
              <w:rPr>
                <w:sz w:val="28"/>
              </w:rPr>
            </w:pPr>
            <w:r>
              <w:rPr>
                <w:sz w:val="28"/>
              </w:rPr>
              <w:lastRenderedPageBreak/>
              <w:t xml:space="preserve">NO. </w:t>
            </w:r>
          </w:p>
          <w:p w:rsidR="00B6112D" w:rsidRDefault="00B6112D">
            <w:pPr>
              <w:spacing w:line="240" w:lineRule="auto"/>
              <w:rPr>
                <w:sz w:val="28"/>
              </w:rPr>
            </w:pPr>
          </w:p>
          <w:p w:rsidR="00B6112D" w:rsidRDefault="00B6112D">
            <w:pPr>
              <w:spacing w:line="240" w:lineRule="auto"/>
              <w:rPr>
                <w:sz w:val="28"/>
              </w:rPr>
            </w:pPr>
          </w:p>
          <w:p w:rsidR="00134041" w:rsidRDefault="004D0029">
            <w:pPr>
              <w:spacing w:line="240" w:lineRule="auto"/>
              <w:rPr>
                <w:sz w:val="28"/>
              </w:rPr>
            </w:pPr>
            <w:r>
              <w:rPr>
                <w:sz w:val="28"/>
              </w:rPr>
              <w:t xml:space="preserve">MOTION </w:t>
            </w:r>
            <w:r w:rsidR="00134041">
              <w:rPr>
                <w:sz w:val="28"/>
              </w:rPr>
              <w:t xml:space="preserve">AND </w:t>
            </w:r>
          </w:p>
          <w:p w:rsidR="00134041" w:rsidRDefault="00134041">
            <w:pPr>
              <w:spacing w:line="240" w:lineRule="auto"/>
              <w:rPr>
                <w:sz w:val="28"/>
              </w:rPr>
            </w:pPr>
            <w:r>
              <w:rPr>
                <w:sz w:val="28"/>
              </w:rPr>
              <w:t xml:space="preserve">MEMORANDUM </w:t>
            </w:r>
          </w:p>
          <w:p w:rsidR="00B6112D" w:rsidRDefault="004D0029">
            <w:pPr>
              <w:spacing w:line="240" w:lineRule="auto"/>
              <w:rPr>
                <w:sz w:val="28"/>
              </w:rPr>
            </w:pPr>
            <w:r>
              <w:rPr>
                <w:sz w:val="28"/>
              </w:rPr>
              <w:t>FOR SERVICE BY PUBLICATION</w:t>
            </w:r>
          </w:p>
        </w:tc>
      </w:tr>
    </w:tbl>
    <w:p w:rsidR="00B6112D" w:rsidRDefault="00B6112D">
      <w:pPr>
        <w:spacing w:line="480" w:lineRule="exact"/>
        <w:ind w:right="144"/>
        <w:jc w:val="both"/>
        <w:rPr>
          <w:sz w:val="28"/>
        </w:rPr>
      </w:pPr>
    </w:p>
    <w:p w:rsidR="00B6112D" w:rsidRDefault="004D0029" w:rsidP="004D0029">
      <w:pPr>
        <w:tabs>
          <w:tab w:val="left" w:pos="1100"/>
        </w:tabs>
        <w:spacing w:line="480" w:lineRule="exact"/>
        <w:ind w:right="144"/>
        <w:jc w:val="center"/>
        <w:rPr>
          <w:b/>
          <w:sz w:val="28"/>
        </w:rPr>
      </w:pPr>
      <w:r w:rsidRPr="004D0029">
        <w:rPr>
          <w:b/>
          <w:sz w:val="28"/>
        </w:rPr>
        <w:t>I.</w:t>
      </w:r>
      <w:r w:rsidRPr="004D0029">
        <w:rPr>
          <w:b/>
          <w:sz w:val="28"/>
        </w:rPr>
        <w:tab/>
        <w:t>MOTION</w:t>
      </w:r>
    </w:p>
    <w:p w:rsidR="004D0029" w:rsidRDefault="004D0029" w:rsidP="004D0029">
      <w:pPr>
        <w:tabs>
          <w:tab w:val="left" w:pos="1100"/>
        </w:tabs>
        <w:spacing w:line="480" w:lineRule="exact"/>
        <w:ind w:right="144"/>
        <w:rPr>
          <w:sz w:val="28"/>
        </w:rPr>
      </w:pPr>
      <w:r>
        <w:rPr>
          <w:sz w:val="28"/>
        </w:rPr>
        <w:tab/>
        <w:t>Plaintiff moves this Court for entry of its Order allowing service by publication on the following:</w:t>
      </w:r>
    </w:p>
    <w:p w:rsidR="004D0029" w:rsidRDefault="004D0029" w:rsidP="004D0029">
      <w:pPr>
        <w:tabs>
          <w:tab w:val="left" w:pos="1100"/>
        </w:tabs>
        <w:spacing w:line="480" w:lineRule="exact"/>
        <w:ind w:right="144"/>
        <w:rPr>
          <w:sz w:val="28"/>
        </w:rPr>
      </w:pPr>
      <w:r>
        <w:rPr>
          <w:sz w:val="28"/>
        </w:rPr>
        <w:tab/>
        <w:t>the unknown heirs of Rosemary Wilson; and</w:t>
      </w:r>
    </w:p>
    <w:p w:rsidR="004D0029" w:rsidRPr="004D0029" w:rsidRDefault="004D0029" w:rsidP="004D0029">
      <w:pPr>
        <w:tabs>
          <w:tab w:val="left" w:pos="1100"/>
        </w:tabs>
        <w:spacing w:line="480" w:lineRule="exact"/>
        <w:ind w:right="144"/>
        <w:rPr>
          <w:sz w:val="28"/>
        </w:rPr>
      </w:pPr>
      <w:r>
        <w:rPr>
          <w:sz w:val="28"/>
        </w:rPr>
        <w:tab/>
        <w:t xml:space="preserve">all other persons or parties unknown claiming any right, title or </w:t>
      </w:r>
      <w:r>
        <w:rPr>
          <w:sz w:val="28"/>
        </w:rPr>
        <w:tab/>
        <w:t>interest in the real estate described in the Complaint herein.</w:t>
      </w:r>
    </w:p>
    <w:p w:rsidR="00B6112D" w:rsidRDefault="00B6112D">
      <w:pPr>
        <w:tabs>
          <w:tab w:val="left" w:pos="1100"/>
        </w:tabs>
        <w:spacing w:line="480" w:lineRule="exact"/>
        <w:ind w:right="140"/>
        <w:jc w:val="both"/>
        <w:rPr>
          <w:sz w:val="28"/>
        </w:rPr>
      </w:pPr>
    </w:p>
    <w:p w:rsidR="00B6112D" w:rsidRDefault="00B6112D">
      <w:pPr>
        <w:tabs>
          <w:tab w:val="left" w:pos="700"/>
          <w:tab w:val="left" w:pos="1100"/>
        </w:tabs>
        <w:spacing w:line="480" w:lineRule="exact"/>
        <w:ind w:right="140"/>
        <w:jc w:val="both"/>
        <w:rPr>
          <w:sz w:val="28"/>
        </w:rPr>
      </w:pPr>
      <w:r>
        <w:rPr>
          <w:sz w:val="28"/>
        </w:rPr>
        <w:tab/>
        <w:t>DATED this _____ day of ______________, 20</w:t>
      </w:r>
      <w:r w:rsidR="00F62393">
        <w:rPr>
          <w:sz w:val="28"/>
        </w:rPr>
        <w:t>14</w:t>
      </w:r>
      <w:r>
        <w:rPr>
          <w:sz w:val="28"/>
        </w:rPr>
        <w:t>.</w:t>
      </w:r>
    </w:p>
    <w:p w:rsidR="00B6112D" w:rsidRDefault="00B6112D">
      <w:pPr>
        <w:spacing w:line="480" w:lineRule="exact"/>
        <w:ind w:right="144"/>
        <w:jc w:val="both"/>
        <w:rPr>
          <w:sz w:val="28"/>
        </w:rPr>
      </w:pPr>
    </w:p>
    <w:p w:rsidR="00B6112D" w:rsidRDefault="00B6112D">
      <w:pPr>
        <w:tabs>
          <w:tab w:val="left" w:pos="3600"/>
        </w:tabs>
        <w:spacing w:line="240" w:lineRule="auto"/>
        <w:ind w:right="58"/>
        <w:jc w:val="both"/>
        <w:rPr>
          <w:sz w:val="28"/>
        </w:rPr>
      </w:pPr>
      <w:r>
        <w:rPr>
          <w:sz w:val="28"/>
        </w:rPr>
        <w:tab/>
        <w:t>_____________________________________</w:t>
      </w:r>
    </w:p>
    <w:p w:rsidR="00B6112D" w:rsidRDefault="00B6112D">
      <w:pPr>
        <w:tabs>
          <w:tab w:val="left" w:pos="3600"/>
        </w:tabs>
        <w:spacing w:line="240" w:lineRule="auto"/>
        <w:ind w:right="58"/>
        <w:jc w:val="both"/>
        <w:rPr>
          <w:sz w:val="28"/>
        </w:rPr>
      </w:pPr>
      <w:r>
        <w:rPr>
          <w:sz w:val="28"/>
        </w:rPr>
        <w:tab/>
        <w:t>ROBERT D. WILSON-HOSS, WSBA #8620</w:t>
      </w:r>
    </w:p>
    <w:p w:rsidR="00B6112D" w:rsidRDefault="00B6112D">
      <w:pPr>
        <w:tabs>
          <w:tab w:val="left" w:pos="3600"/>
        </w:tabs>
        <w:spacing w:line="240" w:lineRule="auto"/>
        <w:ind w:right="58"/>
        <w:jc w:val="both"/>
        <w:rPr>
          <w:sz w:val="28"/>
        </w:rPr>
      </w:pPr>
      <w:r>
        <w:rPr>
          <w:sz w:val="28"/>
        </w:rPr>
        <w:tab/>
        <w:t>Attorney for Lake Limerick Country Club</w:t>
      </w:r>
    </w:p>
    <w:p w:rsidR="004D0029" w:rsidRDefault="004D0029">
      <w:pPr>
        <w:tabs>
          <w:tab w:val="left" w:pos="3600"/>
        </w:tabs>
        <w:spacing w:line="240" w:lineRule="auto"/>
        <w:ind w:right="58"/>
        <w:jc w:val="both"/>
        <w:rPr>
          <w:sz w:val="28"/>
        </w:rPr>
      </w:pPr>
    </w:p>
    <w:p w:rsidR="004D0029" w:rsidRDefault="004D0029">
      <w:pPr>
        <w:tabs>
          <w:tab w:val="left" w:pos="3600"/>
        </w:tabs>
        <w:spacing w:line="240" w:lineRule="auto"/>
        <w:ind w:right="58"/>
        <w:jc w:val="both"/>
        <w:rPr>
          <w:sz w:val="28"/>
        </w:rPr>
      </w:pPr>
    </w:p>
    <w:p w:rsidR="004D0029" w:rsidRDefault="004D0029">
      <w:pPr>
        <w:tabs>
          <w:tab w:val="left" w:pos="3600"/>
        </w:tabs>
        <w:spacing w:line="240" w:lineRule="auto"/>
        <w:ind w:right="58"/>
        <w:jc w:val="both"/>
        <w:rPr>
          <w:sz w:val="28"/>
        </w:rPr>
      </w:pPr>
    </w:p>
    <w:p w:rsidR="004D0029" w:rsidRDefault="004D0029">
      <w:pPr>
        <w:tabs>
          <w:tab w:val="left" w:pos="3600"/>
        </w:tabs>
        <w:spacing w:line="240" w:lineRule="auto"/>
        <w:ind w:right="58"/>
        <w:jc w:val="both"/>
        <w:rPr>
          <w:sz w:val="28"/>
        </w:rPr>
      </w:pPr>
    </w:p>
    <w:p w:rsidR="004D0029" w:rsidRDefault="004D0029">
      <w:pPr>
        <w:tabs>
          <w:tab w:val="left" w:pos="3600"/>
        </w:tabs>
        <w:spacing w:line="240" w:lineRule="auto"/>
        <w:ind w:right="58"/>
        <w:jc w:val="both"/>
        <w:rPr>
          <w:sz w:val="28"/>
        </w:rPr>
      </w:pPr>
    </w:p>
    <w:p w:rsidR="00B6112D" w:rsidRDefault="00B6112D">
      <w:pPr>
        <w:tabs>
          <w:tab w:val="left" w:pos="3600"/>
        </w:tabs>
        <w:spacing w:line="240" w:lineRule="auto"/>
        <w:ind w:right="58"/>
        <w:jc w:val="both"/>
        <w:rPr>
          <w:sz w:val="28"/>
        </w:rPr>
      </w:pPr>
    </w:p>
    <w:p w:rsidR="00B6112D" w:rsidRDefault="004D0029" w:rsidP="004D0029">
      <w:pPr>
        <w:tabs>
          <w:tab w:val="left" w:pos="3600"/>
        </w:tabs>
        <w:spacing w:line="240" w:lineRule="auto"/>
        <w:ind w:right="58"/>
        <w:jc w:val="center"/>
        <w:rPr>
          <w:b/>
          <w:sz w:val="28"/>
        </w:rPr>
      </w:pPr>
      <w:r w:rsidRPr="004D0029">
        <w:rPr>
          <w:b/>
          <w:sz w:val="28"/>
        </w:rPr>
        <w:t>II.</w:t>
      </w:r>
      <w:r>
        <w:rPr>
          <w:b/>
          <w:sz w:val="28"/>
        </w:rPr>
        <w:t xml:space="preserve">             </w:t>
      </w:r>
      <w:r w:rsidRPr="004D0029">
        <w:rPr>
          <w:b/>
          <w:sz w:val="28"/>
        </w:rPr>
        <w:t>MEMORANDUM IN SUPPORT OF MOTION</w:t>
      </w:r>
    </w:p>
    <w:p w:rsidR="004D0029" w:rsidRDefault="004D0029" w:rsidP="004D0029">
      <w:pPr>
        <w:tabs>
          <w:tab w:val="left" w:pos="3600"/>
        </w:tabs>
        <w:spacing w:line="240" w:lineRule="auto"/>
        <w:ind w:right="58"/>
        <w:jc w:val="center"/>
        <w:rPr>
          <w:b/>
          <w:sz w:val="28"/>
        </w:rPr>
      </w:pPr>
    </w:p>
    <w:p w:rsidR="006063DE" w:rsidRDefault="004D0029" w:rsidP="005611E2">
      <w:pPr>
        <w:tabs>
          <w:tab w:val="left" w:pos="720"/>
          <w:tab w:val="left" w:pos="1440"/>
          <w:tab w:val="left" w:pos="2160"/>
        </w:tabs>
        <w:spacing w:line="360" w:lineRule="auto"/>
        <w:ind w:right="58"/>
        <w:rPr>
          <w:sz w:val="28"/>
        </w:rPr>
      </w:pPr>
      <w:r>
        <w:rPr>
          <w:b/>
          <w:sz w:val="28"/>
        </w:rPr>
        <w:tab/>
      </w:r>
      <w:r w:rsidRPr="00DF74F3">
        <w:rPr>
          <w:b/>
          <w:sz w:val="28"/>
        </w:rPr>
        <w:t>A.</w:t>
      </w:r>
      <w:r w:rsidR="005611E2" w:rsidRPr="00DF74F3">
        <w:rPr>
          <w:b/>
          <w:sz w:val="28"/>
        </w:rPr>
        <w:tab/>
        <w:t>Introduction.</w:t>
      </w:r>
      <w:r w:rsidR="008D6001">
        <w:rPr>
          <w:sz w:val="28"/>
        </w:rPr>
        <w:tab/>
      </w:r>
      <w:r w:rsidR="005611E2">
        <w:rPr>
          <w:sz w:val="28"/>
        </w:rPr>
        <w:t xml:space="preserve">We know that title is in the name of Rosemary M. Wilson, and she is deceased. We know that no probate of her estate has been filed. </w:t>
      </w:r>
      <w:r w:rsidR="008D6001">
        <w:rPr>
          <w:sz w:val="28"/>
        </w:rPr>
        <w:t xml:space="preserve">Her Death Certificate shows that she was widowed, and that the informant was her son, Kenneth Wilson, at the address we believe he still lives at. </w:t>
      </w:r>
      <w:r w:rsidR="005611E2">
        <w:rPr>
          <w:sz w:val="28"/>
        </w:rPr>
        <w:t xml:space="preserve"> We know</w:t>
      </w:r>
      <w:r w:rsidR="008D6001">
        <w:rPr>
          <w:sz w:val="28"/>
        </w:rPr>
        <w:t xml:space="preserve"> from Kenneth Wilson</w:t>
      </w:r>
      <w:r w:rsidR="005611E2">
        <w:rPr>
          <w:sz w:val="28"/>
        </w:rPr>
        <w:t xml:space="preserve"> that she had three children and left no surviving spouse.  We know that he has declined to name or provide a residence address for his </w:t>
      </w:r>
      <w:r w:rsidR="00134041">
        <w:rPr>
          <w:sz w:val="28"/>
        </w:rPr>
        <w:t xml:space="preserve">two </w:t>
      </w:r>
      <w:r w:rsidR="005611E2">
        <w:rPr>
          <w:sz w:val="28"/>
        </w:rPr>
        <w:t xml:space="preserve">siblings, but that he has said that one is not doing well and may be homeless.  We know that there is no Medicaid lien on her estate. We have searched public records, including obituaries, </w:t>
      </w:r>
      <w:proofErr w:type="spellStart"/>
      <w:r w:rsidR="005611E2">
        <w:rPr>
          <w:sz w:val="28"/>
        </w:rPr>
        <w:t>Accurint</w:t>
      </w:r>
      <w:proofErr w:type="spellEnd"/>
      <w:r w:rsidR="005611E2">
        <w:rPr>
          <w:sz w:val="28"/>
        </w:rPr>
        <w:t xml:space="preserve"> multiple times, Washington Courts website data, </w:t>
      </w:r>
      <w:r w:rsidR="008D6001">
        <w:rPr>
          <w:sz w:val="28"/>
        </w:rPr>
        <w:t>Auditor filings, Washington State digital archives, and general search engines. We cannot find the other heirs of Rosemary Wilson.  This may be in part because they see no need to be found; there is no</w:t>
      </w:r>
      <w:r w:rsidR="00134041">
        <w:rPr>
          <w:sz w:val="28"/>
        </w:rPr>
        <w:t xml:space="preserve"> apparent</w:t>
      </w:r>
      <w:r w:rsidR="008D6001">
        <w:rPr>
          <w:sz w:val="28"/>
        </w:rPr>
        <w:t xml:space="preserve"> equity in the subject property for them to inherit.  It is encumbered by a "Home Equity Conversion Deed of Trust," or reverse mortgage. </w:t>
      </w:r>
      <w:r w:rsidR="00DF74F3">
        <w:rPr>
          <w:sz w:val="28"/>
        </w:rPr>
        <w:t xml:space="preserve"> Plaintiff has exercised all reasonable diligence to discover the identities of and locate the other two heirs and is entitled to serve them by publication.  </w:t>
      </w:r>
    </w:p>
    <w:p w:rsidR="008D6001" w:rsidRPr="00DF74F3" w:rsidRDefault="006063DE" w:rsidP="00DF74F3">
      <w:pPr>
        <w:shd w:val="clear" w:color="auto" w:fill="FFFFFF"/>
        <w:spacing w:after="240"/>
        <w:rPr>
          <w:b/>
          <w:sz w:val="28"/>
        </w:rPr>
      </w:pPr>
      <w:r>
        <w:rPr>
          <w:sz w:val="28"/>
        </w:rPr>
        <w:tab/>
      </w:r>
      <w:r w:rsidRPr="00DF74F3">
        <w:rPr>
          <w:b/>
          <w:sz w:val="28"/>
        </w:rPr>
        <w:t>B.</w:t>
      </w:r>
      <w:r w:rsidRPr="00DF74F3">
        <w:rPr>
          <w:b/>
          <w:sz w:val="28"/>
        </w:rPr>
        <w:tab/>
        <w:t>Security Interest of Plaintiff.</w:t>
      </w:r>
      <w:r>
        <w:rPr>
          <w:sz w:val="28"/>
        </w:rPr>
        <w:t xml:space="preserve">    Plaintiff has a secured interest in the subject property, based on the language of the covenants, as set out in the Complaint.   Under Washington's Probate Code, where there is a security interest in property of the decedent, the creditor can realize on that security interest without following the creditor's claim provisions of RCW chapter 11.40:</w:t>
      </w:r>
      <w:r w:rsidRPr="00FD545A">
        <w:rPr>
          <w:rFonts w:ascii="Verdana" w:hAnsi="Verdana"/>
          <w:color w:val="000000"/>
          <w:sz w:val="19"/>
          <w:szCs w:val="19"/>
        </w:rPr>
        <w:t xml:space="preserve"> </w:t>
      </w:r>
      <w:bookmarkStart w:id="0" w:name="I78495EE2241E11E3BDECA2E8EFCDE3A5"/>
      <w:bookmarkEnd w:id="0"/>
      <w:r w:rsidRPr="00FD545A">
        <w:rPr>
          <w:rFonts w:ascii="Verdana" w:hAnsi="Verdana"/>
          <w:sz w:val="28"/>
          <w:szCs w:val="28"/>
        </w:rPr>
        <w:t>"</w:t>
      </w:r>
      <w:r>
        <w:rPr>
          <w:rFonts w:ascii="Verdana" w:hAnsi="Verdana"/>
          <w:sz w:val="28"/>
          <w:szCs w:val="28"/>
        </w:rPr>
        <w:t>[</w:t>
      </w:r>
      <w:proofErr w:type="spellStart"/>
      <w:r>
        <w:rPr>
          <w:rFonts w:ascii="Verdana" w:hAnsi="Verdana"/>
          <w:sz w:val="28"/>
          <w:szCs w:val="28"/>
        </w:rPr>
        <w:t>i</w:t>
      </w:r>
      <w:proofErr w:type="spellEnd"/>
      <w:r>
        <w:rPr>
          <w:rFonts w:ascii="Verdana" w:hAnsi="Verdana"/>
          <w:sz w:val="28"/>
          <w:szCs w:val="28"/>
        </w:rPr>
        <w:t>]</w:t>
      </w:r>
      <w:r w:rsidRPr="00FD545A">
        <w:rPr>
          <w:sz w:val="28"/>
          <w:szCs w:val="28"/>
        </w:rPr>
        <w:t xml:space="preserve">f a creditor's claim is secured by any property of the decedent, this chapter does not </w:t>
      </w:r>
      <w:r w:rsidRPr="00FD545A">
        <w:rPr>
          <w:sz w:val="28"/>
          <w:szCs w:val="28"/>
        </w:rPr>
        <w:lastRenderedPageBreak/>
        <w:t>affect the right of a creditor to realize on the creditor's security, whether or not the creditor presented the claim in the manner provided in</w:t>
      </w:r>
      <w:r w:rsidRPr="00FD545A">
        <w:rPr>
          <w:rStyle w:val="apple-converted-space"/>
          <w:sz w:val="28"/>
          <w:szCs w:val="28"/>
        </w:rPr>
        <w:t> </w:t>
      </w:r>
      <w:hyperlink r:id="rId7" w:tgtFrame="_top" w:history="1">
        <w:r w:rsidRPr="006063DE">
          <w:rPr>
            <w:rStyle w:val="Hyperlink"/>
            <w:color w:val="auto"/>
            <w:sz w:val="28"/>
            <w:szCs w:val="28"/>
            <w:u w:val="none"/>
          </w:rPr>
          <w:t>RCW 11.40.070</w:t>
        </w:r>
      </w:hyperlink>
      <w:r w:rsidRPr="00FD545A">
        <w:rPr>
          <w:sz w:val="28"/>
          <w:szCs w:val="28"/>
        </w:rPr>
        <w:t>."</w:t>
      </w:r>
      <w:r>
        <w:rPr>
          <w:sz w:val="28"/>
          <w:szCs w:val="28"/>
        </w:rPr>
        <w:t xml:space="preserve">  RCW 11.40.135.</w:t>
      </w:r>
      <w:r w:rsidR="00DF74F3">
        <w:rPr>
          <w:sz w:val="28"/>
          <w:szCs w:val="28"/>
        </w:rPr>
        <w:t xml:space="preserve"> This is significant primarily for context; this is a lien foreclosure action, and if the remedy is confined to the foreclosure of the lien, and no money judgment is taken against the (nonexistent) Estate of Rosemary Wilson, it may go </w:t>
      </w:r>
      <w:r w:rsidR="00DF74F3" w:rsidRPr="00DF74F3">
        <w:rPr>
          <w:sz w:val="28"/>
          <w:szCs w:val="28"/>
        </w:rPr>
        <w:t>forward on that basis.</w:t>
      </w:r>
      <w:r w:rsidR="00134041">
        <w:rPr>
          <w:sz w:val="28"/>
          <w:szCs w:val="28"/>
        </w:rPr>
        <w:t xml:space="preserve"> In addition, if there are any possible objections to the application of RCW 11.04.250, the vesting statute discussed below, RCW 11.40.135 makes those theoretical objections moot. </w:t>
      </w:r>
    </w:p>
    <w:p w:rsidR="005611E2" w:rsidRDefault="008D6001" w:rsidP="005611E2">
      <w:pPr>
        <w:tabs>
          <w:tab w:val="left" w:pos="720"/>
          <w:tab w:val="left" w:pos="1440"/>
          <w:tab w:val="left" w:pos="2160"/>
        </w:tabs>
        <w:spacing w:line="360" w:lineRule="auto"/>
        <w:ind w:right="58"/>
        <w:rPr>
          <w:sz w:val="28"/>
        </w:rPr>
      </w:pPr>
      <w:r w:rsidRPr="00DF74F3">
        <w:rPr>
          <w:b/>
          <w:sz w:val="28"/>
        </w:rPr>
        <w:tab/>
      </w:r>
      <w:r w:rsidR="00134041">
        <w:rPr>
          <w:b/>
          <w:sz w:val="28"/>
        </w:rPr>
        <w:t>C</w:t>
      </w:r>
      <w:r w:rsidRPr="00DF74F3">
        <w:rPr>
          <w:b/>
          <w:sz w:val="28"/>
        </w:rPr>
        <w:t>.</w:t>
      </w:r>
      <w:r w:rsidRPr="00DF74F3">
        <w:rPr>
          <w:b/>
          <w:sz w:val="28"/>
        </w:rPr>
        <w:tab/>
        <w:t>Ownership of subject property.</w:t>
      </w:r>
      <w:r>
        <w:rPr>
          <w:sz w:val="28"/>
        </w:rPr>
        <w:t xml:space="preserve">    We know that the heirs of the decedent are the vested owners of the subject property:  </w:t>
      </w:r>
      <w:r>
        <w:rPr>
          <w:sz w:val="28"/>
        </w:rPr>
        <w:tab/>
        <w:t xml:space="preserve"> </w:t>
      </w:r>
    </w:p>
    <w:p w:rsidR="008D6001" w:rsidRPr="006063DE" w:rsidRDefault="008D6001" w:rsidP="008D6001">
      <w:pPr>
        <w:spacing w:line="360" w:lineRule="atLeast"/>
        <w:ind w:left="720" w:right="720"/>
        <w:rPr>
          <w:b/>
          <w:sz w:val="26"/>
          <w:szCs w:val="26"/>
        </w:rPr>
      </w:pPr>
      <w:r w:rsidRPr="006063DE">
        <w:rPr>
          <w:b/>
          <w:color w:val="252525"/>
          <w:sz w:val="26"/>
          <w:szCs w:val="26"/>
        </w:rPr>
        <w:t>RCW 11.04.250. When real estate vests--Rights of heirs</w:t>
      </w:r>
    </w:p>
    <w:p w:rsidR="008D6001" w:rsidRPr="007034B6" w:rsidRDefault="008D6001" w:rsidP="008D6001">
      <w:pPr>
        <w:spacing w:after="240" w:line="240" w:lineRule="auto"/>
        <w:ind w:left="720" w:right="720"/>
        <w:rPr>
          <w:sz w:val="26"/>
          <w:szCs w:val="26"/>
        </w:rPr>
      </w:pPr>
      <w:r w:rsidRPr="007034B6">
        <w:rPr>
          <w:sz w:val="26"/>
          <w:szCs w:val="26"/>
        </w:rPr>
        <w:t xml:space="preserve">When a person dies seized of lands, tenements or </w:t>
      </w:r>
      <w:proofErr w:type="spellStart"/>
      <w:r w:rsidRPr="007034B6">
        <w:rPr>
          <w:sz w:val="26"/>
          <w:szCs w:val="26"/>
        </w:rPr>
        <w:t>hereditaments</w:t>
      </w:r>
      <w:proofErr w:type="spellEnd"/>
      <w:r w:rsidRPr="007034B6">
        <w:rPr>
          <w:sz w:val="26"/>
          <w:szCs w:val="26"/>
        </w:rPr>
        <w:t xml:space="preserve">, or any right thereto or entitled to any interest therein in fee or for the life of another, his or her title shall vest immediately in his or her heirs or devisees, subject to his or her debts, family allowance, expenses of administration, and any other charges for which such real estate is liable under existing laws. No administration of the estate of such decedent, and no decree of distribution or other finding or order of any court shall be necessary in any case to vest such title in the heirs or devisees, but the same shall vest in the heirs or devisees instantly upon the death of such decedent: PROVIDED, That no person shall be deemed a devisee until the will has been probated. The title and right to possession of such lands, tenements, or </w:t>
      </w:r>
      <w:proofErr w:type="spellStart"/>
      <w:r w:rsidRPr="007034B6">
        <w:rPr>
          <w:sz w:val="26"/>
          <w:szCs w:val="26"/>
        </w:rPr>
        <w:t>hereditaments</w:t>
      </w:r>
      <w:proofErr w:type="spellEnd"/>
      <w:r w:rsidRPr="007034B6">
        <w:rPr>
          <w:sz w:val="26"/>
          <w:szCs w:val="26"/>
        </w:rPr>
        <w:t xml:space="preserve"> so vested in such heirs or devisees, together with the rents, issues, and profits thereof, shall be good and valid against all persons claiming adversely to the claims of any such heirs, or devisees, excepting only the personal representative when appointed, and persons lawfully claiming under such personal representative; and any one or more of such heirs or devisees, or their grantees, jointly or severally, may sue for and recover their respective shares or interests in any such lands, tenements, or </w:t>
      </w:r>
      <w:proofErr w:type="spellStart"/>
      <w:r w:rsidRPr="007034B6">
        <w:rPr>
          <w:sz w:val="26"/>
          <w:szCs w:val="26"/>
        </w:rPr>
        <w:t>hereditaments</w:t>
      </w:r>
      <w:proofErr w:type="spellEnd"/>
      <w:r w:rsidRPr="007034B6">
        <w:rPr>
          <w:sz w:val="26"/>
          <w:szCs w:val="26"/>
        </w:rPr>
        <w:t xml:space="preserve"> and the rents, issues, and profits thereof, whether letters testamentary or of administration be granted or not, from any person except the personal representative and those lawfully claiming under such personal representative.</w:t>
      </w:r>
    </w:p>
    <w:p w:rsidR="008D6001" w:rsidRDefault="006063DE" w:rsidP="008D6001">
      <w:pPr>
        <w:spacing w:after="240" w:line="360" w:lineRule="auto"/>
        <w:rPr>
          <w:sz w:val="28"/>
          <w:szCs w:val="28"/>
        </w:rPr>
      </w:pPr>
      <w:r>
        <w:rPr>
          <w:sz w:val="28"/>
          <w:szCs w:val="28"/>
        </w:rPr>
        <w:lastRenderedPageBreak/>
        <w:tab/>
      </w:r>
      <w:r w:rsidR="008D6001">
        <w:rPr>
          <w:sz w:val="28"/>
          <w:szCs w:val="28"/>
        </w:rPr>
        <w:t>This immediate vesting is not entirely immediate. It is subject to administration by the Personal Representative, if a probate has been filed, and with or without a probate, title vests, but subject to payment of certain debts of the decedent:</w:t>
      </w:r>
    </w:p>
    <w:p w:rsidR="008D6001" w:rsidRDefault="008D6001" w:rsidP="008D6001">
      <w:pPr>
        <w:spacing w:after="240" w:line="240" w:lineRule="auto"/>
        <w:ind w:left="720" w:right="720"/>
        <w:rPr>
          <w:sz w:val="26"/>
          <w:szCs w:val="26"/>
        </w:rPr>
      </w:pPr>
      <w:r>
        <w:rPr>
          <w:sz w:val="26"/>
          <w:szCs w:val="26"/>
        </w:rPr>
        <w:t>This vesting is subject to the trusteeship of the executor during the probate of the estate. In re Estate of Peterson, 12 Wash.2d 686, 123 P.2d 733 (1942); In re Estate of Henderson, 46 Wash.2d 401, 281 P.2d 857 (1955). However, by terms of the statute, this vesting is subject to the debts, family allowance, expenses of administration, and other charges for which the real estate is liable. See In re Estate of Binge, 5 Wash.2d 446, 105 P.2d 689 (1940).</w:t>
      </w:r>
    </w:p>
    <w:p w:rsidR="008D6001" w:rsidRDefault="008D6001" w:rsidP="006063DE">
      <w:pPr>
        <w:spacing w:line="240" w:lineRule="auto"/>
        <w:rPr>
          <w:sz w:val="28"/>
          <w:szCs w:val="28"/>
        </w:rPr>
      </w:pPr>
      <w:r>
        <w:rPr>
          <w:i/>
          <w:sz w:val="28"/>
          <w:szCs w:val="28"/>
        </w:rPr>
        <w:t xml:space="preserve">In re </w:t>
      </w:r>
      <w:proofErr w:type="spellStart"/>
      <w:r>
        <w:rPr>
          <w:i/>
          <w:sz w:val="28"/>
          <w:szCs w:val="28"/>
        </w:rPr>
        <w:t>Eberle's</w:t>
      </w:r>
      <w:proofErr w:type="spellEnd"/>
      <w:r>
        <w:rPr>
          <w:i/>
          <w:sz w:val="28"/>
          <w:szCs w:val="28"/>
        </w:rPr>
        <w:t xml:space="preserve"> Estate,</w:t>
      </w:r>
      <w:r>
        <w:rPr>
          <w:sz w:val="28"/>
          <w:szCs w:val="28"/>
        </w:rPr>
        <w:t xml:space="preserve"> 4 Wash. App. 638, 646 (1971).</w:t>
      </w:r>
    </w:p>
    <w:p w:rsidR="006063DE" w:rsidRDefault="006063DE" w:rsidP="006063DE">
      <w:pPr>
        <w:spacing w:line="240" w:lineRule="auto"/>
        <w:rPr>
          <w:sz w:val="24"/>
          <w:szCs w:val="24"/>
        </w:rPr>
      </w:pPr>
    </w:p>
    <w:p w:rsidR="008D6001" w:rsidRDefault="008D6001" w:rsidP="00134041">
      <w:pPr>
        <w:spacing w:after="240" w:line="360" w:lineRule="auto"/>
        <w:rPr>
          <w:sz w:val="28"/>
          <w:szCs w:val="28"/>
        </w:rPr>
      </w:pPr>
      <w:r>
        <w:rPr>
          <w:sz w:val="24"/>
          <w:szCs w:val="24"/>
        </w:rPr>
        <w:tab/>
      </w:r>
      <w:r>
        <w:rPr>
          <w:sz w:val="28"/>
          <w:szCs w:val="28"/>
        </w:rPr>
        <w:t xml:space="preserve">Under this statute, title is vested in the three </w:t>
      </w:r>
      <w:r w:rsidR="006063DE">
        <w:rPr>
          <w:sz w:val="28"/>
          <w:szCs w:val="28"/>
        </w:rPr>
        <w:t>heirs</w:t>
      </w:r>
      <w:r>
        <w:rPr>
          <w:sz w:val="28"/>
          <w:szCs w:val="28"/>
        </w:rPr>
        <w:t>.  The exceptions do not apply.  There is no available family support allowance under RCW 11.54.010, as there is no surviving spouse or domestic partner, or minor children. The adult children cannot seek an award unless there is a surviving spouse or domestic partner</w:t>
      </w:r>
      <w:r w:rsidRPr="00C305D8">
        <w:rPr>
          <w:sz w:val="28"/>
          <w:szCs w:val="28"/>
        </w:rPr>
        <w:t>.</w:t>
      </w:r>
      <w:r w:rsidRPr="006063DE">
        <w:rPr>
          <w:sz w:val="28"/>
          <w:szCs w:val="28"/>
        </w:rPr>
        <w:t xml:space="preserve"> </w:t>
      </w:r>
      <w:hyperlink r:id="rId8" w:tgtFrame="_top" w:history="1">
        <w:r w:rsidRPr="006063DE">
          <w:rPr>
            <w:rStyle w:val="Hyperlink"/>
            <w:i/>
            <w:color w:val="auto"/>
            <w:sz w:val="28"/>
            <w:szCs w:val="28"/>
            <w:u w:val="none"/>
            <w:shd w:val="clear" w:color="auto" w:fill="FFFFFF"/>
          </w:rPr>
          <w:t>In re Estate of Garwood,</w:t>
        </w:r>
        <w:r w:rsidRPr="006063DE">
          <w:rPr>
            <w:rStyle w:val="Hyperlink"/>
            <w:color w:val="auto"/>
            <w:sz w:val="28"/>
            <w:szCs w:val="28"/>
            <w:u w:val="none"/>
            <w:shd w:val="clear" w:color="auto" w:fill="FFFFFF"/>
          </w:rPr>
          <w:t xml:space="preserve"> 109 </w:t>
        </w:r>
        <w:proofErr w:type="spellStart"/>
        <w:r w:rsidRPr="006063DE">
          <w:rPr>
            <w:rStyle w:val="Hyperlink"/>
            <w:color w:val="auto"/>
            <w:sz w:val="28"/>
            <w:szCs w:val="28"/>
            <w:u w:val="none"/>
            <w:shd w:val="clear" w:color="auto" w:fill="FFFFFF"/>
          </w:rPr>
          <w:t>Wn</w:t>
        </w:r>
        <w:proofErr w:type="spellEnd"/>
        <w:r w:rsidRPr="006063DE">
          <w:rPr>
            <w:rStyle w:val="Hyperlink"/>
            <w:color w:val="auto"/>
            <w:sz w:val="28"/>
            <w:szCs w:val="28"/>
            <w:u w:val="none"/>
            <w:shd w:val="clear" w:color="auto" w:fill="FFFFFF"/>
          </w:rPr>
          <w:t>. App. 811 (Div. 2, 2002)</w:t>
        </w:r>
      </w:hyperlink>
      <w:r w:rsidRPr="006063DE">
        <w:rPr>
          <w:sz w:val="28"/>
          <w:szCs w:val="28"/>
          <w:shd w:val="clear" w:color="auto" w:fill="FFFFFF"/>
        </w:rPr>
        <w:t xml:space="preserve">. </w:t>
      </w:r>
      <w:r>
        <w:rPr>
          <w:sz w:val="28"/>
          <w:szCs w:val="28"/>
        </w:rPr>
        <w:t xml:space="preserve">There are no known creditors of the Estate. </w:t>
      </w:r>
      <w:r w:rsidR="006063DE">
        <w:rPr>
          <w:sz w:val="28"/>
          <w:szCs w:val="28"/>
        </w:rPr>
        <w:t>And there is no purpose for any estate administration:</w:t>
      </w:r>
    </w:p>
    <w:p w:rsidR="008D6001" w:rsidRPr="002220B8" w:rsidRDefault="008D6001" w:rsidP="008D6001">
      <w:pPr>
        <w:spacing w:after="240" w:line="240" w:lineRule="auto"/>
        <w:ind w:left="720" w:right="720"/>
        <w:rPr>
          <w:sz w:val="26"/>
          <w:szCs w:val="26"/>
        </w:rPr>
      </w:pPr>
      <w:r w:rsidRPr="002220B8">
        <w:rPr>
          <w:sz w:val="26"/>
          <w:szCs w:val="26"/>
        </w:rPr>
        <w:t>Under these statutes, it is plain that there is no necessity for an administration of this property. There are no debts to which it can be subjected, and the title is fully vested in those who are rightfully entitled thereto. If it should be delivered over to the administrator, he could do nothing more than deliver it back to those rightfully entitled to it burdened with the costs of administration caused solely by his interference.</w:t>
      </w:r>
    </w:p>
    <w:p w:rsidR="008D6001" w:rsidRDefault="008D6001" w:rsidP="006063DE">
      <w:pPr>
        <w:spacing w:line="240" w:lineRule="auto"/>
        <w:rPr>
          <w:sz w:val="28"/>
          <w:szCs w:val="28"/>
        </w:rPr>
      </w:pPr>
      <w:r w:rsidRPr="002220B8">
        <w:rPr>
          <w:i/>
          <w:sz w:val="28"/>
          <w:szCs w:val="28"/>
        </w:rPr>
        <w:t>Duvall v. Healy Lumber Co</w:t>
      </w:r>
      <w:r w:rsidRPr="002220B8">
        <w:rPr>
          <w:sz w:val="28"/>
          <w:szCs w:val="28"/>
          <w:u w:val="single"/>
        </w:rPr>
        <w:t>.</w:t>
      </w:r>
      <w:r w:rsidRPr="002220B8">
        <w:rPr>
          <w:sz w:val="28"/>
          <w:szCs w:val="28"/>
        </w:rPr>
        <w:t xml:space="preserve">, 57 Wash. 446, 450, </w:t>
      </w:r>
      <w:proofErr w:type="spellStart"/>
      <w:r w:rsidRPr="002220B8">
        <w:rPr>
          <w:i/>
          <w:sz w:val="28"/>
          <w:szCs w:val="28"/>
        </w:rPr>
        <w:t>aff'd</w:t>
      </w:r>
      <w:proofErr w:type="spellEnd"/>
      <w:r w:rsidRPr="002220B8">
        <w:rPr>
          <w:i/>
          <w:sz w:val="28"/>
          <w:szCs w:val="28"/>
        </w:rPr>
        <w:t xml:space="preserve"> on </w:t>
      </w:r>
      <w:proofErr w:type="spellStart"/>
      <w:r w:rsidRPr="002220B8">
        <w:rPr>
          <w:i/>
          <w:sz w:val="28"/>
          <w:szCs w:val="28"/>
        </w:rPr>
        <w:t>reh'g</w:t>
      </w:r>
      <w:proofErr w:type="spellEnd"/>
      <w:r w:rsidRPr="002220B8">
        <w:rPr>
          <w:i/>
          <w:sz w:val="28"/>
          <w:szCs w:val="28"/>
        </w:rPr>
        <w:t>,</w:t>
      </w:r>
      <w:r w:rsidRPr="002220B8">
        <w:rPr>
          <w:sz w:val="28"/>
          <w:szCs w:val="28"/>
        </w:rPr>
        <w:t xml:space="preserve"> 57 Wash. 446 (1910).</w:t>
      </w:r>
    </w:p>
    <w:p w:rsidR="008D6001" w:rsidRDefault="008D6001" w:rsidP="008D6001">
      <w:pPr>
        <w:spacing w:after="240" w:line="360" w:lineRule="auto"/>
        <w:rPr>
          <w:sz w:val="24"/>
          <w:szCs w:val="24"/>
        </w:rPr>
      </w:pPr>
      <w:r>
        <w:rPr>
          <w:sz w:val="24"/>
          <w:szCs w:val="24"/>
        </w:rPr>
        <w:lastRenderedPageBreak/>
        <w:tab/>
      </w:r>
      <w:r>
        <w:rPr>
          <w:sz w:val="28"/>
          <w:szCs w:val="28"/>
        </w:rPr>
        <w:t>Although there are no recent Washington cases directly on point, in</w:t>
      </w:r>
      <w:r w:rsidRPr="00E808EF">
        <w:rPr>
          <w:i/>
          <w:sz w:val="28"/>
          <w:szCs w:val="28"/>
        </w:rPr>
        <w:t xml:space="preserve"> </w:t>
      </w:r>
      <w:proofErr w:type="spellStart"/>
      <w:r w:rsidRPr="00E808EF">
        <w:rPr>
          <w:i/>
          <w:sz w:val="28"/>
          <w:szCs w:val="28"/>
        </w:rPr>
        <w:t>In</w:t>
      </w:r>
      <w:proofErr w:type="spellEnd"/>
      <w:r w:rsidRPr="00E808EF">
        <w:rPr>
          <w:i/>
          <w:sz w:val="28"/>
          <w:szCs w:val="28"/>
        </w:rPr>
        <w:t xml:space="preserve"> re Field's Estate</w:t>
      </w:r>
      <w:r w:rsidRPr="00E808EF">
        <w:rPr>
          <w:sz w:val="28"/>
          <w:szCs w:val="28"/>
        </w:rPr>
        <w:t>, 33 Wash. 63, 71-72 (1903)</w:t>
      </w:r>
      <w:r>
        <w:rPr>
          <w:sz w:val="28"/>
          <w:szCs w:val="28"/>
        </w:rPr>
        <w:t xml:space="preserve">, under circumstances where there was a </w:t>
      </w:r>
      <w:r w:rsidRPr="00E808EF">
        <w:rPr>
          <w:sz w:val="28"/>
          <w:szCs w:val="28"/>
        </w:rPr>
        <w:t>sole heir</w:t>
      </w:r>
      <w:r>
        <w:rPr>
          <w:sz w:val="28"/>
          <w:szCs w:val="28"/>
        </w:rPr>
        <w:t xml:space="preserve"> to an</w:t>
      </w:r>
      <w:r w:rsidRPr="00E808EF">
        <w:rPr>
          <w:sz w:val="28"/>
          <w:szCs w:val="28"/>
        </w:rPr>
        <w:t xml:space="preserve"> intestate estate,</w:t>
      </w:r>
      <w:r>
        <w:rPr>
          <w:sz w:val="28"/>
          <w:szCs w:val="28"/>
        </w:rPr>
        <w:t xml:space="preserve"> the </w:t>
      </w:r>
      <w:r w:rsidRPr="00E808EF">
        <w:rPr>
          <w:sz w:val="28"/>
          <w:szCs w:val="28"/>
        </w:rPr>
        <w:t xml:space="preserve">heir </w:t>
      </w:r>
      <w:r>
        <w:rPr>
          <w:sz w:val="28"/>
          <w:szCs w:val="28"/>
        </w:rPr>
        <w:t xml:space="preserve">was </w:t>
      </w:r>
      <w:r w:rsidRPr="00E808EF">
        <w:rPr>
          <w:sz w:val="28"/>
          <w:szCs w:val="28"/>
        </w:rPr>
        <w:t>entitled to determine incidents of title</w:t>
      </w:r>
      <w:r>
        <w:rPr>
          <w:sz w:val="28"/>
          <w:szCs w:val="28"/>
        </w:rPr>
        <w:t>:</w:t>
      </w:r>
    </w:p>
    <w:p w:rsidR="008D6001" w:rsidRPr="00E808EF" w:rsidRDefault="008D6001" w:rsidP="008D6001">
      <w:pPr>
        <w:spacing w:after="240" w:line="240" w:lineRule="auto"/>
        <w:ind w:left="720" w:right="720"/>
        <w:rPr>
          <w:sz w:val="26"/>
          <w:szCs w:val="26"/>
        </w:rPr>
      </w:pPr>
      <w:r w:rsidRPr="00E808EF">
        <w:rPr>
          <w:sz w:val="26"/>
          <w:szCs w:val="26"/>
        </w:rPr>
        <w:t>We think, under the testimony, that Mr. Field was the only real party in interest; that, for the purpose of settling the title to the real estate-a matter which was of no importance to anyone but himself, and which he might have proceeded with or not according to his own option and best judgment-he had a right to enter into the contract which he did enter into which Moore in relation to the formal duties of the administrator and the fees which he was to receive; in other words, that he had a right to make a special contract with relation to payment for Moore's services before he would agree to recommend him for an appointment as administrator</w:t>
      </w:r>
    </w:p>
    <w:p w:rsidR="005611E2" w:rsidRDefault="006063DE" w:rsidP="00DF74F3">
      <w:pPr>
        <w:tabs>
          <w:tab w:val="left" w:pos="720"/>
          <w:tab w:val="left" w:pos="1440"/>
          <w:tab w:val="left" w:pos="2160"/>
        </w:tabs>
        <w:spacing w:line="360" w:lineRule="auto"/>
        <w:ind w:right="58"/>
        <w:rPr>
          <w:sz w:val="28"/>
        </w:rPr>
      </w:pPr>
      <w:r>
        <w:rPr>
          <w:sz w:val="28"/>
        </w:rPr>
        <w:tab/>
        <w:t>Plaintiff is not in a position to name The Estate of Rosemary Wilson as a defendant, because no estate has been filed.  Plaintiff as a creditor could file an estate, but a nonprofit can do so only if its governing documents grant it the authority to file probates as creditor, and such is not the case with this Plaintiff. So, there will not be an estate filed, and therefore no estate to be sued through its personal representative.  The only conclusion is that the statute that provides that real property vests in the heirs at the date of death means that title is vested in the heirs. Therefore, Plaintiff must sue the heirs, not the nonexistent  estate. To do so, under these circumstances, Plaintiff must name the unknown heirs</w:t>
      </w:r>
      <w:r w:rsidR="00DF74F3">
        <w:rPr>
          <w:sz w:val="28"/>
        </w:rPr>
        <w:t xml:space="preserve"> and serve them by publication. </w:t>
      </w:r>
    </w:p>
    <w:p w:rsidR="005611E2" w:rsidRDefault="005611E2" w:rsidP="004D0029">
      <w:pPr>
        <w:tabs>
          <w:tab w:val="left" w:pos="720"/>
          <w:tab w:val="left" w:pos="1440"/>
          <w:tab w:val="left" w:pos="2160"/>
        </w:tabs>
        <w:spacing w:line="240" w:lineRule="auto"/>
        <w:ind w:right="58"/>
        <w:rPr>
          <w:sz w:val="28"/>
        </w:rPr>
      </w:pPr>
    </w:p>
    <w:p w:rsidR="005611E2" w:rsidRPr="00DF74F3" w:rsidRDefault="005611E2" w:rsidP="004D0029">
      <w:pPr>
        <w:tabs>
          <w:tab w:val="left" w:pos="720"/>
          <w:tab w:val="left" w:pos="1440"/>
          <w:tab w:val="left" w:pos="2160"/>
        </w:tabs>
        <w:spacing w:line="240" w:lineRule="auto"/>
        <w:ind w:right="58"/>
        <w:rPr>
          <w:b/>
          <w:sz w:val="28"/>
        </w:rPr>
      </w:pPr>
      <w:r w:rsidRPr="00DF74F3">
        <w:rPr>
          <w:b/>
          <w:sz w:val="28"/>
        </w:rPr>
        <w:tab/>
      </w:r>
      <w:r w:rsidR="00134041">
        <w:rPr>
          <w:b/>
          <w:sz w:val="28"/>
        </w:rPr>
        <w:t>D</w:t>
      </w:r>
      <w:r w:rsidRPr="00DF74F3">
        <w:rPr>
          <w:b/>
          <w:sz w:val="28"/>
        </w:rPr>
        <w:t>.</w:t>
      </w:r>
      <w:r w:rsidRPr="00DF74F3">
        <w:rPr>
          <w:b/>
          <w:sz w:val="28"/>
        </w:rPr>
        <w:tab/>
      </w:r>
      <w:r w:rsidR="00DF74F3" w:rsidRPr="00DF74F3">
        <w:rPr>
          <w:b/>
          <w:sz w:val="28"/>
        </w:rPr>
        <w:t xml:space="preserve">Publication </w:t>
      </w:r>
      <w:r w:rsidRPr="00DF74F3">
        <w:rPr>
          <w:b/>
          <w:sz w:val="28"/>
        </w:rPr>
        <w:t>Rules</w:t>
      </w:r>
      <w:r w:rsidR="00DF74F3" w:rsidRPr="00DF74F3">
        <w:rPr>
          <w:b/>
          <w:sz w:val="28"/>
        </w:rPr>
        <w:t>.</w:t>
      </w:r>
    </w:p>
    <w:p w:rsidR="005611E2" w:rsidRPr="00DF74F3" w:rsidRDefault="005611E2" w:rsidP="005611E2">
      <w:pPr>
        <w:spacing w:line="360" w:lineRule="auto"/>
        <w:ind w:left="720" w:right="720"/>
        <w:rPr>
          <w:b/>
          <w:sz w:val="28"/>
        </w:rPr>
      </w:pPr>
    </w:p>
    <w:p w:rsidR="005611E2" w:rsidRPr="00134041" w:rsidRDefault="005611E2" w:rsidP="00134041">
      <w:pPr>
        <w:spacing w:line="240" w:lineRule="auto"/>
        <w:ind w:left="720" w:right="720"/>
        <w:rPr>
          <w:b/>
          <w:sz w:val="26"/>
          <w:szCs w:val="26"/>
        </w:rPr>
      </w:pPr>
      <w:r w:rsidRPr="00134041">
        <w:rPr>
          <w:b/>
          <w:sz w:val="26"/>
          <w:szCs w:val="26"/>
        </w:rPr>
        <w:t xml:space="preserve">CR 10(a)(3) Unknown Heirs. </w:t>
      </w:r>
    </w:p>
    <w:p w:rsidR="00134041" w:rsidRPr="005611E2" w:rsidRDefault="005611E2" w:rsidP="00134041">
      <w:pPr>
        <w:spacing w:line="240" w:lineRule="auto"/>
        <w:ind w:left="720" w:right="720"/>
        <w:rPr>
          <w:sz w:val="24"/>
          <w:szCs w:val="24"/>
        </w:rPr>
      </w:pPr>
      <w:r w:rsidRPr="00134041">
        <w:rPr>
          <w:sz w:val="26"/>
          <w:szCs w:val="26"/>
        </w:rPr>
        <w:t xml:space="preserve">When the heirs of any deceased person are proper parties defendant to any action relating to real property in this state, and when the names and residences of such heirs are unknown, such heirs may be proceeded against under the name and title of the “unknown heirs” of the deceased.  </w:t>
      </w:r>
      <w:r w:rsidRPr="00134041">
        <w:rPr>
          <w:sz w:val="26"/>
          <w:szCs w:val="26"/>
        </w:rPr>
        <w:lastRenderedPageBreak/>
        <w:t>In any action brought to determine any adverse claim, estate, lien, or interest in real property, or to quiet title to real property, unknown parties shall be designated as “also all other persons or parties unknown claiming any right, title, estate, lien, or interest in the real estate described in the complaint herein.”</w:t>
      </w:r>
    </w:p>
    <w:p w:rsidR="00134041" w:rsidRPr="00134041" w:rsidRDefault="00714194" w:rsidP="00134041">
      <w:pPr>
        <w:spacing w:line="240" w:lineRule="auto"/>
        <w:ind w:left="720" w:right="720"/>
        <w:rPr>
          <w:sz w:val="26"/>
          <w:szCs w:val="26"/>
        </w:rPr>
      </w:pPr>
      <w:hyperlink r:id="rId9" w:tgtFrame="_top" w:history="1">
        <w:r w:rsidR="00134041" w:rsidRPr="00134041">
          <w:rPr>
            <w:sz w:val="26"/>
            <w:szCs w:val="26"/>
          </w:rPr>
          <w:br/>
        </w:r>
        <w:r w:rsidR="00134041" w:rsidRPr="00134041">
          <w:rPr>
            <w:b/>
            <w:bCs/>
            <w:sz w:val="26"/>
            <w:szCs w:val="26"/>
          </w:rPr>
          <w:t>4.28.100. Service of summons by publication--When authorized</w:t>
        </w:r>
      </w:hyperlink>
      <w:bookmarkStart w:id="1" w:name="I15E670113AD711E3A11FABB4807979F8"/>
      <w:bookmarkEnd w:id="1"/>
    </w:p>
    <w:p w:rsidR="00134041" w:rsidRPr="00134041" w:rsidRDefault="00134041" w:rsidP="00134041">
      <w:pPr>
        <w:shd w:val="clear" w:color="auto" w:fill="FFFFFF"/>
        <w:spacing w:line="240" w:lineRule="auto"/>
        <w:ind w:left="720" w:right="720"/>
        <w:rPr>
          <w:sz w:val="26"/>
          <w:szCs w:val="26"/>
        </w:rPr>
      </w:pPr>
      <w:r w:rsidRPr="00134041">
        <w:rPr>
          <w:sz w:val="26"/>
          <w:szCs w:val="26"/>
        </w:rPr>
        <w:t xml:space="preserve">When the defendant cannot be found within the state, and upon the filing of an affidavit of the plaintiff, his or her agent, or attorney, with the clerk of the court, stating that he or she believes that the defendant is not a resident of the state, or cannot be found therein, and that he or she has deposited a copy of the summons (substantially in the form prescribed </w:t>
      </w:r>
      <w:proofErr w:type="spellStart"/>
      <w:r w:rsidRPr="00134041">
        <w:rPr>
          <w:sz w:val="26"/>
          <w:szCs w:val="26"/>
        </w:rPr>
        <w:t>in</w:t>
      </w:r>
      <w:hyperlink r:id="rId10" w:tgtFrame="_top" w:history="1">
        <w:r w:rsidRPr="00134041">
          <w:rPr>
            <w:sz w:val="26"/>
            <w:szCs w:val="26"/>
          </w:rPr>
          <w:t>RCW</w:t>
        </w:r>
        <w:proofErr w:type="spellEnd"/>
        <w:r w:rsidRPr="00134041">
          <w:rPr>
            <w:sz w:val="26"/>
            <w:szCs w:val="26"/>
          </w:rPr>
          <w:t xml:space="preserve"> 4.28.110</w:t>
        </w:r>
      </w:hyperlink>
      <w:r w:rsidRPr="00134041">
        <w:rPr>
          <w:sz w:val="26"/>
          <w:szCs w:val="26"/>
        </w:rPr>
        <w:t>) and complaint in the post office, directed to the defendant at his or her place of residence, unless it is stated in the affidavit that such residence is not known to the affiant, and stating the existence of one of the cases hereinafter specified, the service may be made by publication of the summons, by the plaintiff or his or her attorney in any of the following cases:</w:t>
      </w:r>
    </w:p>
    <w:p w:rsidR="00134041" w:rsidRPr="00134041" w:rsidRDefault="00134041" w:rsidP="00134041">
      <w:pPr>
        <w:shd w:val="clear" w:color="auto" w:fill="FFFFFF"/>
        <w:spacing w:line="240" w:lineRule="auto"/>
        <w:ind w:left="720" w:right="720"/>
        <w:rPr>
          <w:sz w:val="26"/>
          <w:szCs w:val="26"/>
        </w:rPr>
      </w:pPr>
      <w:bookmarkStart w:id="2" w:name="IDEBF4D6086FA11E08E81FF75B7172C5C"/>
      <w:bookmarkStart w:id="3" w:name="IDEBA445886FA11E08E81FF75B7172C5C"/>
      <w:bookmarkStart w:id="4" w:name="SP;f1c50000821b0"/>
      <w:bookmarkEnd w:id="2"/>
      <w:bookmarkEnd w:id="3"/>
      <w:bookmarkEnd w:id="4"/>
      <w:r w:rsidRPr="00134041">
        <w:rPr>
          <w:sz w:val="26"/>
          <w:szCs w:val="26"/>
        </w:rPr>
        <w:t>(1) When the defendant is a foreign corporation, and has property within the state;</w:t>
      </w:r>
      <w:bookmarkStart w:id="5" w:name="IDEBF4D6186FA11E08E81FF75B7172C5C"/>
      <w:bookmarkStart w:id="6" w:name="IDEBA445986FA11E08E81FF75B7172C5C"/>
      <w:bookmarkEnd w:id="5"/>
      <w:bookmarkEnd w:id="6"/>
    </w:p>
    <w:p w:rsidR="00134041" w:rsidRPr="00134041" w:rsidRDefault="00134041" w:rsidP="00134041">
      <w:pPr>
        <w:shd w:val="clear" w:color="auto" w:fill="FFFFFF"/>
        <w:spacing w:line="240" w:lineRule="auto"/>
        <w:ind w:left="720" w:right="720"/>
        <w:rPr>
          <w:sz w:val="26"/>
          <w:szCs w:val="26"/>
        </w:rPr>
      </w:pPr>
      <w:bookmarkStart w:id="7" w:name="SP;58730000872b1"/>
      <w:bookmarkEnd w:id="7"/>
      <w:r w:rsidRPr="00134041">
        <w:rPr>
          <w:sz w:val="26"/>
          <w:szCs w:val="26"/>
        </w:rPr>
        <w:t xml:space="preserve">(2) When the defendant, being a resident of this state, has departed </w:t>
      </w:r>
      <w:proofErr w:type="spellStart"/>
      <w:r w:rsidRPr="00134041">
        <w:rPr>
          <w:sz w:val="26"/>
          <w:szCs w:val="26"/>
        </w:rPr>
        <w:t>therefrom</w:t>
      </w:r>
      <w:proofErr w:type="spellEnd"/>
      <w:r w:rsidRPr="00134041">
        <w:rPr>
          <w:sz w:val="26"/>
          <w:szCs w:val="26"/>
        </w:rPr>
        <w:t xml:space="preserve"> with intent to defraud his or her creditors, or to avoid the service of a summons, or keeps himself or herself concealed therein with like intent;</w:t>
      </w:r>
    </w:p>
    <w:p w:rsidR="00134041" w:rsidRPr="00134041" w:rsidRDefault="00134041" w:rsidP="00134041">
      <w:pPr>
        <w:shd w:val="clear" w:color="auto" w:fill="FFFFFF"/>
        <w:spacing w:line="240" w:lineRule="auto"/>
        <w:ind w:left="720" w:right="720"/>
        <w:rPr>
          <w:sz w:val="26"/>
          <w:szCs w:val="26"/>
        </w:rPr>
      </w:pPr>
      <w:bookmarkStart w:id="8" w:name="IDEBF747086FA11E08E81FF75B7172C5C"/>
      <w:bookmarkStart w:id="9" w:name="IDEBA445A86FA11E08E81FF75B7172C5C"/>
      <w:bookmarkStart w:id="10" w:name="SP;d08f0000f5f67"/>
      <w:bookmarkEnd w:id="8"/>
      <w:bookmarkEnd w:id="9"/>
      <w:bookmarkEnd w:id="10"/>
      <w:r w:rsidRPr="00134041">
        <w:rPr>
          <w:sz w:val="26"/>
          <w:szCs w:val="26"/>
        </w:rPr>
        <w:t>(3) When the defendant is not a resident of the state, but has property therein and the court has jurisdiction of the subject of the action;</w:t>
      </w:r>
      <w:bookmarkStart w:id="11" w:name="IDEBF747186FA11E08E81FF75B7172C5C"/>
      <w:bookmarkStart w:id="12" w:name="IDEBA445B86FA11E08E81FF75B7172C5C"/>
      <w:bookmarkEnd w:id="11"/>
      <w:bookmarkEnd w:id="12"/>
    </w:p>
    <w:p w:rsidR="00134041" w:rsidRPr="00134041" w:rsidRDefault="00134041" w:rsidP="00134041">
      <w:pPr>
        <w:shd w:val="clear" w:color="auto" w:fill="FFFFFF"/>
        <w:spacing w:line="240" w:lineRule="auto"/>
        <w:ind w:left="720" w:right="720"/>
        <w:rPr>
          <w:sz w:val="26"/>
          <w:szCs w:val="26"/>
        </w:rPr>
      </w:pPr>
      <w:bookmarkStart w:id="13" w:name="SP;0bd500007a412"/>
      <w:bookmarkEnd w:id="13"/>
      <w:r w:rsidRPr="00134041">
        <w:rPr>
          <w:sz w:val="26"/>
          <w:szCs w:val="26"/>
        </w:rPr>
        <w:t>(4) When the action is for (a) establishment or modification of a parenting plan or residential schedule; or (b) dissolution of marriage, legal separation, or declaration of invalidity, in the cases prescribed by law;</w:t>
      </w:r>
    </w:p>
    <w:p w:rsidR="00134041" w:rsidRPr="00134041" w:rsidRDefault="00134041" w:rsidP="00134041">
      <w:pPr>
        <w:shd w:val="clear" w:color="auto" w:fill="FFFFFF"/>
        <w:spacing w:line="240" w:lineRule="auto"/>
        <w:ind w:left="720" w:right="720"/>
        <w:rPr>
          <w:sz w:val="26"/>
          <w:szCs w:val="26"/>
        </w:rPr>
      </w:pPr>
      <w:bookmarkStart w:id="14" w:name="IDEBF747286FA11E08E81FF75B7172C5C"/>
      <w:bookmarkStart w:id="15" w:name="IDEBA445C86FA11E08E81FF75B7172C5C"/>
      <w:bookmarkStart w:id="16" w:name="SP;362c000048fd7"/>
      <w:bookmarkEnd w:id="14"/>
      <w:bookmarkEnd w:id="15"/>
      <w:bookmarkEnd w:id="16"/>
      <w:r w:rsidRPr="00134041">
        <w:rPr>
          <w:sz w:val="26"/>
          <w:szCs w:val="26"/>
        </w:rPr>
        <w:t xml:space="preserve">(5) When the action is for </w:t>
      </w:r>
      <w:proofErr w:type="spellStart"/>
      <w:r w:rsidRPr="00134041">
        <w:rPr>
          <w:sz w:val="26"/>
          <w:szCs w:val="26"/>
        </w:rPr>
        <w:t>nonparental</w:t>
      </w:r>
      <w:proofErr w:type="spellEnd"/>
      <w:r w:rsidRPr="00134041">
        <w:rPr>
          <w:sz w:val="26"/>
          <w:szCs w:val="26"/>
        </w:rPr>
        <w:t xml:space="preserve"> custody under chapter 26.10 RCW and the child is in the physical custody of the petitioner;</w:t>
      </w:r>
      <w:bookmarkStart w:id="17" w:name="IDEBF9B8086FA11E08E81FF75B7172C5C"/>
      <w:bookmarkStart w:id="18" w:name="IDEBA6B6086FA11E08E81FF75B7172C5C"/>
      <w:bookmarkEnd w:id="17"/>
      <w:bookmarkEnd w:id="18"/>
    </w:p>
    <w:p w:rsidR="00134041" w:rsidRPr="00134041" w:rsidRDefault="00134041" w:rsidP="00134041">
      <w:pPr>
        <w:shd w:val="clear" w:color="auto" w:fill="FFFFFF"/>
        <w:spacing w:line="240" w:lineRule="auto"/>
        <w:ind w:left="720" w:right="720"/>
        <w:rPr>
          <w:sz w:val="26"/>
          <w:szCs w:val="26"/>
        </w:rPr>
      </w:pPr>
      <w:bookmarkStart w:id="19" w:name="SP;1e9a0000fd6a3"/>
      <w:bookmarkEnd w:id="19"/>
      <w:r w:rsidRPr="00134041">
        <w:rPr>
          <w:sz w:val="26"/>
          <w:szCs w:val="26"/>
        </w:rPr>
        <w:t>(6) When the subject of the action is real or personal property in this state, and the defendant has or claims a lien or interest, actual or contingent, therein, or the relief demanded consists wholly, or partly, in excluding the defendant from any interest or lien therein;</w:t>
      </w:r>
      <w:bookmarkStart w:id="20" w:name="IDEBF9B8186FA11E08E81FF75B7172C5C"/>
      <w:bookmarkStart w:id="21" w:name="IDEBA6B6186FA11E08E81FF75B7172C5C"/>
      <w:bookmarkStart w:id="22" w:name="SP;794b00004e3d1"/>
      <w:bookmarkEnd w:id="20"/>
      <w:bookmarkEnd w:id="21"/>
      <w:bookmarkEnd w:id="22"/>
    </w:p>
    <w:p w:rsidR="00134041" w:rsidRPr="00134041" w:rsidRDefault="00134041" w:rsidP="00134041">
      <w:pPr>
        <w:shd w:val="clear" w:color="auto" w:fill="FFFFFF"/>
        <w:spacing w:line="240" w:lineRule="auto"/>
        <w:ind w:left="720" w:right="720"/>
        <w:rPr>
          <w:sz w:val="26"/>
          <w:szCs w:val="26"/>
        </w:rPr>
      </w:pPr>
      <w:r w:rsidRPr="00134041">
        <w:rPr>
          <w:sz w:val="26"/>
          <w:szCs w:val="26"/>
        </w:rPr>
        <w:t>(7) When the action is to foreclose, satisfy, or redeem from a mortgage, or to enforce a lien of any kind on real estate in the county where the action is brought, or satisfy or redeem from the same;</w:t>
      </w:r>
    </w:p>
    <w:p w:rsidR="00134041" w:rsidRPr="00134041" w:rsidRDefault="00134041" w:rsidP="00134041">
      <w:pPr>
        <w:shd w:val="clear" w:color="auto" w:fill="FFFFFF"/>
        <w:spacing w:line="240" w:lineRule="auto"/>
        <w:ind w:left="720" w:right="720"/>
        <w:rPr>
          <w:sz w:val="26"/>
          <w:szCs w:val="26"/>
        </w:rPr>
      </w:pPr>
      <w:bookmarkStart w:id="23" w:name="IDEBF9B8286FA11E08E81FF75B7172C5C"/>
      <w:bookmarkStart w:id="24" w:name="IDEBA6B6286FA11E08E81FF75B7172C5C"/>
      <w:bookmarkStart w:id="25" w:name="SP;23450000ab4d2"/>
      <w:bookmarkEnd w:id="23"/>
      <w:bookmarkEnd w:id="24"/>
      <w:bookmarkEnd w:id="25"/>
      <w:r w:rsidRPr="00134041">
        <w:rPr>
          <w:sz w:val="26"/>
          <w:szCs w:val="26"/>
        </w:rPr>
        <w:t>(8) When the action is against any corporation, whether private or municipal, organized under the laws of the state, and the proper officers on whom to make service do not exist or cannot be found;</w:t>
      </w:r>
      <w:bookmarkStart w:id="26" w:name="IDEC6042086FA11E08E81FF75B7172C5C"/>
      <w:bookmarkStart w:id="27" w:name="IDEBA6B6386FA11E08E81FF75B7172C5C"/>
      <w:bookmarkEnd w:id="26"/>
      <w:bookmarkEnd w:id="27"/>
    </w:p>
    <w:p w:rsidR="00134041" w:rsidRDefault="00134041" w:rsidP="00134041">
      <w:pPr>
        <w:shd w:val="clear" w:color="auto" w:fill="FFFFFF"/>
        <w:spacing w:line="240" w:lineRule="auto"/>
        <w:ind w:left="720" w:right="720"/>
      </w:pPr>
      <w:bookmarkStart w:id="28" w:name="SP;e5e400002dc26"/>
      <w:bookmarkEnd w:id="28"/>
      <w:r w:rsidRPr="00134041">
        <w:rPr>
          <w:sz w:val="26"/>
          <w:szCs w:val="26"/>
        </w:rPr>
        <w:lastRenderedPageBreak/>
        <w:t>(9) When the action is brought under </w:t>
      </w:r>
      <w:hyperlink r:id="rId11" w:tgtFrame="_top" w:history="1">
        <w:r w:rsidRPr="00134041">
          <w:rPr>
            <w:sz w:val="26"/>
            <w:szCs w:val="26"/>
          </w:rPr>
          <w:t>RCW 4.08.160</w:t>
        </w:r>
      </w:hyperlink>
      <w:r w:rsidRPr="00134041">
        <w:rPr>
          <w:sz w:val="26"/>
          <w:szCs w:val="26"/>
        </w:rPr>
        <w:t> and </w:t>
      </w:r>
      <w:hyperlink r:id="rId12" w:tgtFrame="_top" w:history="1">
        <w:r w:rsidRPr="00134041">
          <w:rPr>
            <w:sz w:val="26"/>
            <w:szCs w:val="26"/>
          </w:rPr>
          <w:t>4.08.170</w:t>
        </w:r>
      </w:hyperlink>
      <w:r w:rsidRPr="00134041">
        <w:rPr>
          <w:sz w:val="26"/>
          <w:szCs w:val="26"/>
        </w:rPr>
        <w:t> to determine conflicting claims to property in this state.</w:t>
      </w:r>
    </w:p>
    <w:p w:rsidR="00134041" w:rsidRDefault="00134041" w:rsidP="005611E2">
      <w:pPr>
        <w:spacing w:line="360" w:lineRule="auto"/>
        <w:ind w:left="720" w:right="720"/>
        <w:rPr>
          <w:b/>
        </w:rPr>
      </w:pPr>
    </w:p>
    <w:p w:rsidR="005611E2" w:rsidRPr="00134041" w:rsidRDefault="00714194" w:rsidP="00134041">
      <w:pPr>
        <w:spacing w:line="240" w:lineRule="auto"/>
        <w:ind w:left="720" w:right="720"/>
        <w:rPr>
          <w:b/>
          <w:sz w:val="26"/>
          <w:szCs w:val="26"/>
        </w:rPr>
      </w:pPr>
      <w:hyperlink r:id="rId13" w:tgtFrame="_top" w:history="1">
        <w:r w:rsidR="005611E2" w:rsidRPr="00134041">
          <w:rPr>
            <w:b/>
            <w:bCs/>
            <w:sz w:val="26"/>
            <w:szCs w:val="26"/>
          </w:rPr>
          <w:t>4.28.140. Affidavit as to unknown heirs</w:t>
        </w:r>
      </w:hyperlink>
    </w:p>
    <w:p w:rsidR="005611E2" w:rsidRDefault="005611E2" w:rsidP="00134041">
      <w:pPr>
        <w:shd w:val="clear" w:color="auto" w:fill="FFFFFF"/>
        <w:spacing w:line="240" w:lineRule="auto"/>
        <w:ind w:left="720" w:right="720"/>
        <w:rPr>
          <w:sz w:val="26"/>
          <w:szCs w:val="26"/>
        </w:rPr>
      </w:pPr>
      <w:r w:rsidRPr="00134041">
        <w:rPr>
          <w:sz w:val="26"/>
          <w:szCs w:val="26"/>
        </w:rPr>
        <w:t>Upon presenting an affidavit to the court or judge, showing to his or her satisfaction that the heirs of such deceased person are proper parties to the action, and that their names and residences cannot with use of reasonable diligence be ascertained, such court or judge may grant an order that service of the summons in such action be made on such “Unknown heirs” by publication thereof in the same manner as in actions against nonresident defendants.</w:t>
      </w:r>
    </w:p>
    <w:p w:rsidR="00134041" w:rsidRDefault="00134041" w:rsidP="00134041">
      <w:pPr>
        <w:shd w:val="clear" w:color="auto" w:fill="FFFFFF"/>
        <w:spacing w:line="240" w:lineRule="auto"/>
        <w:ind w:left="720" w:right="720"/>
        <w:rPr>
          <w:sz w:val="26"/>
          <w:szCs w:val="26"/>
        </w:rPr>
      </w:pPr>
    </w:p>
    <w:p w:rsidR="00134041" w:rsidRPr="00134041" w:rsidRDefault="00714194" w:rsidP="00134041">
      <w:pPr>
        <w:spacing w:line="240" w:lineRule="auto"/>
        <w:ind w:left="720" w:right="720"/>
        <w:rPr>
          <w:sz w:val="26"/>
          <w:szCs w:val="26"/>
        </w:rPr>
      </w:pPr>
      <w:hyperlink r:id="rId14" w:tgtFrame="_top" w:history="1">
        <w:r w:rsidR="00134041" w:rsidRPr="00134041">
          <w:rPr>
            <w:b/>
            <w:bCs/>
            <w:sz w:val="26"/>
            <w:szCs w:val="26"/>
          </w:rPr>
          <w:t>4.28.150. Title of cause--Unknown claimants--Service by publication</w:t>
        </w:r>
      </w:hyperlink>
      <w:bookmarkStart w:id="29" w:name="I0C7683823AD711E3A11FABB4807979F8"/>
      <w:bookmarkEnd w:id="29"/>
    </w:p>
    <w:p w:rsidR="00134041" w:rsidRPr="00134041" w:rsidRDefault="00134041" w:rsidP="00134041">
      <w:pPr>
        <w:shd w:val="clear" w:color="auto" w:fill="FFFFFF"/>
        <w:spacing w:line="240" w:lineRule="auto"/>
        <w:ind w:left="720" w:right="720"/>
        <w:rPr>
          <w:sz w:val="26"/>
          <w:szCs w:val="26"/>
        </w:rPr>
      </w:pPr>
      <w:r w:rsidRPr="00134041">
        <w:rPr>
          <w:sz w:val="26"/>
          <w:szCs w:val="26"/>
        </w:rPr>
        <w:t>In any action brought to determine any adverse claim, estate, lien, or interest in real property, or to quiet title to real property, the plaintiff may include as a defendant in such action, and insert in the title thereof, in addition to the names of such persons or parties as appear of record to have, and other persons or parties who are known to have, some title, claim, estate, lien, or interest in the lands in controversy, the following, viz.: “Also all other persons or parties unknown claiming any right, title, estate, lien, or interest in the real estate described in the complaint herein.” And service of summons may be had upon all such unknown persons or parties defendant by publication as provided by law in case of nonresident defendants.</w:t>
      </w:r>
    </w:p>
    <w:p w:rsidR="004D0029" w:rsidRDefault="004D0029" w:rsidP="004D0029">
      <w:pPr>
        <w:tabs>
          <w:tab w:val="left" w:pos="720"/>
          <w:tab w:val="left" w:pos="1440"/>
          <w:tab w:val="left" w:pos="2160"/>
        </w:tabs>
        <w:spacing w:line="240" w:lineRule="auto"/>
        <w:ind w:right="58"/>
        <w:rPr>
          <w:sz w:val="28"/>
        </w:rPr>
      </w:pPr>
    </w:p>
    <w:p w:rsidR="00DF74F3" w:rsidRDefault="00DF74F3" w:rsidP="00DF74F3">
      <w:pPr>
        <w:tabs>
          <w:tab w:val="left" w:pos="720"/>
          <w:tab w:val="left" w:pos="1440"/>
          <w:tab w:val="left" w:pos="2160"/>
        </w:tabs>
        <w:spacing w:line="360" w:lineRule="auto"/>
        <w:ind w:right="58"/>
        <w:rPr>
          <w:sz w:val="28"/>
          <w:szCs w:val="28"/>
        </w:rPr>
      </w:pPr>
      <w:r w:rsidRPr="00DF74F3">
        <w:rPr>
          <w:sz w:val="28"/>
        </w:rPr>
        <w:tab/>
      </w:r>
      <w:r w:rsidR="00134041">
        <w:rPr>
          <w:b/>
          <w:sz w:val="28"/>
        </w:rPr>
        <w:t>E</w:t>
      </w:r>
      <w:r w:rsidRPr="00134041">
        <w:rPr>
          <w:b/>
          <w:sz w:val="28"/>
        </w:rPr>
        <w:t>.</w:t>
      </w:r>
      <w:r w:rsidRPr="00134041">
        <w:rPr>
          <w:b/>
          <w:sz w:val="28"/>
        </w:rPr>
        <w:tab/>
        <w:t>Discussion.</w:t>
      </w:r>
      <w:r>
        <w:rPr>
          <w:sz w:val="28"/>
        </w:rPr>
        <w:t xml:space="preserve">  </w:t>
      </w:r>
      <w:r w:rsidRPr="00DF74F3">
        <w:rPr>
          <w:sz w:val="28"/>
          <w:szCs w:val="28"/>
        </w:rPr>
        <w:t>The Court Rule allows Unknown Heirs (and all other persons, etc.) to be made defendants. The Statute allows an affidavit as to unknown heirs to support an order for service by publication on the unknown heirs, but does not address all other persons, etc. But all other persons, etc. who are made defendants can be served by publication under related statutes, RCW 4.28.100(6) and (7).</w:t>
      </w:r>
    </w:p>
    <w:p w:rsidR="00DF74F3" w:rsidRDefault="00DF74F3" w:rsidP="00DF74F3">
      <w:pPr>
        <w:tabs>
          <w:tab w:val="left" w:pos="720"/>
          <w:tab w:val="left" w:pos="1440"/>
          <w:tab w:val="left" w:pos="2160"/>
        </w:tabs>
        <w:spacing w:line="360" w:lineRule="auto"/>
        <w:ind w:right="58"/>
        <w:rPr>
          <w:sz w:val="28"/>
          <w:szCs w:val="28"/>
        </w:rPr>
      </w:pPr>
      <w:r>
        <w:rPr>
          <w:sz w:val="28"/>
          <w:szCs w:val="28"/>
        </w:rPr>
        <w:tab/>
        <w:t xml:space="preserve">The provisions of the title vesting statute, RCW 11.04.250, provide for vesting, subject to prior claims of creditors, for administrative expenses, and for family support. In this matter, we believe that none of these exist.  However, if they did exist, they would still be subject to the prior assessment lien of Plaintiff, </w:t>
      </w:r>
      <w:r>
        <w:rPr>
          <w:sz w:val="28"/>
          <w:szCs w:val="28"/>
        </w:rPr>
        <w:lastRenderedPageBreak/>
        <w:t xml:space="preserve">which it can foreclose directly as discussed above. So if no deficiency judgment is awarded against any party, and the result of the action is the foreclosure of the lien, then there is no source of assets that the action will reach that would even theoretically be used for payment of debts, administrative expenses, family support, or anything else. </w:t>
      </w:r>
    </w:p>
    <w:p w:rsidR="00134041" w:rsidRDefault="00134041" w:rsidP="00DF74F3">
      <w:pPr>
        <w:tabs>
          <w:tab w:val="left" w:pos="720"/>
          <w:tab w:val="left" w:pos="1440"/>
          <w:tab w:val="left" w:pos="2160"/>
        </w:tabs>
        <w:spacing w:line="360" w:lineRule="auto"/>
        <w:ind w:right="58"/>
        <w:rPr>
          <w:sz w:val="28"/>
          <w:szCs w:val="28"/>
        </w:rPr>
      </w:pPr>
      <w:r>
        <w:rPr>
          <w:sz w:val="28"/>
          <w:szCs w:val="28"/>
        </w:rPr>
        <w:tab/>
        <w:t xml:space="preserve">Finally, under the general statutes, no order authorizing publication is needed, but under the statute that provides for service on unknown heirs, RCW 4.28.140, an order is required. </w:t>
      </w:r>
    </w:p>
    <w:p w:rsidR="000E1EBA" w:rsidRDefault="00134041" w:rsidP="00134041">
      <w:pPr>
        <w:tabs>
          <w:tab w:val="left" w:pos="1100"/>
        </w:tabs>
        <w:spacing w:line="480" w:lineRule="exact"/>
        <w:ind w:right="144"/>
        <w:rPr>
          <w:sz w:val="28"/>
        </w:rPr>
      </w:pPr>
      <w:r>
        <w:rPr>
          <w:sz w:val="28"/>
          <w:szCs w:val="28"/>
        </w:rPr>
        <w:tab/>
      </w:r>
      <w:r w:rsidRPr="004179D0">
        <w:rPr>
          <w:b/>
          <w:sz w:val="28"/>
          <w:szCs w:val="28"/>
        </w:rPr>
        <w:t>F.</w:t>
      </w:r>
      <w:r w:rsidRPr="004179D0">
        <w:rPr>
          <w:b/>
          <w:sz w:val="28"/>
          <w:szCs w:val="28"/>
        </w:rPr>
        <w:tab/>
        <w:t>Summary.</w:t>
      </w:r>
      <w:r>
        <w:rPr>
          <w:sz w:val="28"/>
          <w:szCs w:val="28"/>
        </w:rPr>
        <w:t xml:space="preserve"> </w:t>
      </w:r>
      <w:r w:rsidR="000E1EBA">
        <w:rPr>
          <w:sz w:val="28"/>
          <w:szCs w:val="28"/>
        </w:rPr>
        <w:t xml:space="preserve"> </w:t>
      </w:r>
      <w:r>
        <w:rPr>
          <w:sz w:val="28"/>
          <w:szCs w:val="28"/>
        </w:rPr>
        <w:t xml:space="preserve">Plaintiff is entitled to an Order for Service by Publication on </w:t>
      </w:r>
      <w:r>
        <w:rPr>
          <w:sz w:val="28"/>
        </w:rPr>
        <w:t>the unknown heirs of Rosemary Wilson; and</w:t>
      </w:r>
      <w:r w:rsidR="000E1EBA">
        <w:rPr>
          <w:sz w:val="28"/>
        </w:rPr>
        <w:t xml:space="preserve"> </w:t>
      </w:r>
      <w:r>
        <w:rPr>
          <w:sz w:val="28"/>
        </w:rPr>
        <w:t xml:space="preserve">all other persons or parties unknown claiming any right, title or </w:t>
      </w:r>
      <w:r>
        <w:rPr>
          <w:sz w:val="28"/>
        </w:rPr>
        <w:tab/>
        <w:t>interest in the real estate described in the Complaint herein.</w:t>
      </w:r>
      <w:r w:rsidR="000E1EBA">
        <w:rPr>
          <w:sz w:val="28"/>
        </w:rPr>
        <w:t xml:space="preserve"> Such an Order is consistent with applicable court rules and statutes, and will not result in any disadvantage to any heir or any other potential party.</w:t>
      </w:r>
    </w:p>
    <w:p w:rsidR="000E1EBA" w:rsidRDefault="000E1EBA" w:rsidP="00134041">
      <w:pPr>
        <w:tabs>
          <w:tab w:val="left" w:pos="1100"/>
        </w:tabs>
        <w:spacing w:line="480" w:lineRule="exact"/>
        <w:ind w:right="144"/>
        <w:rPr>
          <w:sz w:val="28"/>
        </w:rPr>
      </w:pPr>
    </w:p>
    <w:p w:rsidR="000E1EBA" w:rsidRDefault="000E1EBA" w:rsidP="00134041">
      <w:pPr>
        <w:tabs>
          <w:tab w:val="left" w:pos="1100"/>
        </w:tabs>
        <w:spacing w:line="480" w:lineRule="exact"/>
        <w:ind w:right="144"/>
        <w:rPr>
          <w:sz w:val="28"/>
        </w:rPr>
      </w:pPr>
      <w:r>
        <w:rPr>
          <w:sz w:val="28"/>
        </w:rPr>
        <w:tab/>
        <w:t>Respectfully submitted this _____ day of ______, 2014.</w:t>
      </w:r>
    </w:p>
    <w:p w:rsidR="000E1EBA" w:rsidRDefault="000E1EBA" w:rsidP="00134041">
      <w:pPr>
        <w:tabs>
          <w:tab w:val="left" w:pos="1100"/>
        </w:tabs>
        <w:spacing w:line="480" w:lineRule="exact"/>
        <w:ind w:right="144"/>
        <w:rPr>
          <w:sz w:val="28"/>
        </w:rPr>
      </w:pPr>
    </w:p>
    <w:p w:rsidR="000E1EBA" w:rsidRDefault="000E1EBA" w:rsidP="000E1EBA">
      <w:pPr>
        <w:tabs>
          <w:tab w:val="left" w:pos="1100"/>
        </w:tabs>
        <w:spacing w:line="240" w:lineRule="auto"/>
        <w:ind w:right="144"/>
        <w:rPr>
          <w:sz w:val="28"/>
        </w:rPr>
      </w:pPr>
      <w:r>
        <w:rPr>
          <w:sz w:val="28"/>
        </w:rPr>
        <w:tab/>
      </w:r>
      <w:r>
        <w:rPr>
          <w:sz w:val="28"/>
        </w:rPr>
        <w:tab/>
      </w:r>
      <w:r>
        <w:rPr>
          <w:sz w:val="28"/>
        </w:rPr>
        <w:tab/>
      </w:r>
      <w:r>
        <w:rPr>
          <w:sz w:val="28"/>
        </w:rPr>
        <w:tab/>
      </w:r>
      <w:r>
        <w:rPr>
          <w:sz w:val="28"/>
        </w:rPr>
        <w:tab/>
        <w:t>_______________________________________</w:t>
      </w:r>
    </w:p>
    <w:p w:rsidR="000E1EBA" w:rsidRDefault="000E1EBA" w:rsidP="000E1EBA">
      <w:pPr>
        <w:tabs>
          <w:tab w:val="left" w:pos="1100"/>
        </w:tabs>
        <w:spacing w:line="240" w:lineRule="auto"/>
        <w:ind w:right="144"/>
        <w:rPr>
          <w:sz w:val="28"/>
        </w:rPr>
      </w:pPr>
      <w:r>
        <w:rPr>
          <w:sz w:val="28"/>
        </w:rPr>
        <w:tab/>
      </w:r>
      <w:r>
        <w:rPr>
          <w:sz w:val="28"/>
        </w:rPr>
        <w:tab/>
      </w:r>
      <w:r>
        <w:rPr>
          <w:sz w:val="28"/>
        </w:rPr>
        <w:tab/>
      </w:r>
      <w:r>
        <w:rPr>
          <w:sz w:val="28"/>
        </w:rPr>
        <w:tab/>
      </w:r>
      <w:r>
        <w:rPr>
          <w:sz w:val="28"/>
        </w:rPr>
        <w:tab/>
        <w:t>Robert D. Wilson-Hoss, WSBA #8620</w:t>
      </w:r>
    </w:p>
    <w:p w:rsidR="00134041" w:rsidRPr="004D0029" w:rsidRDefault="000E1EBA" w:rsidP="000E1EBA">
      <w:pPr>
        <w:tabs>
          <w:tab w:val="left" w:pos="1100"/>
        </w:tabs>
        <w:spacing w:line="240" w:lineRule="auto"/>
        <w:ind w:right="144"/>
        <w:rPr>
          <w:sz w:val="28"/>
        </w:rPr>
      </w:pPr>
      <w:r>
        <w:rPr>
          <w:sz w:val="28"/>
        </w:rPr>
        <w:tab/>
      </w:r>
      <w:r>
        <w:rPr>
          <w:sz w:val="28"/>
        </w:rPr>
        <w:tab/>
      </w:r>
      <w:r>
        <w:rPr>
          <w:sz w:val="28"/>
        </w:rPr>
        <w:tab/>
      </w:r>
      <w:r>
        <w:rPr>
          <w:sz w:val="28"/>
        </w:rPr>
        <w:tab/>
      </w:r>
      <w:r>
        <w:rPr>
          <w:sz w:val="28"/>
        </w:rPr>
        <w:tab/>
        <w:t xml:space="preserve">Attorney for Plaintiff  </w:t>
      </w:r>
    </w:p>
    <w:p w:rsidR="00134041" w:rsidRPr="00DF74F3" w:rsidRDefault="00134041" w:rsidP="00DF74F3">
      <w:pPr>
        <w:tabs>
          <w:tab w:val="left" w:pos="720"/>
          <w:tab w:val="left" w:pos="1440"/>
          <w:tab w:val="left" w:pos="2160"/>
        </w:tabs>
        <w:spacing w:line="360" w:lineRule="auto"/>
        <w:ind w:right="58"/>
        <w:rPr>
          <w:sz w:val="28"/>
        </w:rPr>
      </w:pPr>
    </w:p>
    <w:sectPr w:rsidR="00134041" w:rsidRPr="00DF74F3" w:rsidSect="00D26F5E">
      <w:headerReference w:type="default" r:id="rId15"/>
      <w:footerReference w:type="default" r:id="rId16"/>
      <w:pgSz w:w="12240" w:h="15840" w:code="1"/>
      <w:pgMar w:top="1440" w:right="1440" w:bottom="1440" w:left="1584" w:header="0"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41" w:rsidRDefault="00134041" w:rsidP="00B6112D">
      <w:pPr>
        <w:spacing w:line="240" w:lineRule="auto"/>
      </w:pPr>
      <w:r>
        <w:separator/>
      </w:r>
    </w:p>
  </w:endnote>
  <w:endnote w:type="continuationSeparator" w:id="0">
    <w:p w:rsidR="00134041" w:rsidRDefault="00134041" w:rsidP="00B61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8" w:type="dxa"/>
      <w:tblLayout w:type="fixed"/>
      <w:tblLook w:val="0000"/>
    </w:tblPr>
    <w:tblGrid>
      <w:gridCol w:w="4108"/>
      <w:gridCol w:w="1800"/>
      <w:gridCol w:w="900"/>
      <w:gridCol w:w="2500"/>
    </w:tblGrid>
    <w:tr w:rsidR="00134041">
      <w:trPr>
        <w:trHeight w:val="144"/>
      </w:trPr>
      <w:tc>
        <w:tcPr>
          <w:tcW w:w="4108" w:type="dxa"/>
          <w:vAlign w:val="bottom"/>
        </w:tcPr>
        <w:p w:rsidR="00134041" w:rsidRPr="00134041" w:rsidRDefault="00134041" w:rsidP="00134041">
          <w:pPr>
            <w:spacing w:line="240" w:lineRule="auto"/>
            <w:rPr>
              <w:sz w:val="22"/>
              <w:szCs w:val="22"/>
            </w:rPr>
          </w:pPr>
          <w:r w:rsidRPr="00134041">
            <w:rPr>
              <w:sz w:val="22"/>
              <w:szCs w:val="22"/>
            </w:rPr>
            <w:t xml:space="preserve">MOTION AND </w:t>
          </w:r>
        </w:p>
        <w:p w:rsidR="00134041" w:rsidRPr="00134041" w:rsidRDefault="00134041" w:rsidP="00134041">
          <w:pPr>
            <w:spacing w:line="240" w:lineRule="auto"/>
            <w:rPr>
              <w:sz w:val="22"/>
              <w:szCs w:val="22"/>
            </w:rPr>
          </w:pPr>
          <w:r w:rsidRPr="00134041">
            <w:rPr>
              <w:sz w:val="22"/>
              <w:szCs w:val="22"/>
            </w:rPr>
            <w:t xml:space="preserve">MEMORANDUM </w:t>
          </w:r>
        </w:p>
        <w:p w:rsidR="00134041" w:rsidRPr="004D0029" w:rsidRDefault="00134041" w:rsidP="00134041">
          <w:pPr>
            <w:pStyle w:val="Footer"/>
            <w:tabs>
              <w:tab w:val="clear" w:pos="4320"/>
              <w:tab w:val="clear" w:pos="8640"/>
            </w:tabs>
            <w:spacing w:line="240" w:lineRule="auto"/>
            <w:rPr>
              <w:sz w:val="22"/>
              <w:szCs w:val="22"/>
            </w:rPr>
          </w:pPr>
          <w:r w:rsidRPr="00134041">
            <w:rPr>
              <w:sz w:val="22"/>
              <w:szCs w:val="22"/>
            </w:rPr>
            <w:t>FOR SERVICE BY PUBLICATION</w:t>
          </w:r>
        </w:p>
      </w:tc>
      <w:tc>
        <w:tcPr>
          <w:tcW w:w="1800" w:type="dxa"/>
          <w:tcBorders>
            <w:left w:val="nil"/>
          </w:tcBorders>
        </w:tcPr>
        <w:p w:rsidR="00134041" w:rsidRDefault="00134041">
          <w:pPr>
            <w:pStyle w:val="Footer"/>
            <w:tabs>
              <w:tab w:val="clear" w:pos="4320"/>
              <w:tab w:val="clear" w:pos="8640"/>
            </w:tabs>
            <w:spacing w:line="240" w:lineRule="auto"/>
            <w:rPr>
              <w:sz w:val="24"/>
            </w:rPr>
          </w:pPr>
          <w:r>
            <w:rPr>
              <w:sz w:val="24"/>
            </w:rPr>
            <w:t xml:space="preserve">Page </w:t>
          </w:r>
          <w:r w:rsidR="00714194">
            <w:rPr>
              <w:sz w:val="24"/>
            </w:rPr>
            <w:fldChar w:fldCharType="begin"/>
          </w:r>
          <w:r>
            <w:rPr>
              <w:sz w:val="24"/>
            </w:rPr>
            <w:instrText xml:space="preserve"> PAGE </w:instrText>
          </w:r>
          <w:r w:rsidR="00714194">
            <w:rPr>
              <w:sz w:val="24"/>
            </w:rPr>
            <w:fldChar w:fldCharType="separate"/>
          </w:r>
          <w:r w:rsidR="004179D0">
            <w:rPr>
              <w:noProof/>
              <w:sz w:val="24"/>
            </w:rPr>
            <w:t>9</w:t>
          </w:r>
          <w:r w:rsidR="00714194">
            <w:rPr>
              <w:sz w:val="24"/>
            </w:rPr>
            <w:fldChar w:fldCharType="end"/>
          </w:r>
          <w:r>
            <w:rPr>
              <w:sz w:val="24"/>
            </w:rPr>
            <w:t xml:space="preserve"> of </w:t>
          </w:r>
          <w:r w:rsidR="00714194">
            <w:rPr>
              <w:rStyle w:val="PageNumber"/>
              <w:sz w:val="24"/>
            </w:rPr>
            <w:fldChar w:fldCharType="begin"/>
          </w:r>
          <w:r>
            <w:rPr>
              <w:rStyle w:val="PageNumber"/>
              <w:sz w:val="24"/>
            </w:rPr>
            <w:instrText xml:space="preserve"> NUMPAGES </w:instrText>
          </w:r>
          <w:r w:rsidR="00714194">
            <w:rPr>
              <w:rStyle w:val="PageNumber"/>
              <w:sz w:val="24"/>
            </w:rPr>
            <w:fldChar w:fldCharType="separate"/>
          </w:r>
          <w:r w:rsidR="004179D0">
            <w:rPr>
              <w:rStyle w:val="PageNumber"/>
              <w:noProof/>
              <w:sz w:val="24"/>
            </w:rPr>
            <w:t>9</w:t>
          </w:r>
          <w:r w:rsidR="00714194">
            <w:rPr>
              <w:rStyle w:val="PageNumber"/>
              <w:sz w:val="24"/>
            </w:rPr>
            <w:fldChar w:fldCharType="end"/>
          </w:r>
        </w:p>
      </w:tc>
      <w:tc>
        <w:tcPr>
          <w:tcW w:w="900" w:type="dxa"/>
          <w:vAlign w:val="bottom"/>
        </w:tcPr>
        <w:p w:rsidR="00134041" w:rsidRDefault="00134041">
          <w:pPr>
            <w:pStyle w:val="Footer"/>
            <w:tabs>
              <w:tab w:val="clear" w:pos="4320"/>
              <w:tab w:val="clear" w:pos="8640"/>
            </w:tabs>
            <w:spacing w:line="240" w:lineRule="auto"/>
            <w:jc w:val="center"/>
            <w:rPr>
              <w:smallCaps/>
            </w:rPr>
          </w:pPr>
        </w:p>
      </w:tc>
      <w:tc>
        <w:tcPr>
          <w:tcW w:w="2500" w:type="dxa"/>
          <w:vAlign w:val="bottom"/>
        </w:tcPr>
        <w:p w:rsidR="00134041" w:rsidRDefault="00134041">
          <w:pPr>
            <w:pStyle w:val="FirmName"/>
            <w:spacing w:line="240" w:lineRule="exact"/>
            <w:rPr>
              <w:b/>
              <w:bCs/>
              <w:sz w:val="16"/>
            </w:rPr>
          </w:pPr>
        </w:p>
      </w:tc>
    </w:tr>
    <w:tr w:rsidR="00134041">
      <w:trPr>
        <w:trHeight w:val="816"/>
      </w:trPr>
      <w:tc>
        <w:tcPr>
          <w:tcW w:w="4108" w:type="dxa"/>
          <w:vAlign w:val="bottom"/>
        </w:tcPr>
        <w:p w:rsidR="00134041" w:rsidRDefault="00134041">
          <w:pPr>
            <w:pStyle w:val="Footer"/>
            <w:tabs>
              <w:tab w:val="clear" w:pos="4320"/>
              <w:tab w:val="clear" w:pos="8640"/>
            </w:tabs>
            <w:spacing w:line="240" w:lineRule="auto"/>
            <w:rPr>
              <w:smallCaps/>
              <w:sz w:val="24"/>
            </w:rPr>
          </w:pPr>
        </w:p>
      </w:tc>
      <w:tc>
        <w:tcPr>
          <w:tcW w:w="1800" w:type="dxa"/>
          <w:tcBorders>
            <w:left w:val="nil"/>
          </w:tcBorders>
          <w:vAlign w:val="bottom"/>
        </w:tcPr>
        <w:p w:rsidR="00134041" w:rsidRDefault="00134041">
          <w:pPr>
            <w:pStyle w:val="Footer"/>
            <w:tabs>
              <w:tab w:val="clear" w:pos="4320"/>
              <w:tab w:val="clear" w:pos="8640"/>
            </w:tabs>
            <w:spacing w:line="240" w:lineRule="auto"/>
            <w:jc w:val="center"/>
            <w:rPr>
              <w:smallCaps/>
              <w:sz w:val="24"/>
            </w:rPr>
          </w:pPr>
        </w:p>
      </w:tc>
      <w:tc>
        <w:tcPr>
          <w:tcW w:w="900" w:type="dxa"/>
          <w:vAlign w:val="bottom"/>
        </w:tcPr>
        <w:p w:rsidR="00134041" w:rsidRDefault="00134041">
          <w:pPr>
            <w:pStyle w:val="Footer"/>
            <w:tabs>
              <w:tab w:val="clear" w:pos="4320"/>
              <w:tab w:val="clear" w:pos="8640"/>
            </w:tabs>
            <w:spacing w:line="240" w:lineRule="auto"/>
            <w:jc w:val="center"/>
            <w:rPr>
              <w:smallCaps/>
            </w:rPr>
          </w:pPr>
        </w:p>
      </w:tc>
      <w:tc>
        <w:tcPr>
          <w:tcW w:w="2500" w:type="dxa"/>
          <w:vAlign w:val="bottom"/>
        </w:tcPr>
        <w:p w:rsidR="00134041" w:rsidRDefault="00134041">
          <w:pPr>
            <w:pStyle w:val="FirmName"/>
            <w:spacing w:line="240" w:lineRule="exact"/>
            <w:rPr>
              <w:b/>
              <w:bCs/>
              <w:sz w:val="16"/>
            </w:rPr>
          </w:pPr>
          <w:bookmarkStart w:id="30" w:name="FirmName"/>
          <w:bookmarkEnd w:id="30"/>
          <w:r>
            <w:rPr>
              <w:b/>
              <w:bCs/>
              <w:sz w:val="16"/>
            </w:rPr>
            <w:t>HOSS &amp; WILSON-HOSS, LLP</w:t>
          </w:r>
        </w:p>
        <w:p w:rsidR="00134041" w:rsidRDefault="00134041">
          <w:pPr>
            <w:pStyle w:val="FirmName"/>
            <w:spacing w:line="240" w:lineRule="auto"/>
            <w:rPr>
              <w:smallCaps/>
              <w:sz w:val="12"/>
            </w:rPr>
          </w:pPr>
          <w:r>
            <w:rPr>
              <w:smallCaps/>
              <w:sz w:val="12"/>
            </w:rPr>
            <w:t>ATTORNEYS AT LAW</w:t>
          </w:r>
        </w:p>
        <w:p w:rsidR="00134041" w:rsidRDefault="00134041">
          <w:pPr>
            <w:pStyle w:val="FirmName"/>
            <w:spacing w:line="240" w:lineRule="auto"/>
            <w:rPr>
              <w:smallCaps/>
              <w:sz w:val="12"/>
            </w:rPr>
          </w:pPr>
          <w:r>
            <w:rPr>
              <w:smallCaps/>
              <w:sz w:val="12"/>
            </w:rPr>
            <w:t>236 WEST BIRCH STREET</w:t>
          </w:r>
        </w:p>
        <w:p w:rsidR="00134041" w:rsidRDefault="00134041">
          <w:pPr>
            <w:pStyle w:val="FirmName"/>
            <w:spacing w:line="240" w:lineRule="auto"/>
            <w:rPr>
              <w:smallCaps/>
              <w:sz w:val="12"/>
            </w:rPr>
          </w:pPr>
          <w:r>
            <w:rPr>
              <w:smallCaps/>
              <w:sz w:val="12"/>
            </w:rPr>
            <w:t>SHELTON, WASHINGTON 98584</w:t>
          </w:r>
        </w:p>
        <w:p w:rsidR="00134041" w:rsidRDefault="00134041">
          <w:pPr>
            <w:pStyle w:val="FirmName"/>
            <w:spacing w:line="240" w:lineRule="auto"/>
            <w:rPr>
              <w:smallCaps/>
              <w:sz w:val="18"/>
            </w:rPr>
          </w:pPr>
          <w:r>
            <w:rPr>
              <w:smallCaps/>
              <w:sz w:val="12"/>
            </w:rPr>
            <w:t>(360) 426-2999 FAX 426-6715</w:t>
          </w:r>
        </w:p>
      </w:tc>
    </w:tr>
  </w:tbl>
  <w:p w:rsidR="00134041" w:rsidRDefault="00134041">
    <w:pPr>
      <w:pStyle w:val="Footer"/>
      <w:spacing w:line="1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41" w:rsidRDefault="00134041" w:rsidP="00B6112D">
      <w:pPr>
        <w:spacing w:line="240" w:lineRule="auto"/>
      </w:pPr>
      <w:r>
        <w:separator/>
      </w:r>
    </w:p>
  </w:footnote>
  <w:footnote w:type="continuationSeparator" w:id="0">
    <w:p w:rsidR="00134041" w:rsidRDefault="00134041" w:rsidP="00B611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41" w:rsidRDefault="00714194">
    <w:pPr>
      <w:pStyle w:val="Header"/>
    </w:pPr>
    <w:r>
      <w:rPr>
        <w:noProof/>
      </w:rPr>
      <w:pict>
        <v:line id="RightBorder" o:spid="_x0000_s1027" style="position:absolute;z-index:251658240;mso-position-horizontal-relative:margin;mso-position-vertical-relative:page" from="460pt,-2.8pt" to="460pt,792.8pt">
          <w10:wrap anchorx="margin" anchory="page"/>
        </v:line>
      </w:pict>
    </w:r>
    <w:r>
      <w:rPr>
        <w:noProof/>
      </w:rPr>
      <w:pict>
        <v:line id="LeftBorder1" o:spid="_x0000_s1025" style="position:absolute;z-index:251656192;mso-position-horizontal-relative:margin;mso-position-vertical-relative:page" from="-5pt,-2.8pt" to="-5pt,796pt">
          <w10:wrap anchorx="margin" anchory="page"/>
        </v:line>
      </w:pict>
    </w:r>
    <w:r>
      <w:rPr>
        <w:noProof/>
      </w:rPr>
      <w:pict>
        <v:shapetype id="_x0000_t202" coordsize="21600,21600" o:spt="202" path="m,l,21600r21600,l21600,xe">
          <v:stroke joinstyle="miter"/>
          <v:path gradientshapeok="t" o:connecttype="rect"/>
        </v:shapetype>
        <v:shape id="LineNumbers" o:spid="_x0000_s1028" type="#_x0000_t202" style="position:absolute;margin-left:-30pt;margin-top:-27.2pt;width:16pt;height:700.4pt;z-index:251659264;mso-position-horizontal-relative:margin;mso-position-vertical-relative:margin" stroked="f">
          <v:textbox style="mso-next-textbox:#LineNumbers;mso-rotate-with-shape:t" inset="0,8.64pt,0,0">
            <w:txbxContent>
              <w:p w:rsidR="00134041" w:rsidRDefault="00134041">
                <w:pPr>
                  <w:spacing w:before="360" w:line="480" w:lineRule="exact"/>
                  <w:jc w:val="right"/>
                  <w:rPr>
                    <w:sz w:val="28"/>
                  </w:rPr>
                </w:pPr>
                <w:r>
                  <w:rPr>
                    <w:sz w:val="28"/>
                  </w:rPr>
                  <w:t>1</w:t>
                </w:r>
              </w:p>
              <w:p w:rsidR="00134041" w:rsidRDefault="00134041">
                <w:pPr>
                  <w:spacing w:line="480" w:lineRule="exact"/>
                  <w:jc w:val="right"/>
                  <w:rPr>
                    <w:sz w:val="28"/>
                  </w:rPr>
                </w:pPr>
                <w:r>
                  <w:rPr>
                    <w:sz w:val="28"/>
                  </w:rPr>
                  <w:t>2</w:t>
                </w:r>
              </w:p>
              <w:p w:rsidR="00134041" w:rsidRDefault="00134041">
                <w:pPr>
                  <w:spacing w:line="480" w:lineRule="exact"/>
                  <w:jc w:val="right"/>
                  <w:rPr>
                    <w:sz w:val="28"/>
                  </w:rPr>
                </w:pPr>
                <w:r>
                  <w:rPr>
                    <w:sz w:val="28"/>
                  </w:rPr>
                  <w:t>3</w:t>
                </w:r>
              </w:p>
              <w:p w:rsidR="00134041" w:rsidRDefault="00134041">
                <w:pPr>
                  <w:spacing w:line="480" w:lineRule="exact"/>
                  <w:jc w:val="right"/>
                  <w:rPr>
                    <w:sz w:val="28"/>
                  </w:rPr>
                </w:pPr>
                <w:r>
                  <w:rPr>
                    <w:sz w:val="28"/>
                  </w:rPr>
                  <w:t>4</w:t>
                </w:r>
              </w:p>
              <w:p w:rsidR="00134041" w:rsidRDefault="00134041">
                <w:pPr>
                  <w:spacing w:line="480" w:lineRule="exact"/>
                  <w:jc w:val="right"/>
                  <w:rPr>
                    <w:sz w:val="28"/>
                  </w:rPr>
                </w:pPr>
                <w:r>
                  <w:rPr>
                    <w:sz w:val="28"/>
                  </w:rPr>
                  <w:t>5</w:t>
                </w:r>
              </w:p>
              <w:p w:rsidR="00134041" w:rsidRDefault="00134041">
                <w:pPr>
                  <w:spacing w:line="480" w:lineRule="exact"/>
                  <w:jc w:val="right"/>
                  <w:rPr>
                    <w:sz w:val="28"/>
                  </w:rPr>
                </w:pPr>
                <w:r>
                  <w:rPr>
                    <w:sz w:val="28"/>
                  </w:rPr>
                  <w:t>6</w:t>
                </w:r>
              </w:p>
              <w:p w:rsidR="00134041" w:rsidRDefault="00134041">
                <w:pPr>
                  <w:spacing w:line="480" w:lineRule="exact"/>
                  <w:jc w:val="right"/>
                  <w:rPr>
                    <w:sz w:val="28"/>
                  </w:rPr>
                </w:pPr>
                <w:r>
                  <w:rPr>
                    <w:sz w:val="28"/>
                  </w:rPr>
                  <w:t>7</w:t>
                </w:r>
              </w:p>
              <w:p w:rsidR="00134041" w:rsidRDefault="00134041">
                <w:pPr>
                  <w:spacing w:line="480" w:lineRule="exact"/>
                  <w:jc w:val="right"/>
                  <w:rPr>
                    <w:sz w:val="28"/>
                  </w:rPr>
                </w:pPr>
                <w:r>
                  <w:rPr>
                    <w:sz w:val="28"/>
                  </w:rPr>
                  <w:t>8</w:t>
                </w:r>
              </w:p>
              <w:p w:rsidR="00134041" w:rsidRDefault="00134041">
                <w:pPr>
                  <w:spacing w:line="480" w:lineRule="exact"/>
                  <w:jc w:val="right"/>
                  <w:rPr>
                    <w:sz w:val="28"/>
                  </w:rPr>
                </w:pPr>
                <w:r>
                  <w:rPr>
                    <w:sz w:val="28"/>
                  </w:rPr>
                  <w:t>9</w:t>
                </w:r>
              </w:p>
              <w:p w:rsidR="00134041" w:rsidRDefault="00134041">
                <w:pPr>
                  <w:spacing w:line="480" w:lineRule="exact"/>
                  <w:jc w:val="right"/>
                  <w:rPr>
                    <w:sz w:val="28"/>
                  </w:rPr>
                </w:pPr>
                <w:r>
                  <w:rPr>
                    <w:sz w:val="28"/>
                  </w:rPr>
                  <w:t>10</w:t>
                </w:r>
              </w:p>
              <w:p w:rsidR="00134041" w:rsidRDefault="00134041">
                <w:pPr>
                  <w:spacing w:line="480" w:lineRule="exact"/>
                  <w:jc w:val="right"/>
                  <w:rPr>
                    <w:sz w:val="28"/>
                  </w:rPr>
                </w:pPr>
                <w:r>
                  <w:rPr>
                    <w:sz w:val="28"/>
                  </w:rPr>
                  <w:t>11</w:t>
                </w:r>
              </w:p>
              <w:p w:rsidR="00134041" w:rsidRDefault="00134041">
                <w:pPr>
                  <w:spacing w:line="480" w:lineRule="exact"/>
                  <w:jc w:val="right"/>
                  <w:rPr>
                    <w:sz w:val="28"/>
                  </w:rPr>
                </w:pPr>
                <w:r>
                  <w:rPr>
                    <w:sz w:val="28"/>
                  </w:rPr>
                  <w:t>12</w:t>
                </w:r>
              </w:p>
              <w:p w:rsidR="00134041" w:rsidRDefault="00134041">
                <w:pPr>
                  <w:spacing w:line="480" w:lineRule="exact"/>
                  <w:jc w:val="right"/>
                  <w:rPr>
                    <w:sz w:val="28"/>
                  </w:rPr>
                </w:pPr>
                <w:r>
                  <w:rPr>
                    <w:sz w:val="28"/>
                  </w:rPr>
                  <w:t>13</w:t>
                </w:r>
              </w:p>
              <w:p w:rsidR="00134041" w:rsidRDefault="00134041">
                <w:pPr>
                  <w:spacing w:line="480" w:lineRule="exact"/>
                  <w:jc w:val="right"/>
                  <w:rPr>
                    <w:sz w:val="28"/>
                  </w:rPr>
                </w:pPr>
                <w:r>
                  <w:rPr>
                    <w:sz w:val="28"/>
                  </w:rPr>
                  <w:t>14</w:t>
                </w:r>
              </w:p>
              <w:p w:rsidR="00134041" w:rsidRDefault="00134041">
                <w:pPr>
                  <w:spacing w:line="480" w:lineRule="exact"/>
                  <w:jc w:val="right"/>
                  <w:rPr>
                    <w:sz w:val="28"/>
                  </w:rPr>
                </w:pPr>
                <w:r>
                  <w:rPr>
                    <w:sz w:val="28"/>
                  </w:rPr>
                  <w:t>15</w:t>
                </w:r>
              </w:p>
              <w:p w:rsidR="00134041" w:rsidRDefault="00134041">
                <w:pPr>
                  <w:spacing w:line="480" w:lineRule="exact"/>
                  <w:jc w:val="right"/>
                  <w:rPr>
                    <w:sz w:val="28"/>
                  </w:rPr>
                </w:pPr>
                <w:r>
                  <w:rPr>
                    <w:sz w:val="28"/>
                  </w:rPr>
                  <w:t>16</w:t>
                </w:r>
              </w:p>
              <w:p w:rsidR="00134041" w:rsidRDefault="00134041">
                <w:pPr>
                  <w:spacing w:line="480" w:lineRule="exact"/>
                  <w:jc w:val="right"/>
                  <w:rPr>
                    <w:sz w:val="28"/>
                  </w:rPr>
                </w:pPr>
                <w:r>
                  <w:rPr>
                    <w:sz w:val="28"/>
                  </w:rPr>
                  <w:t>17</w:t>
                </w:r>
              </w:p>
              <w:p w:rsidR="00134041" w:rsidRDefault="00134041">
                <w:pPr>
                  <w:spacing w:line="480" w:lineRule="exact"/>
                  <w:jc w:val="right"/>
                  <w:rPr>
                    <w:sz w:val="28"/>
                  </w:rPr>
                </w:pPr>
                <w:r>
                  <w:rPr>
                    <w:sz w:val="28"/>
                  </w:rPr>
                  <w:t>18</w:t>
                </w:r>
              </w:p>
              <w:p w:rsidR="00134041" w:rsidRDefault="00134041">
                <w:pPr>
                  <w:spacing w:line="480" w:lineRule="exact"/>
                  <w:jc w:val="right"/>
                  <w:rPr>
                    <w:sz w:val="28"/>
                  </w:rPr>
                </w:pPr>
                <w:r>
                  <w:rPr>
                    <w:sz w:val="28"/>
                  </w:rPr>
                  <w:t>19</w:t>
                </w:r>
              </w:p>
              <w:p w:rsidR="00134041" w:rsidRDefault="00134041">
                <w:pPr>
                  <w:spacing w:line="480" w:lineRule="exact"/>
                  <w:jc w:val="right"/>
                  <w:rPr>
                    <w:sz w:val="28"/>
                  </w:rPr>
                </w:pPr>
                <w:r>
                  <w:rPr>
                    <w:sz w:val="28"/>
                  </w:rPr>
                  <w:t>20</w:t>
                </w:r>
              </w:p>
              <w:p w:rsidR="00134041" w:rsidRDefault="00134041">
                <w:pPr>
                  <w:spacing w:line="480" w:lineRule="exact"/>
                  <w:jc w:val="right"/>
                  <w:rPr>
                    <w:sz w:val="28"/>
                  </w:rPr>
                </w:pPr>
                <w:r>
                  <w:rPr>
                    <w:sz w:val="28"/>
                  </w:rPr>
                  <w:t>21</w:t>
                </w:r>
              </w:p>
              <w:p w:rsidR="00134041" w:rsidRDefault="00134041">
                <w:pPr>
                  <w:spacing w:line="480" w:lineRule="exact"/>
                  <w:jc w:val="right"/>
                  <w:rPr>
                    <w:sz w:val="28"/>
                  </w:rPr>
                </w:pPr>
                <w:r>
                  <w:rPr>
                    <w:sz w:val="28"/>
                  </w:rPr>
                  <w:t>22</w:t>
                </w:r>
              </w:p>
              <w:p w:rsidR="00134041" w:rsidRDefault="00134041">
                <w:pPr>
                  <w:spacing w:line="480" w:lineRule="exact"/>
                  <w:jc w:val="right"/>
                  <w:rPr>
                    <w:sz w:val="28"/>
                  </w:rPr>
                </w:pPr>
                <w:r>
                  <w:rPr>
                    <w:sz w:val="28"/>
                  </w:rPr>
                  <w:t>23</w:t>
                </w:r>
              </w:p>
              <w:p w:rsidR="00134041" w:rsidRDefault="00134041">
                <w:pPr>
                  <w:spacing w:line="480" w:lineRule="exact"/>
                  <w:jc w:val="right"/>
                  <w:rPr>
                    <w:sz w:val="28"/>
                  </w:rPr>
                </w:pPr>
                <w:r>
                  <w:rPr>
                    <w:sz w:val="28"/>
                  </w:rPr>
                  <w:t>24</w:t>
                </w:r>
              </w:p>
              <w:p w:rsidR="00134041" w:rsidRDefault="00134041">
                <w:pPr>
                  <w:spacing w:line="480" w:lineRule="exact"/>
                  <w:jc w:val="right"/>
                  <w:rPr>
                    <w:sz w:val="28"/>
                  </w:rPr>
                </w:pPr>
                <w:r>
                  <w:rPr>
                    <w:sz w:val="28"/>
                  </w:rPr>
                  <w:t>25</w:t>
                </w:r>
              </w:p>
              <w:p w:rsidR="00134041" w:rsidRDefault="00134041">
                <w:pPr>
                  <w:spacing w:line="480" w:lineRule="exact"/>
                  <w:jc w:val="right"/>
                  <w:rPr>
                    <w:sz w:val="28"/>
                  </w:rPr>
                </w:pPr>
                <w:r>
                  <w:rPr>
                    <w:sz w:val="28"/>
                  </w:rPr>
                  <w:t>26</w:t>
                </w:r>
              </w:p>
              <w:p w:rsidR="00134041" w:rsidRDefault="00134041">
                <w:pPr>
                  <w:spacing w:line="480" w:lineRule="exact"/>
                  <w:jc w:val="right"/>
                  <w:rPr>
                    <w:sz w:val="28"/>
                  </w:rPr>
                </w:pPr>
                <w:r>
                  <w:rPr>
                    <w:sz w:val="28"/>
                  </w:rPr>
                  <w:t>27</w:t>
                </w:r>
              </w:p>
              <w:p w:rsidR="00134041" w:rsidRDefault="00134041">
                <w:pPr>
                  <w:spacing w:line="480" w:lineRule="exact"/>
                  <w:jc w:val="right"/>
                  <w:rPr>
                    <w:sz w:val="28"/>
                  </w:rPr>
                </w:pPr>
              </w:p>
              <w:p w:rsidR="00134041" w:rsidRDefault="00134041">
                <w:pPr>
                  <w:spacing w:line="480" w:lineRule="exact"/>
                  <w:jc w:val="right"/>
                  <w:rPr>
                    <w:sz w:val="26"/>
                  </w:rPr>
                </w:pPr>
              </w:p>
              <w:p w:rsidR="00134041" w:rsidRDefault="00134041">
                <w:pPr>
                  <w:spacing w:line="480" w:lineRule="exact"/>
                  <w:jc w:val="right"/>
                  <w:rPr>
                    <w:sz w:val="26"/>
                  </w:rPr>
                </w:pPr>
              </w:p>
            </w:txbxContent>
          </v:textbox>
          <w10:wrap anchorx="margin" anchory="margin"/>
        </v:shape>
      </w:pict>
    </w:r>
    <w:r>
      <w:rPr>
        <w:noProof/>
      </w:rPr>
      <w:pict>
        <v:line id="LeftBorder2" o:spid="_x0000_s1026" style="position:absolute;z-index:251657216;mso-position-horizontal-relative:margin;mso-position-vertical-relative:page" from="-7.2pt,0" to="-7.2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1440"/>
        </w:tabs>
        <w:ind w:firstLine="720"/>
      </w:pPr>
    </w:lvl>
    <w:lvl w:ilvl="1">
      <w:start w:val="1"/>
      <w:numFmt w:val="decimal"/>
      <w:pStyle w:val="Level2"/>
      <w:lvlText w:val="%2."/>
      <w:lvlJc w:val="left"/>
      <w:pPr>
        <w:tabs>
          <w:tab w:val="num" w:pos="1440"/>
        </w:tabs>
        <w:ind w:left="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DA1F83"/>
    <w:multiLevelType w:val="hybridMultilevel"/>
    <w:tmpl w:val="986ABAF8"/>
    <w:lvl w:ilvl="0" w:tplc="36221A12">
      <w:start w:val="4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CF5B2D"/>
    <w:multiLevelType w:val="hybridMultilevel"/>
    <w:tmpl w:val="A372F256"/>
    <w:lvl w:ilvl="0" w:tplc="9DA41D04">
      <w:start w:val="1"/>
      <w:numFmt w:val="decimal"/>
      <w:lvlText w:val="%1."/>
      <w:lvlJc w:val="left"/>
      <w:pPr>
        <w:tabs>
          <w:tab w:val="num" w:pos="1795"/>
        </w:tabs>
        <w:ind w:left="1795" w:hanging="109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8DF7350"/>
    <w:multiLevelType w:val="hybridMultilevel"/>
    <w:tmpl w:val="292E3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D5E0617"/>
    <w:multiLevelType w:val="hybridMultilevel"/>
    <w:tmpl w:val="1BD88B18"/>
    <w:lvl w:ilvl="0" w:tplc="181423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015F5"/>
    <w:multiLevelType w:val="hybridMultilevel"/>
    <w:tmpl w:val="01BA8D72"/>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967F44"/>
    <w:multiLevelType w:val="hybridMultilevel"/>
    <w:tmpl w:val="363039CC"/>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7D772A"/>
    <w:multiLevelType w:val="multilevel"/>
    <w:tmpl w:val="7388C1E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284FB8"/>
    <w:multiLevelType w:val="hybridMultilevel"/>
    <w:tmpl w:val="253E11AC"/>
    <w:lvl w:ilvl="0" w:tplc="93746CEC">
      <w:start w:val="1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2110D1"/>
    <w:multiLevelType w:val="hybridMultilevel"/>
    <w:tmpl w:val="B74A00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2B39B2"/>
    <w:multiLevelType w:val="hybridMultilevel"/>
    <w:tmpl w:val="3014C5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19E07AE"/>
    <w:multiLevelType w:val="hybridMultilevel"/>
    <w:tmpl w:val="AEEE8812"/>
    <w:lvl w:ilvl="0" w:tplc="4FACF604">
      <w:start w:val="2"/>
      <w:numFmt w:val="decimal"/>
      <w:lvlText w:val="%1."/>
      <w:lvlJc w:val="left"/>
      <w:pPr>
        <w:tabs>
          <w:tab w:val="num" w:pos="1772"/>
        </w:tabs>
        <w:ind w:left="1772" w:hanging="360"/>
      </w:pPr>
      <w:rPr>
        <w:rFonts w:hint="default"/>
      </w:rPr>
    </w:lvl>
    <w:lvl w:ilvl="1" w:tplc="04090019" w:tentative="1">
      <w:start w:val="1"/>
      <w:numFmt w:val="lowerLetter"/>
      <w:lvlText w:val="%2."/>
      <w:lvlJc w:val="left"/>
      <w:pPr>
        <w:tabs>
          <w:tab w:val="num" w:pos="2492"/>
        </w:tabs>
        <w:ind w:left="2492" w:hanging="360"/>
      </w:p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2">
    <w:nsid w:val="428940E5"/>
    <w:multiLevelType w:val="hybridMultilevel"/>
    <w:tmpl w:val="8CB23192"/>
    <w:lvl w:ilvl="0" w:tplc="EEE69C74">
      <w:start w:val="1"/>
      <w:numFmt w:val="decimal"/>
      <w:lvlText w:val="%1."/>
      <w:lvlJc w:val="left"/>
      <w:pPr>
        <w:tabs>
          <w:tab w:val="num" w:pos="1008"/>
        </w:tabs>
        <w:ind w:left="1008" w:hanging="648"/>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E414C"/>
    <w:multiLevelType w:val="hybridMultilevel"/>
    <w:tmpl w:val="C352B9E0"/>
    <w:lvl w:ilvl="0" w:tplc="3800E83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394429"/>
    <w:multiLevelType w:val="hybridMultilevel"/>
    <w:tmpl w:val="4456FB62"/>
    <w:lvl w:ilvl="0" w:tplc="71CE7658">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903BEB"/>
    <w:multiLevelType w:val="hybridMultilevel"/>
    <w:tmpl w:val="17487EA2"/>
    <w:lvl w:ilvl="0" w:tplc="08701536">
      <w:start w:val="4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185C85"/>
    <w:multiLevelType w:val="hybridMultilevel"/>
    <w:tmpl w:val="86C48CE6"/>
    <w:lvl w:ilvl="0" w:tplc="97DE88F4">
      <w:start w:val="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6F754F"/>
    <w:multiLevelType w:val="hybridMultilevel"/>
    <w:tmpl w:val="30385E06"/>
    <w:lvl w:ilvl="0" w:tplc="2D4AE682">
      <w:start w:val="3"/>
      <w:numFmt w:val="decimal"/>
      <w:lvlText w:val="%1."/>
      <w:lvlJc w:val="left"/>
      <w:pPr>
        <w:tabs>
          <w:tab w:val="num" w:pos="720"/>
        </w:tabs>
        <w:ind w:left="0" w:firstLine="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2763D5"/>
    <w:multiLevelType w:val="multilevel"/>
    <w:tmpl w:val="90A23E0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144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50162512"/>
    <w:multiLevelType w:val="hybridMultilevel"/>
    <w:tmpl w:val="B2E8F132"/>
    <w:lvl w:ilvl="0" w:tplc="1814234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464BF9"/>
    <w:multiLevelType w:val="hybridMultilevel"/>
    <w:tmpl w:val="CE6CA354"/>
    <w:lvl w:ilvl="0" w:tplc="07FA4968">
      <w:start w:val="1"/>
      <w:numFmt w:val="decimal"/>
      <w:lvlText w:val="%1."/>
      <w:lvlJc w:val="left"/>
      <w:pPr>
        <w:tabs>
          <w:tab w:val="num" w:pos="720"/>
        </w:tabs>
        <w:ind w:left="0" w:firstLine="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A429F5"/>
    <w:multiLevelType w:val="hybridMultilevel"/>
    <w:tmpl w:val="B74441C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CC7D85"/>
    <w:multiLevelType w:val="hybridMultilevel"/>
    <w:tmpl w:val="168440F0"/>
    <w:lvl w:ilvl="0" w:tplc="7A602BA0">
      <w:start w:val="3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364BC1"/>
    <w:multiLevelType w:val="hybridMultilevel"/>
    <w:tmpl w:val="BCBAE67C"/>
    <w:lvl w:ilvl="0" w:tplc="181423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3A5A7C"/>
    <w:multiLevelType w:val="hybridMultilevel"/>
    <w:tmpl w:val="919A42B2"/>
    <w:lvl w:ilvl="0" w:tplc="1056FDAC">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66110C"/>
    <w:multiLevelType w:val="hybridMultilevel"/>
    <w:tmpl w:val="68B2D48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6C6BA0"/>
    <w:multiLevelType w:val="hybridMultilevel"/>
    <w:tmpl w:val="C5920F68"/>
    <w:lvl w:ilvl="0" w:tplc="03507820">
      <w:start w:val="4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2C725A"/>
    <w:multiLevelType w:val="multilevel"/>
    <w:tmpl w:val="289067B4"/>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firstLine="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D393D2C"/>
    <w:multiLevelType w:val="hybridMultilevel"/>
    <w:tmpl w:val="0C94F478"/>
    <w:lvl w:ilvl="0" w:tplc="9F200A2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9"/>
  </w:num>
  <w:num w:numId="4">
    <w:abstractNumId w:val="23"/>
  </w:num>
  <w:num w:numId="5">
    <w:abstractNumId w:val="25"/>
  </w:num>
  <w:num w:numId="6">
    <w:abstractNumId w:val="5"/>
  </w:num>
  <w:num w:numId="7">
    <w:abstractNumId w:val="21"/>
  </w:num>
  <w:num w:numId="8">
    <w:abstractNumId w:val="28"/>
  </w:num>
  <w:num w:numId="9">
    <w:abstractNumId w:val="6"/>
  </w:num>
  <w:num w:numId="10">
    <w:abstractNumId w:val="8"/>
  </w:num>
  <w:num w:numId="11">
    <w:abstractNumId w:val="24"/>
  </w:num>
  <w:num w:numId="12">
    <w:abstractNumId w:val="7"/>
  </w:num>
  <w:num w:numId="13">
    <w:abstractNumId w:val="27"/>
  </w:num>
  <w:num w:numId="14">
    <w:abstractNumId w:val="18"/>
  </w:num>
  <w:num w:numId="1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3"/>
  </w:num>
  <w:num w:numId="17">
    <w:abstractNumId w:val="12"/>
  </w:num>
  <w:num w:numId="18">
    <w:abstractNumId w:val="17"/>
  </w:num>
  <w:num w:numId="19">
    <w:abstractNumId w:val="20"/>
  </w:num>
  <w:num w:numId="20">
    <w:abstractNumId w:val="15"/>
  </w:num>
  <w:num w:numId="21">
    <w:abstractNumId w:val="1"/>
  </w:num>
  <w:num w:numId="22">
    <w:abstractNumId w:val="22"/>
  </w:num>
  <w:num w:numId="23">
    <w:abstractNumId w:val="16"/>
  </w:num>
  <w:num w:numId="24">
    <w:abstractNumId w:val="26"/>
  </w:num>
  <w:num w:numId="25">
    <w:abstractNumId w:val="10"/>
  </w:num>
  <w:num w:numId="26">
    <w:abstractNumId w:val="9"/>
  </w:num>
  <w:num w:numId="27">
    <w:abstractNumId w:val="3"/>
  </w:num>
  <w:num w:numId="28">
    <w:abstractNumId w:val="1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0"/>
    <w:docVar w:name="CaptionBoxStyle" w:val="2"/>
    <w:docVar w:name="CourtAlignment" w:val="1"/>
    <w:docVar w:name="CourtName" w:val="IN THE SUPERIOR COURT FOR THE STATE OF WASHINGTON FOR KITSAP COUNTY"/>
    <w:docVar w:name="FirmInFtr" w:val="-1"/>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0"/>
    <w:docVar w:name="SignWith" w:val=" "/>
    <w:docVar w:name="SummaryInFtr" w:val="-1"/>
  </w:docVars>
  <w:rsids>
    <w:rsidRoot w:val="006409F8"/>
    <w:rsid w:val="000E1EBA"/>
    <w:rsid w:val="00134041"/>
    <w:rsid w:val="001A40D2"/>
    <w:rsid w:val="004179D0"/>
    <w:rsid w:val="00461200"/>
    <w:rsid w:val="004D0029"/>
    <w:rsid w:val="005611E2"/>
    <w:rsid w:val="005E6E15"/>
    <w:rsid w:val="006063DE"/>
    <w:rsid w:val="006409F8"/>
    <w:rsid w:val="00714194"/>
    <w:rsid w:val="008D6001"/>
    <w:rsid w:val="00932563"/>
    <w:rsid w:val="00B6112D"/>
    <w:rsid w:val="00D26F5E"/>
    <w:rsid w:val="00D33647"/>
    <w:rsid w:val="00DF74F3"/>
    <w:rsid w:val="00E1251C"/>
    <w:rsid w:val="00ED19F6"/>
    <w:rsid w:val="00EE2F6E"/>
    <w:rsid w:val="00F62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5E"/>
    <w:pPr>
      <w:spacing w:line="508" w:lineRule="exact"/>
    </w:pPr>
  </w:style>
  <w:style w:type="paragraph" w:styleId="Heading1">
    <w:name w:val="heading 1"/>
    <w:basedOn w:val="Normal"/>
    <w:next w:val="Normal"/>
    <w:qFormat/>
    <w:rsid w:val="00D26F5E"/>
    <w:pPr>
      <w:keepNext/>
      <w:widowControl w:val="0"/>
      <w:spacing w:line="480" w:lineRule="auto"/>
      <w:jc w:val="center"/>
      <w:outlineLvl w:val="0"/>
    </w:pPr>
    <w:rPr>
      <w:sz w:val="24"/>
    </w:rPr>
  </w:style>
  <w:style w:type="paragraph" w:styleId="Heading2">
    <w:name w:val="heading 2"/>
    <w:basedOn w:val="Normal"/>
    <w:next w:val="Normal"/>
    <w:qFormat/>
    <w:rsid w:val="00D26F5E"/>
    <w:pPr>
      <w:keepNext/>
      <w:widowControl w:val="0"/>
      <w:spacing w:line="240" w:lineRule="auto"/>
      <w:outlineLvl w:val="1"/>
    </w:pPr>
    <w:rPr>
      <w:sz w:val="24"/>
    </w:rPr>
  </w:style>
  <w:style w:type="paragraph" w:styleId="Heading3">
    <w:name w:val="heading 3"/>
    <w:basedOn w:val="Normal"/>
    <w:next w:val="Normal"/>
    <w:qFormat/>
    <w:rsid w:val="00D26F5E"/>
    <w:pPr>
      <w:keepNext/>
      <w:spacing w:line="240" w:lineRule="auto"/>
      <w:outlineLvl w:val="2"/>
    </w:pPr>
    <w:rPr>
      <w:b/>
      <w:bCs/>
      <w:kern w:val="28"/>
      <w:sz w:val="24"/>
    </w:rPr>
  </w:style>
  <w:style w:type="paragraph" w:styleId="Heading4">
    <w:name w:val="heading 4"/>
    <w:basedOn w:val="Normal"/>
    <w:next w:val="Normal"/>
    <w:qFormat/>
    <w:rsid w:val="00D26F5E"/>
    <w:pPr>
      <w:keepNext/>
      <w:framePr w:wrap="auto" w:hAnchor="text" w:x="220"/>
      <w:spacing w:line="240" w:lineRule="auto"/>
      <w:outlineLvl w:val="3"/>
    </w:pPr>
    <w:rPr>
      <w:b/>
      <w:bCs/>
      <w:sz w:val="24"/>
    </w:rPr>
  </w:style>
  <w:style w:type="paragraph" w:styleId="Heading5">
    <w:name w:val="heading 5"/>
    <w:basedOn w:val="Normal"/>
    <w:next w:val="Normal"/>
    <w:qFormat/>
    <w:rsid w:val="00D26F5E"/>
    <w:pPr>
      <w:keepNext/>
      <w:jc w:val="center"/>
      <w:outlineLvl w:val="4"/>
    </w:pPr>
    <w:rPr>
      <w:b/>
      <w:sz w:val="28"/>
      <w:szCs w:val="28"/>
    </w:rPr>
  </w:style>
  <w:style w:type="paragraph" w:styleId="Heading6">
    <w:name w:val="heading 6"/>
    <w:basedOn w:val="Normal"/>
    <w:next w:val="Normal"/>
    <w:qFormat/>
    <w:rsid w:val="00D26F5E"/>
    <w:pPr>
      <w:keepNext/>
      <w:spacing w:line="240" w:lineRule="auto"/>
      <w:ind w:left="100" w:right="228"/>
      <w:outlineLvl w:val="5"/>
    </w:pPr>
    <w:rPr>
      <w:sz w:val="24"/>
      <w:szCs w:val="24"/>
    </w:rPr>
  </w:style>
  <w:style w:type="paragraph" w:styleId="Heading7">
    <w:name w:val="heading 7"/>
    <w:basedOn w:val="Normal"/>
    <w:next w:val="Normal"/>
    <w:qFormat/>
    <w:rsid w:val="00D26F5E"/>
    <w:pPr>
      <w:keepNext/>
      <w:framePr w:hSpace="180" w:wrap="around" w:vAnchor="text" w:hAnchor="margin" w:x="220" w:y="12"/>
      <w:autoSpaceDE w:val="0"/>
      <w:autoSpaceDN w:val="0"/>
      <w:adjustRightInd w:val="0"/>
      <w:jc w:val="right"/>
      <w:outlineLvl w:val="6"/>
    </w:pPr>
    <w:rPr>
      <w:b/>
      <w:bCs/>
      <w:sz w:val="24"/>
      <w:szCs w:val="24"/>
    </w:rPr>
  </w:style>
  <w:style w:type="paragraph" w:styleId="Heading8">
    <w:name w:val="heading 8"/>
    <w:basedOn w:val="Normal"/>
    <w:next w:val="Normal"/>
    <w:qFormat/>
    <w:rsid w:val="00D26F5E"/>
    <w:pPr>
      <w:keepNext/>
      <w:spacing w:line="480" w:lineRule="auto"/>
      <w:ind w:right="128"/>
      <w:jc w:val="center"/>
      <w:outlineLvl w:val="7"/>
    </w:pPr>
    <w:rPr>
      <w:b/>
      <w:bCs/>
      <w:sz w:val="26"/>
    </w:rPr>
  </w:style>
  <w:style w:type="paragraph" w:styleId="Heading9">
    <w:name w:val="heading 9"/>
    <w:basedOn w:val="Normal"/>
    <w:next w:val="Normal"/>
    <w:qFormat/>
    <w:rsid w:val="00D26F5E"/>
    <w:pPr>
      <w:keepNext/>
      <w:spacing w:line="480" w:lineRule="auto"/>
      <w:ind w:firstLine="720"/>
      <w:jc w:val="center"/>
      <w:outlineLvl w:val="8"/>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D26F5E"/>
    <w:pPr>
      <w:spacing w:line="254" w:lineRule="exact"/>
    </w:pPr>
  </w:style>
  <w:style w:type="paragraph" w:customStyle="1" w:styleId="15Spacing">
    <w:name w:val="1.5 Spacing"/>
    <w:basedOn w:val="Normal"/>
    <w:rsid w:val="00D26F5E"/>
    <w:pPr>
      <w:spacing w:line="381" w:lineRule="exact"/>
    </w:pPr>
  </w:style>
  <w:style w:type="paragraph" w:customStyle="1" w:styleId="DoubleSpacing">
    <w:name w:val="Double Spacing"/>
    <w:basedOn w:val="Normal"/>
    <w:rsid w:val="00D26F5E"/>
  </w:style>
  <w:style w:type="paragraph" w:customStyle="1" w:styleId="AttorneyName">
    <w:name w:val="Attorney Name"/>
    <w:basedOn w:val="SingleSpacing"/>
    <w:rsid w:val="00D26F5E"/>
  </w:style>
  <w:style w:type="paragraph" w:customStyle="1" w:styleId="FirmName">
    <w:name w:val="Firm Name"/>
    <w:basedOn w:val="SingleSpacing"/>
    <w:rsid w:val="00D26F5E"/>
    <w:pPr>
      <w:jc w:val="center"/>
    </w:pPr>
  </w:style>
  <w:style w:type="paragraph" w:customStyle="1" w:styleId="SignatureBlock">
    <w:name w:val="Signature Block"/>
    <w:basedOn w:val="SingleSpacing"/>
    <w:rsid w:val="00D26F5E"/>
    <w:pPr>
      <w:ind w:left="5760"/>
    </w:pPr>
  </w:style>
  <w:style w:type="paragraph" w:styleId="Header">
    <w:name w:val="header"/>
    <w:basedOn w:val="Normal"/>
    <w:semiHidden/>
    <w:rsid w:val="00D26F5E"/>
    <w:pPr>
      <w:tabs>
        <w:tab w:val="center" w:pos="4320"/>
        <w:tab w:val="right" w:pos="8640"/>
      </w:tabs>
    </w:pPr>
  </w:style>
  <w:style w:type="paragraph" w:styleId="Footer">
    <w:name w:val="footer"/>
    <w:basedOn w:val="Normal"/>
    <w:semiHidden/>
    <w:rsid w:val="00D26F5E"/>
    <w:pPr>
      <w:tabs>
        <w:tab w:val="center" w:pos="4320"/>
        <w:tab w:val="right" w:pos="8640"/>
      </w:tabs>
    </w:pPr>
  </w:style>
  <w:style w:type="paragraph" w:styleId="BodyText">
    <w:name w:val="Body Text"/>
    <w:basedOn w:val="Normal"/>
    <w:semiHidden/>
    <w:rsid w:val="00D26F5E"/>
    <w:pPr>
      <w:framePr w:hSpace="180" w:wrap="around" w:vAnchor="text" w:hAnchor="margin" w:y="12"/>
      <w:spacing w:line="240" w:lineRule="auto"/>
    </w:pPr>
    <w:rPr>
      <w:sz w:val="24"/>
    </w:rPr>
  </w:style>
  <w:style w:type="paragraph" w:styleId="BodyTextIndent">
    <w:name w:val="Body Text Indent"/>
    <w:basedOn w:val="Normal"/>
    <w:semiHidden/>
    <w:rsid w:val="00D26F5E"/>
    <w:pPr>
      <w:spacing w:line="480" w:lineRule="auto"/>
      <w:ind w:left="360"/>
    </w:pPr>
    <w:rPr>
      <w:sz w:val="24"/>
    </w:rPr>
  </w:style>
  <w:style w:type="paragraph" w:styleId="BodyText2">
    <w:name w:val="Body Text 2"/>
    <w:basedOn w:val="Normal"/>
    <w:semiHidden/>
    <w:rsid w:val="00D26F5E"/>
    <w:pPr>
      <w:spacing w:line="480" w:lineRule="auto"/>
    </w:pPr>
    <w:rPr>
      <w:sz w:val="24"/>
    </w:rPr>
  </w:style>
  <w:style w:type="paragraph" w:styleId="EnvelopeReturn">
    <w:name w:val="envelope return"/>
    <w:basedOn w:val="Normal"/>
    <w:semiHidden/>
    <w:rsid w:val="00D26F5E"/>
    <w:rPr>
      <w:rFonts w:cs="Arial"/>
      <w:sz w:val="24"/>
      <w:szCs w:val="24"/>
    </w:rPr>
  </w:style>
  <w:style w:type="paragraph" w:styleId="EnvelopeAddress">
    <w:name w:val="envelope address"/>
    <w:basedOn w:val="Normal"/>
    <w:semiHidden/>
    <w:rsid w:val="00D26F5E"/>
    <w:pPr>
      <w:framePr w:w="7920" w:h="1980" w:hRule="exact" w:hSpace="180" w:wrap="auto" w:hAnchor="page" w:xAlign="center" w:yAlign="bottom"/>
      <w:ind w:left="2880"/>
    </w:pPr>
    <w:rPr>
      <w:rFonts w:cs="Arial"/>
      <w:sz w:val="24"/>
      <w:szCs w:val="24"/>
    </w:rPr>
  </w:style>
  <w:style w:type="paragraph" w:customStyle="1" w:styleId="Level1">
    <w:name w:val="Level 1"/>
    <w:basedOn w:val="Normal"/>
    <w:rsid w:val="00D26F5E"/>
    <w:pPr>
      <w:widowControl w:val="0"/>
      <w:numPr>
        <w:numId w:val="15"/>
      </w:numPr>
      <w:autoSpaceDE w:val="0"/>
      <w:autoSpaceDN w:val="0"/>
      <w:adjustRightInd w:val="0"/>
      <w:spacing w:line="240" w:lineRule="auto"/>
      <w:ind w:firstLine="720"/>
      <w:outlineLvl w:val="0"/>
    </w:pPr>
    <w:rPr>
      <w:sz w:val="24"/>
      <w:szCs w:val="24"/>
    </w:rPr>
  </w:style>
  <w:style w:type="paragraph" w:customStyle="1" w:styleId="Level2">
    <w:name w:val="Level 2"/>
    <w:basedOn w:val="Normal"/>
    <w:rsid w:val="00D26F5E"/>
    <w:pPr>
      <w:widowControl w:val="0"/>
      <w:numPr>
        <w:ilvl w:val="1"/>
        <w:numId w:val="15"/>
      </w:numPr>
      <w:autoSpaceDE w:val="0"/>
      <w:autoSpaceDN w:val="0"/>
      <w:adjustRightInd w:val="0"/>
      <w:spacing w:line="240" w:lineRule="auto"/>
      <w:ind w:left="720"/>
      <w:outlineLvl w:val="1"/>
    </w:pPr>
    <w:rPr>
      <w:sz w:val="24"/>
      <w:szCs w:val="24"/>
    </w:rPr>
  </w:style>
  <w:style w:type="paragraph" w:styleId="BodyTextIndent2">
    <w:name w:val="Body Text Indent 2"/>
    <w:basedOn w:val="Normal"/>
    <w:semiHidden/>
    <w:rsid w:val="00D26F5E"/>
    <w:pPr>
      <w:spacing w:line="480" w:lineRule="auto"/>
      <w:ind w:left="1080" w:hanging="360"/>
      <w:jc w:val="both"/>
    </w:pPr>
    <w:rPr>
      <w:kern w:val="28"/>
      <w:sz w:val="24"/>
    </w:rPr>
  </w:style>
  <w:style w:type="paragraph" w:styleId="BalloonText">
    <w:name w:val="Balloon Text"/>
    <w:basedOn w:val="Normal"/>
    <w:semiHidden/>
    <w:rsid w:val="00D26F5E"/>
    <w:pPr>
      <w:spacing w:line="240" w:lineRule="auto"/>
    </w:pPr>
    <w:rPr>
      <w:rFonts w:ascii="Tahoma" w:hAnsi="Tahoma" w:cs="Tahoma"/>
      <w:sz w:val="16"/>
      <w:szCs w:val="16"/>
    </w:rPr>
  </w:style>
  <w:style w:type="character" w:styleId="PageNumber">
    <w:name w:val="page number"/>
    <w:basedOn w:val="DefaultParagraphFont"/>
    <w:semiHidden/>
    <w:rsid w:val="00D26F5E"/>
  </w:style>
  <w:style w:type="paragraph" w:styleId="BodyText3">
    <w:name w:val="Body Text 3"/>
    <w:basedOn w:val="Normal"/>
    <w:semiHidden/>
    <w:rsid w:val="00D26F5E"/>
    <w:pPr>
      <w:spacing w:line="240" w:lineRule="auto"/>
    </w:pPr>
    <w:rPr>
      <w:sz w:val="26"/>
    </w:rPr>
  </w:style>
  <w:style w:type="paragraph" w:styleId="BodyTextIndent3">
    <w:name w:val="Body Text Indent 3"/>
    <w:basedOn w:val="Normal"/>
    <w:semiHidden/>
    <w:rsid w:val="00D26F5E"/>
    <w:pPr>
      <w:spacing w:line="480" w:lineRule="auto"/>
      <w:ind w:firstLine="720"/>
    </w:pPr>
    <w:rPr>
      <w:sz w:val="26"/>
    </w:rPr>
  </w:style>
  <w:style w:type="paragraph" w:styleId="FootnoteText">
    <w:name w:val="footnote text"/>
    <w:basedOn w:val="Normal"/>
    <w:semiHidden/>
    <w:rsid w:val="00D26F5E"/>
  </w:style>
  <w:style w:type="character" w:styleId="FootnoteReference">
    <w:name w:val="footnote reference"/>
    <w:basedOn w:val="DefaultParagraphFont"/>
    <w:semiHidden/>
    <w:rsid w:val="00D26F5E"/>
    <w:rPr>
      <w:vertAlign w:val="superscript"/>
    </w:rPr>
  </w:style>
  <w:style w:type="paragraph" w:styleId="BlockText">
    <w:name w:val="Block Text"/>
    <w:basedOn w:val="Normal"/>
    <w:semiHidden/>
    <w:rsid w:val="00D26F5E"/>
    <w:pPr>
      <w:spacing w:line="240" w:lineRule="auto"/>
      <w:ind w:left="700" w:right="828" w:firstLine="700"/>
      <w:jc w:val="both"/>
    </w:pPr>
    <w:rPr>
      <w:sz w:val="26"/>
    </w:rPr>
  </w:style>
  <w:style w:type="character" w:styleId="Hyperlink">
    <w:name w:val="Hyperlink"/>
    <w:basedOn w:val="DefaultParagraphFont"/>
    <w:uiPriority w:val="99"/>
    <w:semiHidden/>
    <w:unhideWhenUsed/>
    <w:rsid w:val="008D6001"/>
    <w:rPr>
      <w:color w:val="0000FF"/>
      <w:u w:val="single"/>
    </w:rPr>
  </w:style>
  <w:style w:type="character" w:customStyle="1" w:styleId="apple-converted-space">
    <w:name w:val="apple-converted-space"/>
    <w:basedOn w:val="DefaultParagraphFont"/>
    <w:rsid w:val="006063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mt=Washington&amp;db=0004645&amp;rs=WLW13.10&amp;tc=-1&amp;rp=%2ffind%2fdefault.wl&amp;findtype=Y&amp;ordoc=0356308881&amp;serialnum=2002055454&amp;vr=2.0&amp;fn=_top&amp;sv=Split&amp;tf=-1&amp;pbc=3236FA91&amp;utid=1" TargetMode="External"/><Relationship Id="rId13" Type="http://schemas.openxmlformats.org/officeDocument/2006/relationships/hyperlink" Target="http://web2.westlaw.com/find/default.wl?mt=Washington&amp;db=WA-ST-ANN&amp;rs=WLW14.01&amp;docname=LK(%22WAST4.28.140%22)&amp;rp=%2ffind%2fdefault.wl&amp;findtype=l&amp;ordoc=NE4C3C8106FC511DE9328ED266CBDF61C&amp;tc=-1&amp;vr=2.0&amp;fn=_top&amp;sv=Split&amp;tf=-1&amp;pbc=889F2C72&amp;uti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2.westlaw.com/find/default.wl?mt=Washington&amp;db=1000259&amp;rs=WLW14.01&amp;docname=WAST11.40.070&amp;rp=%2ffind%2fdefault.wl&amp;findtype=L&amp;ordoc=8630104&amp;tc=-1&amp;vr=2.0&amp;fn=_top&amp;sv=Split&amp;tf=-1&amp;pbc=F63196F1&amp;utid=1" TargetMode="External"/><Relationship Id="rId12" Type="http://schemas.openxmlformats.org/officeDocument/2006/relationships/hyperlink" Target="http://web2.westlaw.com/find/default.wl?mt=Washington&amp;db=1000259&amp;rs=WLW14.01&amp;docname=WAST4.08.170&amp;rp=%2ffind%2fdefault.wl&amp;findtype=L&amp;ordoc=NE4C3C8106FC511DE9328ED266CBDF61C&amp;tc=-1&amp;vr=2.0&amp;fn=_top&amp;sv=Split&amp;tf=-1&amp;pbc=889F2C72&amp;ut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westlaw.com/find/default.wl?mt=Washington&amp;db=1000259&amp;rs=WLW14.01&amp;docname=WAST4.08.160&amp;rp=%2ffind%2fdefault.wl&amp;findtype=L&amp;ordoc=NE4C3C8106FC511DE9328ED266CBDF61C&amp;tc=-1&amp;vr=2.0&amp;fn=_top&amp;sv=Split&amp;tf=-1&amp;pbc=889F2C72&amp;utid=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b2.westlaw.com/find/default.wl?mt=Washington&amp;db=1000259&amp;rs=WLW14.01&amp;docname=WAST4.28.110&amp;rp=%2ffind%2fdefault.wl&amp;findtype=L&amp;ordoc=NE4C3C8106FC511DE9328ED266CBDF61C&amp;tc=-1&amp;vr=2.0&amp;fn=_top&amp;sv=Split&amp;tf=-1&amp;pbc=889F2C72&amp;utid=1" TargetMode="External"/><Relationship Id="rId4" Type="http://schemas.openxmlformats.org/officeDocument/2006/relationships/webSettings" Target="webSettings.xml"/><Relationship Id="rId9" Type="http://schemas.openxmlformats.org/officeDocument/2006/relationships/hyperlink" Target="http://web2.westlaw.com/find/default.wl?mt=Washington&amp;db=WA-ST-ANN&amp;rs=WLW14.01&amp;docname=LK(%22WAST4.28.100%22)&amp;rp=%2ffind%2fdefault.wl&amp;findtype=l&amp;ordoc=NE4C3C8106FC511DE9328ED266CBDF61C&amp;tc=-1&amp;vr=2.0&amp;fn=_top&amp;sv=Split&amp;tf=-1&amp;pbc=889F2C72&amp;utid=1" TargetMode="External"/><Relationship Id="rId14" Type="http://schemas.openxmlformats.org/officeDocument/2006/relationships/hyperlink" Target="http://web2.westlaw.com/find/default.wl?mt=Washington&amp;db=WA-ST-ANN&amp;rs=WLW14.01&amp;docname=LK(%22WAST4.28.150%22)&amp;rp=%2ffind%2fdefault.wl&amp;findtype=l&amp;ordoc=NE4C3C8106FC511DE9328ED266CBDF61C&amp;tc=-1&amp;vr=2.0&amp;fn=_top&amp;sv=Split&amp;tf=-1&amp;pbc=889F2C72&amp;ut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2014-07-15T18:31:00Z</dcterms:created>
  <dcterms:modified xsi:type="dcterms:W3CDTF">2016-04-25T19:32:00Z</dcterms:modified>
</cp:coreProperties>
</file>