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030CB" w14:textId="60C690F7" w:rsidR="00561370" w:rsidRPr="00880D7F" w:rsidRDefault="00AA0317" w:rsidP="00880D7F">
      <w:pPr>
        <w:jc w:val="center"/>
        <w:rPr>
          <w:b/>
          <w:bCs/>
          <w:sz w:val="28"/>
          <w:szCs w:val="28"/>
        </w:rPr>
      </w:pPr>
      <w:r w:rsidRPr="00880D7F">
        <w:rPr>
          <w:b/>
          <w:bCs/>
          <w:sz w:val="28"/>
          <w:szCs w:val="28"/>
        </w:rPr>
        <w:t>HB 2445</w:t>
      </w:r>
      <w:r w:rsidR="00880D7F" w:rsidRPr="00880D7F">
        <w:rPr>
          <w:b/>
          <w:bCs/>
          <w:sz w:val="28"/>
          <w:szCs w:val="28"/>
        </w:rPr>
        <w:t>: Changes to Estate Administration</w:t>
      </w:r>
    </w:p>
    <w:p w14:paraId="448C54C7" w14:textId="35C9B8C0" w:rsidR="00684884" w:rsidRPr="00684884" w:rsidRDefault="00684884" w:rsidP="006075C1">
      <w:pPr>
        <w:spacing w:after="0"/>
      </w:pPr>
      <w:r>
        <w:rPr>
          <w:u w:val="single"/>
        </w:rPr>
        <w:t>Context</w:t>
      </w:r>
      <w:r>
        <w:t>:</w:t>
      </w:r>
    </w:p>
    <w:p w14:paraId="5CC81860" w14:textId="49AD1B7E" w:rsidR="00073B72" w:rsidRDefault="00880D7F" w:rsidP="006075C1">
      <w:pPr>
        <w:spacing w:after="0"/>
      </w:pPr>
      <w:r>
        <w:t xml:space="preserve">When someone dies intestate </w:t>
      </w:r>
      <w:r w:rsidR="00684884">
        <w:t xml:space="preserve">(without a will) or the person named as the personal representative </w:t>
      </w:r>
      <w:r w:rsidR="00BC5139">
        <w:t xml:space="preserve">(or executor) </w:t>
      </w:r>
      <w:r w:rsidR="00684884">
        <w:t xml:space="preserve">in the will is </w:t>
      </w:r>
      <w:r>
        <w:t>unable to serve or decline</w:t>
      </w:r>
      <w:r w:rsidR="00BC5139">
        <w:t>s</w:t>
      </w:r>
      <w:r>
        <w:t xml:space="preserve"> to serve, the people entitled </w:t>
      </w:r>
      <w:r w:rsidR="00073B72">
        <w:t xml:space="preserve">to letters </w:t>
      </w:r>
      <w:r w:rsidR="00711FE8">
        <w:t xml:space="preserve">of administration </w:t>
      </w:r>
      <w:r w:rsidR="00073B72">
        <w:t>are:</w:t>
      </w:r>
    </w:p>
    <w:p w14:paraId="1037193C" w14:textId="6B2CAC52" w:rsidR="00073B72" w:rsidRDefault="00073B72" w:rsidP="00711FE8">
      <w:pPr>
        <w:pStyle w:val="ListParagraph"/>
        <w:numPr>
          <w:ilvl w:val="0"/>
          <w:numId w:val="4"/>
        </w:numPr>
      </w:pPr>
      <w:r>
        <w:t>The surviving spouse or state registered domestic partner</w:t>
      </w:r>
      <w:r w:rsidR="00BC5139">
        <w:t>;</w:t>
      </w:r>
    </w:p>
    <w:p w14:paraId="0D859A61" w14:textId="2798466C" w:rsidR="00073B72" w:rsidRDefault="00073B72" w:rsidP="00711FE8">
      <w:pPr>
        <w:pStyle w:val="ListParagraph"/>
        <w:numPr>
          <w:ilvl w:val="0"/>
          <w:numId w:val="4"/>
        </w:numPr>
      </w:pPr>
      <w:r>
        <w:t>The next of ki</w:t>
      </w:r>
      <w:r w:rsidR="00BC5139">
        <w:t>n in the order provided</w:t>
      </w:r>
      <w:r>
        <w:t>: (i) child/children; (ii) parent; (iii) siblings; (iv) grandchildren; (v) nephews or nieces</w:t>
      </w:r>
      <w:r w:rsidR="00BC5139">
        <w:t>;</w:t>
      </w:r>
    </w:p>
    <w:p w14:paraId="73AF4BDE" w14:textId="14D840E6" w:rsidR="00073B72" w:rsidRDefault="00073B72" w:rsidP="00711FE8">
      <w:pPr>
        <w:pStyle w:val="ListParagraph"/>
        <w:numPr>
          <w:ilvl w:val="0"/>
          <w:numId w:val="4"/>
        </w:numPr>
      </w:pPr>
      <w:r>
        <w:t>Other entities listed in RCW 11.28.120 (c) – (</w:t>
      </w:r>
      <w:r w:rsidR="00BC5139">
        <w:t>f</w:t>
      </w:r>
      <w:r>
        <w:t>)</w:t>
      </w:r>
      <w:r w:rsidR="00BC5139">
        <w:t>;</w:t>
      </w:r>
    </w:p>
    <w:p w14:paraId="5890EFFC" w14:textId="7D9C4942" w:rsidR="00073B72" w:rsidRDefault="00073B72" w:rsidP="00711FE8">
      <w:pPr>
        <w:pStyle w:val="ListParagraph"/>
        <w:numPr>
          <w:ilvl w:val="1"/>
          <w:numId w:val="4"/>
        </w:numPr>
      </w:pPr>
      <w:r>
        <w:t>Or</w:t>
      </w:r>
    </w:p>
    <w:p w14:paraId="1623ABA9" w14:textId="77777777" w:rsidR="00711FE8" w:rsidRDefault="00073B72" w:rsidP="00711FE8">
      <w:pPr>
        <w:pStyle w:val="ListParagraph"/>
        <w:numPr>
          <w:ilvl w:val="0"/>
          <w:numId w:val="4"/>
        </w:numPr>
      </w:pPr>
      <w:r>
        <w:t>A “suitable person.”</w:t>
      </w:r>
      <w:r w:rsidR="00711FE8">
        <w:t xml:space="preserve">                             </w:t>
      </w:r>
    </w:p>
    <w:p w14:paraId="5EA9371F" w14:textId="0040C29D" w:rsidR="00073B72" w:rsidRDefault="00BC5139" w:rsidP="00073B72">
      <w:r>
        <w:t xml:space="preserve">In response to numerous complaints investigated by the Attorney General’s Office,              </w:t>
      </w:r>
      <w:r w:rsidR="00880D7F">
        <w:t xml:space="preserve">HB 2445 provides </w:t>
      </w:r>
      <w:r>
        <w:t>protections against</w:t>
      </w:r>
      <w:r w:rsidR="00880D7F">
        <w:t xml:space="preserve"> abuse by a</w:t>
      </w:r>
      <w:r>
        <w:t>n unrelated</w:t>
      </w:r>
      <w:r w:rsidR="00880D7F">
        <w:t xml:space="preserve"> “suitable person” who becomes the administrator</w:t>
      </w:r>
      <w:r>
        <w:t>/personal representative</w:t>
      </w:r>
      <w:r w:rsidR="00880D7F">
        <w:t xml:space="preserve"> of an estate.</w:t>
      </w:r>
    </w:p>
    <w:p w14:paraId="606DE7AB" w14:textId="5ECC7C83" w:rsidR="00AA0317" w:rsidRDefault="00AA0317" w:rsidP="006075C1">
      <w:pPr>
        <w:spacing w:after="0"/>
      </w:pPr>
      <w:r w:rsidRPr="00684884">
        <w:rPr>
          <w:u w:val="single"/>
        </w:rPr>
        <w:t>Changes in the law</w:t>
      </w:r>
      <w:r w:rsidR="00684884">
        <w:rPr>
          <w:u w:val="single"/>
        </w:rPr>
        <w:t xml:space="preserve"> – Effective June 11, 2026</w:t>
      </w:r>
      <w:r>
        <w:t>:</w:t>
      </w:r>
    </w:p>
    <w:p w14:paraId="0F76B321" w14:textId="36DB2420" w:rsidR="00E21BB8" w:rsidRDefault="00073B72" w:rsidP="007B0439">
      <w:pPr>
        <w:pStyle w:val="ListParagraph"/>
        <w:numPr>
          <w:ilvl w:val="0"/>
          <w:numId w:val="8"/>
        </w:numPr>
      </w:pPr>
      <w:r>
        <w:t xml:space="preserve">RCW 11.28.110: </w:t>
      </w:r>
      <w:r w:rsidR="00E21BB8">
        <w:t xml:space="preserve">Petitions for </w:t>
      </w:r>
      <w:r w:rsidR="000F1CC1">
        <w:t>i</w:t>
      </w:r>
      <w:r w:rsidR="00E21BB8">
        <w:t xml:space="preserve">ntestate </w:t>
      </w:r>
      <w:r w:rsidR="000F1CC1">
        <w:t>a</w:t>
      </w:r>
      <w:r w:rsidR="00E21BB8">
        <w:t xml:space="preserve">ppointment </w:t>
      </w:r>
      <w:r w:rsidR="000F1CC1">
        <w:t>n</w:t>
      </w:r>
      <w:r w:rsidR="00E21BB8">
        <w:t xml:space="preserve">ow </w:t>
      </w:r>
      <w:r w:rsidR="000F1CC1">
        <w:t>r</w:t>
      </w:r>
      <w:r w:rsidR="00E21BB8">
        <w:t>equire:</w:t>
      </w:r>
    </w:p>
    <w:p w14:paraId="4F998382" w14:textId="77777777" w:rsidR="00BC5139" w:rsidRDefault="00BC5139" w:rsidP="00073B72">
      <w:pPr>
        <w:pStyle w:val="ListParagraph"/>
        <w:numPr>
          <w:ilvl w:val="0"/>
          <w:numId w:val="2"/>
        </w:numPr>
      </w:pPr>
      <w:r>
        <w:t>The basis for knowledge t</w:t>
      </w:r>
      <w:r w:rsidR="00E21BB8">
        <w:t>hat decedent died without a will</w:t>
      </w:r>
      <w:r>
        <w:t xml:space="preserve"> </w:t>
      </w:r>
    </w:p>
    <w:p w14:paraId="0D27923F" w14:textId="187D7C6C" w:rsidR="00E21BB8" w:rsidRDefault="00BC5139" w:rsidP="00BC5139">
      <w:pPr>
        <w:pStyle w:val="ListParagraph"/>
        <w:numPr>
          <w:ilvl w:val="1"/>
          <w:numId w:val="2"/>
        </w:numPr>
      </w:pPr>
      <w:r>
        <w:t>This is not limited to a “suitable person” petitioner, and many petitioners are not aware of this change</w:t>
      </w:r>
      <w:r w:rsidR="000F1CC1">
        <w:t>.</w:t>
      </w:r>
    </w:p>
    <w:p w14:paraId="7412D146" w14:textId="211B0557" w:rsidR="00E21BB8" w:rsidRDefault="00E21BB8" w:rsidP="00073B72">
      <w:pPr>
        <w:pStyle w:val="ListParagraph"/>
        <w:numPr>
          <w:ilvl w:val="0"/>
          <w:numId w:val="2"/>
        </w:numPr>
      </w:pPr>
      <w:r>
        <w:t xml:space="preserve">The details about </w:t>
      </w:r>
      <w:r w:rsidR="00BC5139">
        <w:t xml:space="preserve">a </w:t>
      </w:r>
      <w:r>
        <w:t>reasonable search for the decedent’s heirs</w:t>
      </w:r>
      <w:r w:rsidR="000F1CC1">
        <w:t>.</w:t>
      </w:r>
    </w:p>
    <w:p w14:paraId="0981B82C" w14:textId="28F548FC" w:rsidR="00BC5139" w:rsidRDefault="00E21BB8" w:rsidP="00073B72">
      <w:pPr>
        <w:pStyle w:val="ListParagraph"/>
        <w:numPr>
          <w:ilvl w:val="0"/>
          <w:numId w:val="2"/>
        </w:numPr>
      </w:pPr>
      <w:r>
        <w:t>A general description of major probate assets (real estate, vehicles, anything over $10,000)</w:t>
      </w:r>
      <w:r w:rsidR="007B0439">
        <w:t xml:space="preserve">, and the details about the reasonable search to identify </w:t>
      </w:r>
      <w:r w:rsidR="000F1CC1">
        <w:t>them</w:t>
      </w:r>
      <w:r w:rsidR="00073B72">
        <w:t xml:space="preserve">. </w:t>
      </w:r>
    </w:p>
    <w:p w14:paraId="22273DB8" w14:textId="6786BE63" w:rsidR="007B0439" w:rsidRDefault="007B0439" w:rsidP="007B0439">
      <w:pPr>
        <w:pStyle w:val="ListParagraph"/>
        <w:numPr>
          <w:ilvl w:val="1"/>
          <w:numId w:val="2"/>
        </w:numPr>
      </w:pPr>
      <w:r>
        <w:t>The major assets need not be described if the petitioner is the surviving spouse or next of kin.</w:t>
      </w:r>
    </w:p>
    <w:p w14:paraId="1600160F" w14:textId="5492E34F" w:rsidR="00E21BB8" w:rsidRDefault="00073B72" w:rsidP="007B0439">
      <w:pPr>
        <w:pStyle w:val="ListParagraph"/>
        <w:numPr>
          <w:ilvl w:val="1"/>
          <w:numId w:val="2"/>
        </w:numPr>
      </w:pPr>
      <w:r>
        <w:t>Values are only required when the court must determine a bond amount.</w:t>
      </w:r>
    </w:p>
    <w:p w14:paraId="7F95B7C8" w14:textId="3742CE75" w:rsidR="00E21BB8" w:rsidRDefault="00E21BB8" w:rsidP="00073B72">
      <w:pPr>
        <w:pStyle w:val="ListParagraph"/>
        <w:numPr>
          <w:ilvl w:val="0"/>
          <w:numId w:val="2"/>
        </w:numPr>
      </w:pPr>
      <w:r>
        <w:t>That the applicant is qualified to administer the estate and not disqualified under RCW 11.36.010</w:t>
      </w:r>
      <w:r w:rsidR="007B0439">
        <w:t>.</w:t>
      </w:r>
    </w:p>
    <w:p w14:paraId="593B1584" w14:textId="77777777" w:rsidR="00AA1829" w:rsidRDefault="00AA1829" w:rsidP="00AA1829">
      <w:pPr>
        <w:pStyle w:val="ListParagraph"/>
      </w:pPr>
    </w:p>
    <w:p w14:paraId="1EBB1B29" w14:textId="7A3AB55D" w:rsidR="00073B72" w:rsidRDefault="00073B72" w:rsidP="006B45A5">
      <w:pPr>
        <w:pStyle w:val="ListParagraph"/>
        <w:numPr>
          <w:ilvl w:val="0"/>
          <w:numId w:val="8"/>
        </w:numPr>
      </w:pPr>
      <w:r>
        <w:t>RCW 11.28.120:</w:t>
      </w:r>
      <w:r w:rsidR="00AA1829">
        <w:t xml:space="preserve"> Longer timelines before appointment of a “suitable person:”</w:t>
      </w:r>
    </w:p>
    <w:p w14:paraId="2605D73F" w14:textId="398958F8" w:rsidR="00073B72" w:rsidRDefault="00711FE8" w:rsidP="00AA1829">
      <w:pPr>
        <w:pStyle w:val="ListParagraph"/>
        <w:numPr>
          <w:ilvl w:val="0"/>
          <w:numId w:val="5"/>
        </w:numPr>
      </w:pPr>
      <w:r>
        <w:t>Persons</w:t>
      </w:r>
      <w:r w:rsidR="00AA1829">
        <w:t xml:space="preserve"> statutorily</w:t>
      </w:r>
      <w:r>
        <w:t xml:space="preserve"> entitled to administer the estate now have 60 days (</w:t>
      </w:r>
      <w:r w:rsidR="00AA1829">
        <w:t>had been</w:t>
      </w:r>
      <w:r>
        <w:t xml:space="preserve"> 40 days) to petition for letters of administration</w:t>
      </w:r>
      <w:r w:rsidR="00AA1829">
        <w:t xml:space="preserve"> </w:t>
      </w:r>
      <w:r w:rsidR="006B45A5">
        <w:t xml:space="preserve">before </w:t>
      </w:r>
      <w:r w:rsidR="00AA1829">
        <w:t>waiving their right to petition to administer the estate.</w:t>
      </w:r>
    </w:p>
    <w:p w14:paraId="2A10B6FF" w14:textId="685A0B80" w:rsidR="00AA1829" w:rsidRDefault="00AA1829" w:rsidP="00AA1829">
      <w:pPr>
        <w:pStyle w:val="ListParagraph"/>
        <w:numPr>
          <w:ilvl w:val="0"/>
          <w:numId w:val="5"/>
        </w:numPr>
      </w:pPr>
      <w:r>
        <w:t xml:space="preserve">A “suitable person” to administer the estate may be appointed only after 90 days have passed (had been 40 days) and </w:t>
      </w:r>
      <w:r w:rsidR="006B45A5">
        <w:t>persons entitled</w:t>
      </w:r>
      <w:r>
        <w:t xml:space="preserve"> have not petitioned to administer the estate.</w:t>
      </w:r>
    </w:p>
    <w:p w14:paraId="1022FDAE" w14:textId="77777777" w:rsidR="007B0439" w:rsidRDefault="007B0439" w:rsidP="007B0439">
      <w:pPr>
        <w:pStyle w:val="ListParagraph"/>
      </w:pPr>
    </w:p>
    <w:p w14:paraId="743B79DC" w14:textId="5BCB2D63" w:rsidR="00AA0317" w:rsidRDefault="00AA0317" w:rsidP="007B0439">
      <w:pPr>
        <w:pStyle w:val="ListParagraph"/>
        <w:numPr>
          <w:ilvl w:val="0"/>
          <w:numId w:val="8"/>
        </w:numPr>
      </w:pPr>
      <w:r>
        <w:lastRenderedPageBreak/>
        <w:t>Other requirements</w:t>
      </w:r>
      <w:r w:rsidR="006B45A5">
        <w:t>/limitations</w:t>
      </w:r>
      <w:r>
        <w:t xml:space="preserve"> for a “suitable person” to administer an estate:</w:t>
      </w:r>
    </w:p>
    <w:p w14:paraId="6B9BA09C" w14:textId="010C78A9" w:rsidR="00AA1829" w:rsidRDefault="00AA1829" w:rsidP="00AA1829">
      <w:pPr>
        <w:pStyle w:val="ListParagraph"/>
        <w:numPr>
          <w:ilvl w:val="0"/>
          <w:numId w:val="6"/>
        </w:numPr>
      </w:pPr>
      <w:r>
        <w:t>Case must be filed in the county where the decedent resided at the time of their death. If decedent did not reside in Washington, it shall be a county where a probate asset is located.</w:t>
      </w:r>
      <w:r w:rsidR="00AF7C49">
        <w:t xml:space="preserve"> RCW 11.96A.050(4)</w:t>
      </w:r>
    </w:p>
    <w:p w14:paraId="4C228797" w14:textId="6A65D86A" w:rsidR="00AA1829" w:rsidRDefault="006B45A5" w:rsidP="00AA1829">
      <w:pPr>
        <w:pStyle w:val="ListParagraph"/>
        <w:numPr>
          <w:ilvl w:val="0"/>
          <w:numId w:val="6"/>
        </w:numPr>
      </w:pPr>
      <w:r>
        <w:t>Court i</w:t>
      </w:r>
      <w:r w:rsidR="00AA1829">
        <w:t>ntervention is required unless the “suitable person” is a trust, bank, or professional service corporation formed by attorneys.</w:t>
      </w:r>
      <w:r w:rsidR="00501984">
        <w:t xml:space="preserve"> RCW 11.68.011</w:t>
      </w:r>
    </w:p>
    <w:p w14:paraId="3BB36361" w14:textId="7A945633" w:rsidR="00AA0317" w:rsidRDefault="00AA0317" w:rsidP="00AA1829">
      <w:pPr>
        <w:pStyle w:val="ListParagraph"/>
        <w:numPr>
          <w:ilvl w:val="0"/>
          <w:numId w:val="6"/>
        </w:numPr>
      </w:pPr>
      <w:r>
        <w:t xml:space="preserve">Bond is required unless the </w:t>
      </w:r>
      <w:r w:rsidR="006B45A5">
        <w:t xml:space="preserve">administrator/personal representative </w:t>
      </w:r>
      <w:r>
        <w:t>is a trust, bank, or professional service corporation formed by attorneys</w:t>
      </w:r>
      <w:r w:rsidR="00AA1829">
        <w:t>. RCW 11.28.185.</w:t>
      </w:r>
    </w:p>
    <w:p w14:paraId="11030CF9" w14:textId="5005D868" w:rsidR="00E21BB8" w:rsidRDefault="00E21BB8" w:rsidP="00AA1829">
      <w:pPr>
        <w:pStyle w:val="ListParagraph"/>
        <w:numPr>
          <w:ilvl w:val="0"/>
          <w:numId w:val="6"/>
        </w:numPr>
      </w:pPr>
      <w:r>
        <w:t>Bond must be commensurate with the major probate assets identified in the petition.</w:t>
      </w:r>
      <w:r w:rsidR="00501984" w:rsidRPr="00501984">
        <w:t xml:space="preserve"> </w:t>
      </w:r>
      <w:r w:rsidR="00501984">
        <w:t>RCW 11.28.185</w:t>
      </w:r>
    </w:p>
    <w:p w14:paraId="074C870A" w14:textId="57861CE4" w:rsidR="00AA0317" w:rsidRDefault="006B45A5" w:rsidP="00AA1829">
      <w:pPr>
        <w:pStyle w:val="ListParagraph"/>
        <w:numPr>
          <w:ilvl w:val="0"/>
          <w:numId w:val="6"/>
        </w:numPr>
      </w:pPr>
      <w:r>
        <w:t>A “suitable person” is limited</w:t>
      </w:r>
      <w:r w:rsidR="00E21BB8">
        <w:t xml:space="preserve"> to two petitions for appointment per year unless the “suitable person” </w:t>
      </w:r>
      <w:r w:rsidR="00AA0317" w:rsidRPr="00AA0317">
        <w:t>is a trust company, bank, or a professional service corporation formed by attorneys.</w:t>
      </w:r>
    </w:p>
    <w:p w14:paraId="37F6215C" w14:textId="65E353C5" w:rsidR="006B45A5" w:rsidRDefault="006B45A5" w:rsidP="00501984">
      <w:pPr>
        <w:pStyle w:val="ListParagraph"/>
        <w:numPr>
          <w:ilvl w:val="0"/>
          <w:numId w:val="6"/>
        </w:numPr>
      </w:pPr>
      <w:r>
        <w:t>A “suitable person” is limited in compensation to that provided by RCW 11.48.210 – that determined by the court to be “just and reasonable.”</w:t>
      </w:r>
      <w:r w:rsidR="00501984">
        <w:t xml:space="preserve"> RCW 11.28.120(3)</w:t>
      </w:r>
    </w:p>
    <w:p w14:paraId="4E3A11D2" w14:textId="4E3C2DE6" w:rsidR="006B45A5" w:rsidRDefault="006B45A5" w:rsidP="00AA1829">
      <w:pPr>
        <w:pStyle w:val="ListParagraph"/>
        <w:numPr>
          <w:ilvl w:val="0"/>
          <w:numId w:val="6"/>
        </w:numPr>
      </w:pPr>
      <w:r>
        <w:t>A “suitable person” shall not purchase, acquire, or receive proceeds from the sale of estate assets except as provided under RCW 11.48.020 – which requires a hearing, with notice to the heirs, legatees, devisees, beneficiaries, and transferees of the estate.  The request must be denied unless “</w:t>
      </w:r>
      <w:r w:rsidRPr="006B45A5">
        <w:t>the personal representative establishes clearly and convincingly that the requested purchase, acquisition, or receipt is consistent with the personal representative's duty of loyalty and all applicable laws, and would not be voidable by any heir, legatee, devisee, beneficiary, or transferee of the estate.</w:t>
      </w:r>
      <w:r w:rsidR="00501984">
        <w:t>” RCW 11.28.120(3);                  RCW 11.48.020(2).</w:t>
      </w:r>
    </w:p>
    <w:p w14:paraId="6FDEA9F2" w14:textId="77777777" w:rsidR="00501984" w:rsidRDefault="00501984" w:rsidP="00501984">
      <w:pPr>
        <w:pStyle w:val="ListParagraph"/>
        <w:ind w:left="1080"/>
      </w:pPr>
    </w:p>
    <w:p w14:paraId="36E72417" w14:textId="36271304" w:rsidR="00AA0317" w:rsidRDefault="006B45A5" w:rsidP="006B45A5">
      <w:pPr>
        <w:pStyle w:val="ListParagraph"/>
        <w:numPr>
          <w:ilvl w:val="0"/>
          <w:numId w:val="8"/>
        </w:numPr>
      </w:pPr>
      <w:r>
        <w:t xml:space="preserve">RCW 11.36.010: </w:t>
      </w:r>
      <w:r w:rsidR="00AA0317" w:rsidRPr="00AA0317">
        <w:t xml:space="preserve">The following are added to the list of those not qualified to act as personal representatives: </w:t>
      </w:r>
    </w:p>
    <w:p w14:paraId="7CF23111" w14:textId="79243A63" w:rsidR="00AA0317" w:rsidRDefault="00501984" w:rsidP="00AA0317">
      <w:pPr>
        <w:pStyle w:val="ListParagraph"/>
        <w:numPr>
          <w:ilvl w:val="0"/>
          <w:numId w:val="1"/>
        </w:numPr>
      </w:pPr>
      <w:r>
        <w:t>A</w:t>
      </w:r>
      <w:r w:rsidR="00AA0317" w:rsidRPr="00AA0317">
        <w:t xml:space="preserve"> person who within the last 24 months has had letters of administration revoked for cause, such as waste, embezzlement, or fraud on the estate; </w:t>
      </w:r>
    </w:p>
    <w:p w14:paraId="7440DEE8" w14:textId="651174C5" w:rsidR="00AA0317" w:rsidRDefault="00501984" w:rsidP="00AA0317">
      <w:pPr>
        <w:pStyle w:val="ListParagraph"/>
        <w:numPr>
          <w:ilvl w:val="0"/>
          <w:numId w:val="1"/>
        </w:numPr>
      </w:pPr>
      <w:r>
        <w:t>A</w:t>
      </w:r>
      <w:r w:rsidR="00AA0317" w:rsidRPr="00AA0317">
        <w:t xml:space="preserve"> person who has been found by a court or administrative agency within the last 36 months to have engaged in acts of dishonesty, theft, or breach of fiduciary duty; </w:t>
      </w:r>
      <w:r>
        <w:t>and</w:t>
      </w:r>
    </w:p>
    <w:p w14:paraId="5FEA22D8" w14:textId="4D532CE4" w:rsidR="00AA0317" w:rsidRDefault="00501984" w:rsidP="00AA0317">
      <w:pPr>
        <w:pStyle w:val="ListParagraph"/>
        <w:numPr>
          <w:ilvl w:val="0"/>
          <w:numId w:val="1"/>
        </w:numPr>
      </w:pPr>
      <w:r>
        <w:t>A</w:t>
      </w:r>
      <w:r w:rsidR="00AA0317" w:rsidRPr="00AA0317">
        <w:t xml:space="preserve"> person who seeks appointment under the "suitable person" provisions and who is a principal or agent of or acting in concert with any person or entity likely to be involved in the sale, purchase, or transfer of a major probate asset. </w:t>
      </w:r>
      <w:r>
        <w:t xml:space="preserve">(And the court must revoke letters if the court learns the person appointed is actually </w:t>
      </w:r>
      <w:r>
        <w:lastRenderedPageBreak/>
        <w:t>a principal, agent, or acting in concert with persons or entities involved in the sale, purchase, or transfer of a major probate asset.)</w:t>
      </w:r>
    </w:p>
    <w:p w14:paraId="2C78605C" w14:textId="77777777" w:rsidR="00AF7C49" w:rsidRDefault="00AF7C49" w:rsidP="006075C1">
      <w:pPr>
        <w:pStyle w:val="ListParagraph"/>
        <w:spacing w:line="240" w:lineRule="auto"/>
        <w:ind w:left="1080"/>
      </w:pPr>
    </w:p>
    <w:p w14:paraId="3D812AE7" w14:textId="5BD59047" w:rsidR="00577C04" w:rsidRDefault="00577C04" w:rsidP="00577C04">
      <w:pPr>
        <w:pStyle w:val="ListParagraph"/>
        <w:numPr>
          <w:ilvl w:val="0"/>
          <w:numId w:val="8"/>
        </w:numPr>
      </w:pPr>
      <w:r>
        <w:t xml:space="preserve">RCW 11.76.010 – New </w:t>
      </w:r>
      <w:r w:rsidR="000F1CC1">
        <w:t>r</w:t>
      </w:r>
      <w:r>
        <w:t xml:space="preserve">equirements for </w:t>
      </w:r>
      <w:r w:rsidR="000F1CC1">
        <w:t>p</w:t>
      </w:r>
      <w:r>
        <w:t xml:space="preserve">ersonal </w:t>
      </w:r>
      <w:r w:rsidR="000F1CC1">
        <w:t>r</w:t>
      </w:r>
      <w:r>
        <w:t>epresentatives</w:t>
      </w:r>
      <w:r w:rsidR="000F1CC1">
        <w:t>:</w:t>
      </w:r>
    </w:p>
    <w:p w14:paraId="40F973AD" w14:textId="25AF6C39" w:rsidR="00577C04" w:rsidRDefault="00577C04" w:rsidP="00577C04">
      <w:pPr>
        <w:pStyle w:val="ListParagraph"/>
        <w:numPr>
          <w:ilvl w:val="0"/>
          <w:numId w:val="9"/>
        </w:numPr>
      </w:pPr>
      <w:r>
        <w:t xml:space="preserve">Within 30 days of appointment, a personal representative must now make and file a report confirming notice to third parties, which includes the details of their search to identify such persons and the date and manner in which notice was provided. RCW 11.76.010. </w:t>
      </w:r>
      <w:r w:rsidR="000F1CC1">
        <w:t>(</w:t>
      </w:r>
      <w:r>
        <w:t>The statute provides the form for such report.</w:t>
      </w:r>
      <w:r w:rsidR="000F1CC1">
        <w:t>)</w:t>
      </w:r>
      <w:r>
        <w:t xml:space="preserve"> </w:t>
      </w:r>
    </w:p>
    <w:p w14:paraId="76866701" w14:textId="49D2A814" w:rsidR="00577C04" w:rsidRDefault="00577C04" w:rsidP="00577C04">
      <w:pPr>
        <w:pStyle w:val="ListParagraph"/>
        <w:numPr>
          <w:ilvl w:val="0"/>
          <w:numId w:val="9"/>
        </w:numPr>
      </w:pPr>
      <w:r>
        <w:t xml:space="preserve">Within 30 days after opening any financial account to collect and pay out sums on behalf of the estate, the personal representative shall make and file a report with the date the account was opened, the financial institution holding the account, and each signatory on the account. </w:t>
      </w:r>
      <w:r w:rsidR="000F1CC1">
        <w:t>(</w:t>
      </w:r>
      <w:r>
        <w:t>The statute provides the form for such report.</w:t>
      </w:r>
      <w:r w:rsidR="000F1CC1">
        <w:t>)</w:t>
      </w:r>
      <w:r>
        <w:t xml:space="preserve"> </w:t>
      </w:r>
    </w:p>
    <w:p w14:paraId="0F336B7D" w14:textId="3A95A982" w:rsidR="00AF7C49" w:rsidRDefault="00AF7C49" w:rsidP="00577C04">
      <w:pPr>
        <w:pStyle w:val="ListParagraph"/>
        <w:numPr>
          <w:ilvl w:val="0"/>
          <w:numId w:val="9"/>
        </w:numPr>
      </w:pPr>
      <w:r>
        <w:t>The court or any interested person may request additional reports as provided by this section.</w:t>
      </w:r>
    </w:p>
    <w:p w14:paraId="1AD1D17B" w14:textId="1DB60326" w:rsidR="00AF7C49" w:rsidRDefault="00AF7C49" w:rsidP="00577C04">
      <w:pPr>
        <w:pStyle w:val="ListParagraph"/>
        <w:numPr>
          <w:ilvl w:val="0"/>
          <w:numId w:val="9"/>
        </w:numPr>
      </w:pPr>
      <w:r>
        <w:t>If the personal representative fails to timely file a report under this section, upon request of the court or any interested person, within 14 days, the court shall hold a formal proceeding to require the personal representative to appear and provide sworn testimony regarding the facts that would be contained in the report. The failure by the personal representative to appear at the hearing, to testify truthfully and completely, or repeated failure to timely file reports required under this section, shall result in the court “taking any action i</w:t>
      </w:r>
      <w:r w:rsidR="000F1CC1">
        <w:t>t</w:t>
      </w:r>
      <w:r>
        <w:t xml:space="preserve"> deems just and proper to protect estate assets of rights of interested persons.” These include sanctions and revoking letters. The order must be provided to all known heirs, legatees, devisees, beneficiaries, and transferees.</w:t>
      </w:r>
    </w:p>
    <w:p w14:paraId="549F27C6" w14:textId="41EE742B" w:rsidR="00AF7C49" w:rsidRDefault="00AF7C49" w:rsidP="00577C04">
      <w:pPr>
        <w:pStyle w:val="ListParagraph"/>
        <w:numPr>
          <w:ilvl w:val="0"/>
          <w:numId w:val="9"/>
        </w:numPr>
      </w:pPr>
      <w:r>
        <w:t xml:space="preserve">24 months is the presumed period by which an estate should be closed. The court or interested person may request an order for final report and petition for distribution by a date certain. </w:t>
      </w:r>
    </w:p>
    <w:p w14:paraId="1DF4BB8B" w14:textId="77777777" w:rsidR="000F1CC1" w:rsidRDefault="000F1CC1" w:rsidP="006075C1">
      <w:pPr>
        <w:pStyle w:val="ListParagraph"/>
        <w:spacing w:line="240" w:lineRule="auto"/>
        <w:ind w:left="1080"/>
      </w:pPr>
    </w:p>
    <w:p w14:paraId="4C12E244" w14:textId="6C1776D2" w:rsidR="00577C04" w:rsidRDefault="00AF7C49" w:rsidP="00577C04">
      <w:pPr>
        <w:pStyle w:val="ListParagraph"/>
        <w:numPr>
          <w:ilvl w:val="0"/>
          <w:numId w:val="8"/>
        </w:numPr>
      </w:pPr>
      <w:r>
        <w:t xml:space="preserve">RCW 11.56.290 – New </w:t>
      </w:r>
      <w:r w:rsidR="000F1CC1">
        <w:t>s</w:t>
      </w:r>
      <w:r>
        <w:t xml:space="preserve">ection </w:t>
      </w:r>
      <w:r w:rsidR="000F1CC1">
        <w:t>governing when</w:t>
      </w:r>
      <w:r>
        <w:t xml:space="preserve"> a </w:t>
      </w:r>
      <w:r w:rsidR="000F1CC1">
        <w:t>t</w:t>
      </w:r>
      <w:r>
        <w:t xml:space="preserve">ransferee </w:t>
      </w:r>
      <w:r w:rsidR="000F1CC1">
        <w:t>p</w:t>
      </w:r>
      <w:r>
        <w:t xml:space="preserve">urchases a </w:t>
      </w:r>
      <w:r w:rsidR="000F1CC1">
        <w:t>b</w:t>
      </w:r>
      <w:r>
        <w:t xml:space="preserve">eneficiary’s </w:t>
      </w:r>
      <w:r w:rsidR="000F1CC1">
        <w:t>i</w:t>
      </w:r>
      <w:r>
        <w:t xml:space="preserve">nterest in an </w:t>
      </w:r>
      <w:r w:rsidR="000F1CC1">
        <w:t>e</w:t>
      </w:r>
      <w:r>
        <w:t>state.</w:t>
      </w:r>
    </w:p>
    <w:p w14:paraId="2D20AC45" w14:textId="0F4E9F83" w:rsidR="000F1CC1" w:rsidRDefault="006075C1" w:rsidP="006075C1">
      <w:pPr>
        <w:pStyle w:val="ListParagraph"/>
        <w:numPr>
          <w:ilvl w:val="0"/>
          <w:numId w:val="10"/>
        </w:numPr>
      </w:pPr>
      <w:r>
        <w:t>Provides certain requirements for validity and terms by which the court may refuse to order distribution under such an agreement</w:t>
      </w:r>
      <w:r w:rsidR="00E102A7">
        <w:t xml:space="preserve"> and may award terms</w:t>
      </w:r>
      <w:r>
        <w:t>.</w:t>
      </w:r>
    </w:p>
    <w:p w14:paraId="01645471" w14:textId="706F43D8" w:rsidR="000F1CC1" w:rsidRDefault="000F1CC1" w:rsidP="00577C04">
      <w:pPr>
        <w:pStyle w:val="ListParagraph"/>
        <w:numPr>
          <w:ilvl w:val="0"/>
          <w:numId w:val="8"/>
        </w:numPr>
      </w:pPr>
      <w:r>
        <w:t>RCW 11.56.295 – New section governing when an heir finder acquires a share of an heir’s interest in an estate.</w:t>
      </w:r>
    </w:p>
    <w:p w14:paraId="55F8DD86" w14:textId="1C335D10" w:rsidR="006075C1" w:rsidRDefault="006075C1" w:rsidP="006075C1">
      <w:pPr>
        <w:pStyle w:val="ListParagraph"/>
        <w:numPr>
          <w:ilvl w:val="0"/>
          <w:numId w:val="10"/>
        </w:numPr>
      </w:pPr>
      <w:r>
        <w:t>Provides certain requirements for validity and terms by which the court may refuse to order distribution under such an agreement</w:t>
      </w:r>
      <w:r w:rsidR="00E102A7">
        <w:t xml:space="preserve"> and may award terms</w:t>
      </w:r>
      <w:r>
        <w:t>.</w:t>
      </w:r>
    </w:p>
    <w:sectPr w:rsidR="006075C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DD9D" w14:textId="77777777" w:rsidR="00190F6A" w:rsidRDefault="00190F6A" w:rsidP="000F1CC1">
      <w:pPr>
        <w:spacing w:after="0" w:line="240" w:lineRule="auto"/>
      </w:pPr>
      <w:r>
        <w:separator/>
      </w:r>
    </w:p>
  </w:endnote>
  <w:endnote w:type="continuationSeparator" w:id="0">
    <w:p w14:paraId="1F0FAB23" w14:textId="77777777" w:rsidR="00190F6A" w:rsidRDefault="00190F6A" w:rsidP="000F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883255"/>
      <w:docPartObj>
        <w:docPartGallery w:val="Page Numbers (Bottom of Page)"/>
        <w:docPartUnique/>
      </w:docPartObj>
    </w:sdtPr>
    <w:sdtEndPr>
      <w:rPr>
        <w:color w:val="7F7F7F" w:themeColor="background1" w:themeShade="7F"/>
        <w:spacing w:val="60"/>
      </w:rPr>
    </w:sdtEndPr>
    <w:sdtContent>
      <w:p w14:paraId="04BC4ACE" w14:textId="745AC1D2" w:rsidR="000F1CC1" w:rsidRDefault="000F1C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59F46E7" w14:textId="77777777" w:rsidR="000F1CC1" w:rsidRDefault="000F1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3A4D1" w14:textId="77777777" w:rsidR="00190F6A" w:rsidRDefault="00190F6A" w:rsidP="000F1CC1">
      <w:pPr>
        <w:spacing w:after="0" w:line="240" w:lineRule="auto"/>
      </w:pPr>
      <w:r>
        <w:separator/>
      </w:r>
    </w:p>
  </w:footnote>
  <w:footnote w:type="continuationSeparator" w:id="0">
    <w:p w14:paraId="282C5075" w14:textId="77777777" w:rsidR="00190F6A" w:rsidRDefault="00190F6A" w:rsidP="000F1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938CB"/>
    <w:multiLevelType w:val="hybridMultilevel"/>
    <w:tmpl w:val="FC54C3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1968BB"/>
    <w:multiLevelType w:val="hybridMultilevel"/>
    <w:tmpl w:val="3D4AA4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45447A1"/>
    <w:multiLevelType w:val="hybridMultilevel"/>
    <w:tmpl w:val="017E8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3B1555"/>
    <w:multiLevelType w:val="hybridMultilevel"/>
    <w:tmpl w:val="37ECB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F36FA8"/>
    <w:multiLevelType w:val="hybridMultilevel"/>
    <w:tmpl w:val="88C469D6"/>
    <w:lvl w:ilvl="0" w:tplc="B77E11F6">
      <w:start w:val="1"/>
      <w:numFmt w:val="bullet"/>
      <w:lvlText w:val=""/>
      <w:lvlJc w:val="left"/>
      <w:pPr>
        <w:tabs>
          <w:tab w:val="num" w:pos="720"/>
        </w:tabs>
        <w:ind w:left="720" w:hanging="360"/>
      </w:pPr>
      <w:rPr>
        <w:rFonts w:ascii="Wingdings" w:hAnsi="Wingdings" w:hint="default"/>
      </w:rPr>
    </w:lvl>
    <w:lvl w:ilvl="1" w:tplc="79866B02" w:tentative="1">
      <w:start w:val="1"/>
      <w:numFmt w:val="bullet"/>
      <w:lvlText w:val=""/>
      <w:lvlJc w:val="left"/>
      <w:pPr>
        <w:tabs>
          <w:tab w:val="num" w:pos="1440"/>
        </w:tabs>
        <w:ind w:left="1440" w:hanging="360"/>
      </w:pPr>
      <w:rPr>
        <w:rFonts w:ascii="Wingdings" w:hAnsi="Wingdings" w:hint="default"/>
      </w:rPr>
    </w:lvl>
    <w:lvl w:ilvl="2" w:tplc="C736F0F0" w:tentative="1">
      <w:start w:val="1"/>
      <w:numFmt w:val="bullet"/>
      <w:lvlText w:val=""/>
      <w:lvlJc w:val="left"/>
      <w:pPr>
        <w:tabs>
          <w:tab w:val="num" w:pos="2160"/>
        </w:tabs>
        <w:ind w:left="2160" w:hanging="360"/>
      </w:pPr>
      <w:rPr>
        <w:rFonts w:ascii="Wingdings" w:hAnsi="Wingdings" w:hint="default"/>
      </w:rPr>
    </w:lvl>
    <w:lvl w:ilvl="3" w:tplc="E4760FE2" w:tentative="1">
      <w:start w:val="1"/>
      <w:numFmt w:val="bullet"/>
      <w:lvlText w:val=""/>
      <w:lvlJc w:val="left"/>
      <w:pPr>
        <w:tabs>
          <w:tab w:val="num" w:pos="2880"/>
        </w:tabs>
        <w:ind w:left="2880" w:hanging="360"/>
      </w:pPr>
      <w:rPr>
        <w:rFonts w:ascii="Wingdings" w:hAnsi="Wingdings" w:hint="default"/>
      </w:rPr>
    </w:lvl>
    <w:lvl w:ilvl="4" w:tplc="B62C2DF4" w:tentative="1">
      <w:start w:val="1"/>
      <w:numFmt w:val="bullet"/>
      <w:lvlText w:val=""/>
      <w:lvlJc w:val="left"/>
      <w:pPr>
        <w:tabs>
          <w:tab w:val="num" w:pos="3600"/>
        </w:tabs>
        <w:ind w:left="3600" w:hanging="360"/>
      </w:pPr>
      <w:rPr>
        <w:rFonts w:ascii="Wingdings" w:hAnsi="Wingdings" w:hint="default"/>
      </w:rPr>
    </w:lvl>
    <w:lvl w:ilvl="5" w:tplc="6868F2C0" w:tentative="1">
      <w:start w:val="1"/>
      <w:numFmt w:val="bullet"/>
      <w:lvlText w:val=""/>
      <w:lvlJc w:val="left"/>
      <w:pPr>
        <w:tabs>
          <w:tab w:val="num" w:pos="4320"/>
        </w:tabs>
        <w:ind w:left="4320" w:hanging="360"/>
      </w:pPr>
      <w:rPr>
        <w:rFonts w:ascii="Wingdings" w:hAnsi="Wingdings" w:hint="default"/>
      </w:rPr>
    </w:lvl>
    <w:lvl w:ilvl="6" w:tplc="45762226" w:tentative="1">
      <w:start w:val="1"/>
      <w:numFmt w:val="bullet"/>
      <w:lvlText w:val=""/>
      <w:lvlJc w:val="left"/>
      <w:pPr>
        <w:tabs>
          <w:tab w:val="num" w:pos="5040"/>
        </w:tabs>
        <w:ind w:left="5040" w:hanging="360"/>
      </w:pPr>
      <w:rPr>
        <w:rFonts w:ascii="Wingdings" w:hAnsi="Wingdings" w:hint="default"/>
      </w:rPr>
    </w:lvl>
    <w:lvl w:ilvl="7" w:tplc="8612E92C">
      <w:start w:val="1"/>
      <w:numFmt w:val="bullet"/>
      <w:lvlText w:val=""/>
      <w:lvlJc w:val="left"/>
      <w:pPr>
        <w:tabs>
          <w:tab w:val="num" w:pos="5760"/>
        </w:tabs>
        <w:ind w:left="5760" w:hanging="360"/>
      </w:pPr>
      <w:rPr>
        <w:rFonts w:ascii="Wingdings" w:hAnsi="Wingdings" w:hint="default"/>
      </w:rPr>
    </w:lvl>
    <w:lvl w:ilvl="8" w:tplc="EBAE2D7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6B25EC"/>
    <w:multiLevelType w:val="hybridMultilevel"/>
    <w:tmpl w:val="1F4275F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E07E6"/>
    <w:multiLevelType w:val="hybridMultilevel"/>
    <w:tmpl w:val="D22688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A041FF"/>
    <w:multiLevelType w:val="hybridMultilevel"/>
    <w:tmpl w:val="3648DF40"/>
    <w:lvl w:ilvl="0" w:tplc="04090011">
      <w:start w:val="1"/>
      <w:numFmt w:val="decimal"/>
      <w:lvlText w:val="%1)"/>
      <w:lvlJc w:val="left"/>
      <w:pPr>
        <w:ind w:left="720" w:hanging="360"/>
      </w:pPr>
    </w:lvl>
    <w:lvl w:ilvl="1" w:tplc="20CC8E6C">
      <w:start w:val="1"/>
      <w:numFmt w:val="lowerLetter"/>
      <w:lvlText w:val="%2."/>
      <w:lvlJc w:val="left"/>
      <w:pPr>
        <w:ind w:left="1440" w:hanging="360"/>
      </w:pPr>
      <w:rPr>
        <w:color w:val="FFFFFF" w:themeColor="background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047D3"/>
    <w:multiLevelType w:val="hybridMultilevel"/>
    <w:tmpl w:val="367A5A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C9A60E7"/>
    <w:multiLevelType w:val="hybridMultilevel"/>
    <w:tmpl w:val="A7DE9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41794735">
    <w:abstractNumId w:val="3"/>
  </w:num>
  <w:num w:numId="2" w16cid:durableId="1060862007">
    <w:abstractNumId w:val="0"/>
  </w:num>
  <w:num w:numId="3" w16cid:durableId="1891528777">
    <w:abstractNumId w:val="6"/>
  </w:num>
  <w:num w:numId="4" w16cid:durableId="1132750487">
    <w:abstractNumId w:val="7"/>
  </w:num>
  <w:num w:numId="5" w16cid:durableId="300815340">
    <w:abstractNumId w:val="8"/>
  </w:num>
  <w:num w:numId="6" w16cid:durableId="1764763633">
    <w:abstractNumId w:val="9"/>
  </w:num>
  <w:num w:numId="7" w16cid:durableId="2042390653">
    <w:abstractNumId w:val="4"/>
  </w:num>
  <w:num w:numId="8" w16cid:durableId="392119059">
    <w:abstractNumId w:val="5"/>
  </w:num>
  <w:num w:numId="9" w16cid:durableId="2077629642">
    <w:abstractNumId w:val="1"/>
  </w:num>
  <w:num w:numId="10" w16cid:durableId="951983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317"/>
    <w:rsid w:val="00073B72"/>
    <w:rsid w:val="000F1CC1"/>
    <w:rsid w:val="000F58E3"/>
    <w:rsid w:val="00190F6A"/>
    <w:rsid w:val="00224309"/>
    <w:rsid w:val="002D3650"/>
    <w:rsid w:val="00355404"/>
    <w:rsid w:val="004B7369"/>
    <w:rsid w:val="00501984"/>
    <w:rsid w:val="00561370"/>
    <w:rsid w:val="00577C04"/>
    <w:rsid w:val="006075C1"/>
    <w:rsid w:val="00684884"/>
    <w:rsid w:val="006B45A5"/>
    <w:rsid w:val="00711FE8"/>
    <w:rsid w:val="007B0439"/>
    <w:rsid w:val="00880D7F"/>
    <w:rsid w:val="00AA0317"/>
    <w:rsid w:val="00AA1829"/>
    <w:rsid w:val="00AB1EED"/>
    <w:rsid w:val="00AF7C49"/>
    <w:rsid w:val="00BC5139"/>
    <w:rsid w:val="00C45ACD"/>
    <w:rsid w:val="00E102A7"/>
    <w:rsid w:val="00E21BB8"/>
    <w:rsid w:val="00E54802"/>
    <w:rsid w:val="00EE3E30"/>
    <w:rsid w:val="00F10AD3"/>
    <w:rsid w:val="00F82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D3E82"/>
  <w15:chartTrackingRefBased/>
  <w15:docId w15:val="{69F414BD-7844-4C20-9806-9DA909FEB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317"/>
    <w:rPr>
      <w:rFonts w:eastAsiaTheme="majorEastAsia" w:cstheme="majorBidi"/>
      <w:color w:val="272727" w:themeColor="text1" w:themeTint="D8"/>
    </w:rPr>
  </w:style>
  <w:style w:type="paragraph" w:styleId="Title">
    <w:name w:val="Title"/>
    <w:basedOn w:val="Normal"/>
    <w:next w:val="Normal"/>
    <w:link w:val="TitleChar"/>
    <w:uiPriority w:val="10"/>
    <w:qFormat/>
    <w:rsid w:val="00AA0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317"/>
    <w:pPr>
      <w:spacing w:before="160"/>
      <w:jc w:val="center"/>
    </w:pPr>
    <w:rPr>
      <w:i/>
      <w:iCs/>
      <w:color w:val="404040" w:themeColor="text1" w:themeTint="BF"/>
    </w:rPr>
  </w:style>
  <w:style w:type="character" w:customStyle="1" w:styleId="QuoteChar">
    <w:name w:val="Quote Char"/>
    <w:basedOn w:val="DefaultParagraphFont"/>
    <w:link w:val="Quote"/>
    <w:uiPriority w:val="29"/>
    <w:rsid w:val="00AA0317"/>
    <w:rPr>
      <w:i/>
      <w:iCs/>
      <w:color w:val="404040" w:themeColor="text1" w:themeTint="BF"/>
    </w:rPr>
  </w:style>
  <w:style w:type="paragraph" w:styleId="ListParagraph">
    <w:name w:val="List Paragraph"/>
    <w:basedOn w:val="Normal"/>
    <w:uiPriority w:val="34"/>
    <w:qFormat/>
    <w:rsid w:val="00AA0317"/>
    <w:pPr>
      <w:ind w:left="720"/>
      <w:contextualSpacing/>
    </w:pPr>
  </w:style>
  <w:style w:type="character" w:styleId="IntenseEmphasis">
    <w:name w:val="Intense Emphasis"/>
    <w:basedOn w:val="DefaultParagraphFont"/>
    <w:uiPriority w:val="21"/>
    <w:qFormat/>
    <w:rsid w:val="00AA0317"/>
    <w:rPr>
      <w:i/>
      <w:iCs/>
      <w:color w:val="0F4761" w:themeColor="accent1" w:themeShade="BF"/>
    </w:rPr>
  </w:style>
  <w:style w:type="paragraph" w:styleId="IntenseQuote">
    <w:name w:val="Intense Quote"/>
    <w:basedOn w:val="Normal"/>
    <w:next w:val="Normal"/>
    <w:link w:val="IntenseQuoteChar"/>
    <w:uiPriority w:val="30"/>
    <w:qFormat/>
    <w:rsid w:val="00AA0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317"/>
    <w:rPr>
      <w:i/>
      <w:iCs/>
      <w:color w:val="0F4761" w:themeColor="accent1" w:themeShade="BF"/>
    </w:rPr>
  </w:style>
  <w:style w:type="character" w:styleId="IntenseReference">
    <w:name w:val="Intense Reference"/>
    <w:basedOn w:val="DefaultParagraphFont"/>
    <w:uiPriority w:val="32"/>
    <w:qFormat/>
    <w:rsid w:val="00AA0317"/>
    <w:rPr>
      <w:b/>
      <w:bCs/>
      <w:smallCaps/>
      <w:color w:val="0F4761" w:themeColor="accent1" w:themeShade="BF"/>
      <w:spacing w:val="5"/>
    </w:rPr>
  </w:style>
  <w:style w:type="table" w:styleId="TableGrid">
    <w:name w:val="Table Grid"/>
    <w:basedOn w:val="TableNormal"/>
    <w:uiPriority w:val="39"/>
    <w:rsid w:val="00AA0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CC1"/>
  </w:style>
  <w:style w:type="paragraph" w:styleId="Footer">
    <w:name w:val="footer"/>
    <w:basedOn w:val="Normal"/>
    <w:link w:val="FooterChar"/>
    <w:uiPriority w:val="99"/>
    <w:unhideWhenUsed/>
    <w:rsid w:val="000F1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CC1"/>
  </w:style>
  <w:style w:type="paragraph" w:styleId="Revision">
    <w:name w:val="Revision"/>
    <w:hidden/>
    <w:uiPriority w:val="99"/>
    <w:semiHidden/>
    <w:rsid w:val="004B73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323816">
      <w:bodyDiv w:val="1"/>
      <w:marLeft w:val="0"/>
      <w:marRight w:val="0"/>
      <w:marTop w:val="0"/>
      <w:marBottom w:val="0"/>
      <w:divBdr>
        <w:top w:val="none" w:sz="0" w:space="0" w:color="auto"/>
        <w:left w:val="none" w:sz="0" w:space="0" w:color="auto"/>
        <w:bottom w:val="none" w:sz="0" w:space="0" w:color="auto"/>
        <w:right w:val="none" w:sz="0" w:space="0" w:color="auto"/>
      </w:divBdr>
      <w:divsChild>
        <w:div w:id="1577352002">
          <w:marLeft w:val="540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3DBAB5EE023E4C85B0D4A0153BE58A" ma:contentTypeVersion="10" ma:contentTypeDescription="Create a new document." ma:contentTypeScope="" ma:versionID="c2b2074bee0186bb4821bdc0643b2fe4">
  <xsd:schema xmlns:xsd="http://www.w3.org/2001/XMLSchema" xmlns:xs="http://www.w3.org/2001/XMLSchema" xmlns:p="http://schemas.microsoft.com/office/2006/metadata/properties" xmlns:ns3="0de44814-aab1-4fb3-941a-e9e699f5e1ca" targetNamespace="http://schemas.microsoft.com/office/2006/metadata/properties" ma:root="true" ma:fieldsID="3c6be6bde7337219e052a7d2ea956598" ns3:_="">
    <xsd:import namespace="0de44814-aab1-4fb3-941a-e9e699f5e1ca"/>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e44814-aab1-4fb3-941a-e9e699f5e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de44814-aab1-4fb3-941a-e9e699f5e1ca" xsi:nil="true"/>
  </documentManagement>
</p:properties>
</file>

<file path=customXml/itemProps1.xml><?xml version="1.0" encoding="utf-8"?>
<ds:datastoreItem xmlns:ds="http://schemas.openxmlformats.org/officeDocument/2006/customXml" ds:itemID="{77627EB5-A7CC-43BD-AC1D-54502E10A8FD}">
  <ds:schemaRefs>
    <ds:schemaRef ds:uri="http://schemas.microsoft.com/sharepoint/v3/contenttype/forms"/>
  </ds:schemaRefs>
</ds:datastoreItem>
</file>

<file path=customXml/itemProps2.xml><?xml version="1.0" encoding="utf-8"?>
<ds:datastoreItem xmlns:ds="http://schemas.openxmlformats.org/officeDocument/2006/customXml" ds:itemID="{8642D53D-4BFF-472F-BCCE-25E028F0B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e44814-aab1-4fb3-941a-e9e699f5e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FD555-3850-4423-9E37-359A91D04D17}">
  <ds:schemaRefs>
    <ds:schemaRef ds:uri="http://schemas.openxmlformats.org/officeDocument/2006/bibliography"/>
  </ds:schemaRefs>
</ds:datastoreItem>
</file>

<file path=customXml/itemProps4.xml><?xml version="1.0" encoding="utf-8"?>
<ds:datastoreItem xmlns:ds="http://schemas.openxmlformats.org/officeDocument/2006/customXml" ds:itemID="{AB5AF44A-CD81-4C0A-8A02-BC5B905EEA75}">
  <ds:schemaRefs>
    <ds:schemaRef ds:uri="http://schemas.microsoft.com/office/2006/metadata/properties"/>
    <ds:schemaRef ds:uri="http://schemas.microsoft.com/office/infopath/2007/PartnerControls"/>
    <ds:schemaRef ds:uri="0de44814-aab1-4fb3-941a-e9e699f5e1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5767</Characters>
  <Application>Microsoft Office Word</Application>
  <DocSecurity>4</DocSecurity>
  <Lines>128</Lines>
  <Paragraphs>45</Paragraphs>
  <ScaleCrop>false</ScaleCrop>
  <HeadingPairs>
    <vt:vector size="2" baseType="variant">
      <vt:variant>
        <vt:lpstr>Title</vt:lpstr>
      </vt:variant>
      <vt:variant>
        <vt:i4>1</vt:i4>
      </vt:variant>
    </vt:vector>
  </HeadingPairs>
  <TitlesOfParts>
    <vt:vector size="1" baseType="lpstr">
      <vt:lpstr/>
    </vt:vector>
  </TitlesOfParts>
  <Company>Skagit County Government</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 Riquelme</dc:creator>
  <cp:keywords/>
  <dc:description/>
  <cp:lastModifiedBy>Brooke Burns</cp:lastModifiedBy>
  <cp:revision>2</cp:revision>
  <dcterms:created xsi:type="dcterms:W3CDTF">2026-09-10T20:14:00Z</dcterms:created>
  <dcterms:modified xsi:type="dcterms:W3CDTF">2026-09-10T20:14:00Z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eb3d8e-b6bc-41ed-b2aa-fb4871a8b7ad_Enabled">
    <vt:lpwstr>true</vt:lpwstr>
  </property>
  <property fmtid="{D5CDD505-2E9C-101B-9397-08002B2CF9AE}" pid="3" name="MSIP_Label_a1eb3d8e-b6bc-41ed-b2aa-fb4871a8b7ad_SetDate">
    <vt:lpwstr>2026-08-04T20:30:44Z</vt:lpwstr>
  </property>
  <property fmtid="{D5CDD505-2E9C-101B-9397-08002B2CF9AE}" pid="4" name="MSIP_Label_a1eb3d8e-b6bc-41ed-b2aa-fb4871a8b7ad_Method">
    <vt:lpwstr>Standard</vt:lpwstr>
  </property>
  <property fmtid="{D5CDD505-2E9C-101B-9397-08002B2CF9AE}" pid="5" name="MSIP_Label_a1eb3d8e-b6bc-41ed-b2aa-fb4871a8b7ad_Name">
    <vt:lpwstr>General</vt:lpwstr>
  </property>
  <property fmtid="{D5CDD505-2E9C-101B-9397-08002B2CF9AE}" pid="6" name="MSIP_Label_a1eb3d8e-b6bc-41ed-b2aa-fb4871a8b7ad_SiteId">
    <vt:lpwstr>bd5cf449-1cad-49e7-bfdc-7020adec67d3</vt:lpwstr>
  </property>
  <property fmtid="{D5CDD505-2E9C-101B-9397-08002B2CF9AE}" pid="7" name="MSIP_Label_a1eb3d8e-b6bc-41ed-b2aa-fb4871a8b7ad_ActionId">
    <vt:lpwstr>36f64dc0-9580-476b-9a05-a105159518b2</vt:lpwstr>
  </property>
  <property fmtid="{D5CDD505-2E9C-101B-9397-08002B2CF9AE}" pid="8" name="MSIP_Label_a1eb3d8e-b6bc-41ed-b2aa-fb4871a8b7ad_ContentBits">
    <vt:lpwstr>0</vt:lpwstr>
  </property>
  <property fmtid="{D5CDD505-2E9C-101B-9397-08002B2CF9AE}" pid="9" name="MSIP_Label_a1eb3d8e-b6bc-41ed-b2aa-fb4871a8b7ad_Tag">
    <vt:lpwstr>10, 3, 0, 1</vt:lpwstr>
  </property>
  <property fmtid="{D5CDD505-2E9C-101B-9397-08002B2CF9AE}" pid="10" name="ContentTypeId">
    <vt:lpwstr>0x0101005F3DBAB5EE023E4C85B0D4A0153BE58A</vt:lpwstr>
  </property>
  <property fmtid="{D5CDD505-2E9C-101B-9397-08002B2CF9AE}" pid="11" name="MSIP_Label_defa4170-0d19-0005-0004-bc88714345d2_Enabled">
    <vt:lpwstr>true</vt:lpwstr>
  </property>
  <property fmtid="{D5CDD505-2E9C-101B-9397-08002B2CF9AE}" pid="12" name="MSIP_Label_defa4170-0d19-0005-0004-bc88714345d2_SetDate">
    <vt:lpwstr>2026-09-10T20:14:45Z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09f89c8c-b62d-438e-bc74-5fd3936e2227</vt:lpwstr>
  </property>
  <property fmtid="{D5CDD505-2E9C-101B-9397-08002B2CF9AE}" pid="16" name="MSIP_Label_defa4170-0d19-0005-0004-bc88714345d2_ActionId">
    <vt:lpwstr>8bb9c007-04d5-4401-bf3a-6fe0f5e40675</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ies>
</file>