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859" w:rsidRDefault="009B1859" w:rsidP="00383C05">
      <w:pPr>
        <w:jc w:val="center"/>
        <w:rPr>
          <w:b/>
          <w:sz w:val="28"/>
          <w:szCs w:val="28"/>
        </w:rPr>
      </w:pPr>
      <w:bookmarkStart w:id="0" w:name="_GoBack"/>
      <w:bookmarkEnd w:id="0"/>
    </w:p>
    <w:p w:rsidR="00AC2A3F" w:rsidRPr="00BB281B" w:rsidRDefault="00EB75A7" w:rsidP="00383C05">
      <w:pPr>
        <w:jc w:val="center"/>
        <w:rPr>
          <w:sz w:val="28"/>
          <w:szCs w:val="28"/>
        </w:rPr>
      </w:pPr>
      <w:r w:rsidRPr="00BB281B">
        <w:rPr>
          <w:b/>
          <w:sz w:val="28"/>
          <w:szCs w:val="28"/>
        </w:rPr>
        <w:t xml:space="preserve">Policy and Procedure Statement Governing </w:t>
      </w:r>
      <w:r w:rsidR="00CC136F" w:rsidRPr="00BB281B">
        <w:rPr>
          <w:b/>
          <w:sz w:val="28"/>
          <w:szCs w:val="28"/>
        </w:rPr>
        <w:t xml:space="preserve">Financial Reimbursement for </w:t>
      </w:r>
      <w:r w:rsidRPr="00BB281B">
        <w:rPr>
          <w:b/>
          <w:sz w:val="28"/>
          <w:szCs w:val="28"/>
        </w:rPr>
        <w:t xml:space="preserve">Provision of </w:t>
      </w:r>
      <w:r w:rsidR="00964E96" w:rsidRPr="00BB281B">
        <w:rPr>
          <w:b/>
          <w:sz w:val="28"/>
          <w:szCs w:val="28"/>
        </w:rPr>
        <w:t xml:space="preserve">Postmortem Examinations and </w:t>
      </w:r>
      <w:r w:rsidRPr="00BB281B">
        <w:rPr>
          <w:b/>
          <w:sz w:val="28"/>
          <w:szCs w:val="28"/>
        </w:rPr>
        <w:t>Forensic Consultation Services</w:t>
      </w:r>
    </w:p>
    <w:p w:rsidR="00383C05" w:rsidRDefault="00383C05" w:rsidP="00383C05">
      <w:pPr>
        <w:jc w:val="center"/>
      </w:pPr>
    </w:p>
    <w:p w:rsidR="00383C05" w:rsidRPr="004301D2" w:rsidRDefault="005B127F" w:rsidP="00EF6C19">
      <w:pPr>
        <w:pBdr>
          <w:top w:val="single" w:sz="4" w:space="1" w:color="auto"/>
          <w:left w:val="single" w:sz="4" w:space="4" w:color="auto"/>
          <w:bottom w:val="single" w:sz="4" w:space="1" w:color="auto"/>
          <w:right w:val="single" w:sz="4" w:space="4" w:color="auto"/>
        </w:pBdr>
        <w:spacing w:after="120"/>
        <w:jc w:val="both"/>
        <w:rPr>
          <w:sz w:val="24"/>
          <w:szCs w:val="24"/>
        </w:rPr>
      </w:pPr>
      <w:r>
        <w:rPr>
          <w:sz w:val="24"/>
          <w:szCs w:val="24"/>
        </w:rPr>
        <w:t xml:space="preserve">I am a Washington state </w:t>
      </w:r>
      <w:r w:rsidR="00EB75A7" w:rsidRPr="004301D2">
        <w:rPr>
          <w:sz w:val="24"/>
          <w:szCs w:val="24"/>
        </w:rPr>
        <w:t xml:space="preserve">licensed physician specializing </w:t>
      </w:r>
      <w:r w:rsidR="00877FFE" w:rsidRPr="004301D2">
        <w:rPr>
          <w:sz w:val="24"/>
          <w:szCs w:val="24"/>
        </w:rPr>
        <w:t xml:space="preserve">in forensic pathology, and am triple board certified in anatomic, clinical and forensic pathology.  </w:t>
      </w:r>
      <w:r w:rsidR="00EB75A7" w:rsidRPr="004301D2">
        <w:rPr>
          <w:sz w:val="24"/>
          <w:szCs w:val="24"/>
        </w:rPr>
        <w:t xml:space="preserve"> I provide services which include:</w:t>
      </w:r>
    </w:p>
    <w:p w:rsidR="00EB75A7" w:rsidRPr="00BB281B" w:rsidRDefault="00EB75A7" w:rsidP="003E4C5A">
      <w:pPr>
        <w:pStyle w:val="ListParagraph"/>
        <w:numPr>
          <w:ilvl w:val="0"/>
          <w:numId w:val="2"/>
        </w:numPr>
        <w:spacing w:after="120"/>
        <w:ind w:left="270" w:hanging="270"/>
        <w:jc w:val="both"/>
        <w:rPr>
          <w:sz w:val="20"/>
          <w:szCs w:val="20"/>
        </w:rPr>
      </w:pPr>
      <w:r w:rsidRPr="00C1164F">
        <w:rPr>
          <w:b/>
          <w:sz w:val="20"/>
          <w:szCs w:val="20"/>
          <w:u w:val="single"/>
        </w:rPr>
        <w:t>Full post-mortem examination (autopsy) services</w:t>
      </w:r>
      <w:r w:rsidR="004C3234">
        <w:rPr>
          <w:b/>
          <w:sz w:val="20"/>
          <w:szCs w:val="20"/>
          <w:u w:val="single"/>
        </w:rPr>
        <w:t>:</w:t>
      </w:r>
      <w:r w:rsidRPr="00BB281B">
        <w:rPr>
          <w:sz w:val="20"/>
          <w:szCs w:val="20"/>
        </w:rPr>
        <w:t xml:space="preserve"> </w:t>
      </w:r>
      <w:r w:rsidR="004C3234">
        <w:rPr>
          <w:sz w:val="20"/>
          <w:szCs w:val="20"/>
        </w:rPr>
        <w:t xml:space="preserve"> </w:t>
      </w:r>
      <w:r w:rsidR="000737F3">
        <w:rPr>
          <w:sz w:val="20"/>
          <w:szCs w:val="20"/>
        </w:rPr>
        <w:t>Along with the autopsy procedure, these services may include</w:t>
      </w:r>
      <w:r w:rsidRPr="00BB281B">
        <w:rPr>
          <w:sz w:val="20"/>
          <w:szCs w:val="20"/>
        </w:rPr>
        <w:t xml:space="preserve"> </w:t>
      </w:r>
      <w:r w:rsidR="00FA301C" w:rsidRPr="00BB281B">
        <w:rPr>
          <w:sz w:val="20"/>
          <w:szCs w:val="20"/>
        </w:rPr>
        <w:t>photography, toxicological sampling and/or other laboratory testing</w:t>
      </w:r>
      <w:r w:rsidR="00BC3D2F" w:rsidRPr="00BB281B">
        <w:rPr>
          <w:sz w:val="20"/>
          <w:szCs w:val="20"/>
        </w:rPr>
        <w:t xml:space="preserve"> with interpretation</w:t>
      </w:r>
      <w:r w:rsidR="00FA301C" w:rsidRPr="00BB281B">
        <w:rPr>
          <w:sz w:val="20"/>
          <w:szCs w:val="20"/>
        </w:rPr>
        <w:t xml:space="preserve">, </w:t>
      </w:r>
      <w:r w:rsidR="000737F3">
        <w:rPr>
          <w:sz w:val="20"/>
          <w:szCs w:val="20"/>
        </w:rPr>
        <w:t xml:space="preserve">microscopic examination, </w:t>
      </w:r>
      <w:r w:rsidR="004900A8">
        <w:rPr>
          <w:sz w:val="20"/>
          <w:szCs w:val="20"/>
        </w:rPr>
        <w:t>radiological imaging or</w:t>
      </w:r>
      <w:r w:rsidR="00FA301C" w:rsidRPr="00BB281B">
        <w:rPr>
          <w:sz w:val="20"/>
          <w:szCs w:val="20"/>
        </w:rPr>
        <w:t xml:space="preserve"> other procedures, as may be deemed indicated </w:t>
      </w:r>
      <w:r w:rsidR="00BC3D2F" w:rsidRPr="00BB281B">
        <w:rPr>
          <w:sz w:val="20"/>
          <w:szCs w:val="20"/>
        </w:rPr>
        <w:t>by the autopsy pathologist.  The</w:t>
      </w:r>
      <w:r w:rsidR="00FA301C" w:rsidRPr="00BB281B">
        <w:rPr>
          <w:sz w:val="20"/>
          <w:szCs w:val="20"/>
        </w:rPr>
        <w:t>s</w:t>
      </w:r>
      <w:r w:rsidR="00BC3D2F" w:rsidRPr="00BB281B">
        <w:rPr>
          <w:sz w:val="20"/>
          <w:szCs w:val="20"/>
        </w:rPr>
        <w:t>e</w:t>
      </w:r>
      <w:r w:rsidR="00FA301C" w:rsidRPr="00BB281B">
        <w:rPr>
          <w:sz w:val="20"/>
          <w:szCs w:val="20"/>
        </w:rPr>
        <w:t xml:space="preserve"> service</w:t>
      </w:r>
      <w:r w:rsidR="00BC3D2F" w:rsidRPr="00BB281B">
        <w:rPr>
          <w:sz w:val="20"/>
          <w:szCs w:val="20"/>
        </w:rPr>
        <w:t>s</w:t>
      </w:r>
      <w:r w:rsidR="00FA301C" w:rsidRPr="00BB281B">
        <w:rPr>
          <w:sz w:val="20"/>
          <w:szCs w:val="20"/>
        </w:rPr>
        <w:t xml:space="preserve"> will result in the provision of a final autopsy report.  </w:t>
      </w:r>
    </w:p>
    <w:p w:rsidR="00EB75A7" w:rsidRPr="00BB281B" w:rsidRDefault="000F57D9" w:rsidP="003E4C5A">
      <w:pPr>
        <w:pStyle w:val="ListParagraph"/>
        <w:numPr>
          <w:ilvl w:val="0"/>
          <w:numId w:val="2"/>
        </w:numPr>
        <w:spacing w:after="120"/>
        <w:ind w:left="270" w:hanging="270"/>
        <w:jc w:val="both"/>
        <w:rPr>
          <w:sz w:val="20"/>
          <w:szCs w:val="20"/>
        </w:rPr>
      </w:pPr>
      <w:r w:rsidRPr="00C1164F">
        <w:rPr>
          <w:b/>
          <w:sz w:val="20"/>
          <w:szCs w:val="20"/>
          <w:u w:val="single"/>
        </w:rPr>
        <w:t>Consultation to a</w:t>
      </w:r>
      <w:r w:rsidR="00EB75A7" w:rsidRPr="00C1164F">
        <w:rPr>
          <w:b/>
          <w:sz w:val="20"/>
          <w:szCs w:val="20"/>
          <w:u w:val="single"/>
        </w:rPr>
        <w:t>ttorneys</w:t>
      </w:r>
      <w:r w:rsidR="004C3234">
        <w:rPr>
          <w:b/>
          <w:sz w:val="20"/>
          <w:szCs w:val="20"/>
          <w:u w:val="single"/>
        </w:rPr>
        <w:t>:</w:t>
      </w:r>
      <w:r w:rsidR="004C3234">
        <w:rPr>
          <w:sz w:val="20"/>
          <w:szCs w:val="20"/>
        </w:rPr>
        <w:t xml:space="preserve"> Services may include </w:t>
      </w:r>
      <w:r w:rsidR="00EB75A7" w:rsidRPr="00BB281B">
        <w:rPr>
          <w:sz w:val="20"/>
          <w:szCs w:val="20"/>
        </w:rPr>
        <w:t>review of medical records, previous autopsy reports and/or prior toxicology results, assistance in deposing experts, selection of experts</w:t>
      </w:r>
      <w:r w:rsidR="004C3234">
        <w:rPr>
          <w:sz w:val="20"/>
          <w:szCs w:val="20"/>
        </w:rPr>
        <w:t>, and medical assistance with case strategy</w:t>
      </w:r>
      <w:r w:rsidR="00EB75A7" w:rsidRPr="00BB281B">
        <w:rPr>
          <w:sz w:val="20"/>
          <w:szCs w:val="20"/>
        </w:rPr>
        <w:t>.</w:t>
      </w:r>
    </w:p>
    <w:p w:rsidR="00EB75A7" w:rsidRPr="000737F3" w:rsidRDefault="000F57D9" w:rsidP="000737F3">
      <w:pPr>
        <w:jc w:val="both"/>
        <w:rPr>
          <w:sz w:val="16"/>
          <w:szCs w:val="16"/>
        </w:rPr>
      </w:pPr>
      <w:r w:rsidRPr="00BB281B">
        <w:rPr>
          <w:sz w:val="20"/>
          <w:szCs w:val="20"/>
        </w:rPr>
        <w:t xml:space="preserve">The above </w:t>
      </w:r>
      <w:r w:rsidR="00EB75A7" w:rsidRPr="00BB281B">
        <w:rPr>
          <w:sz w:val="20"/>
          <w:szCs w:val="20"/>
        </w:rPr>
        <w:t xml:space="preserve">services are provided </w:t>
      </w:r>
      <w:r w:rsidRPr="00BB281B">
        <w:rPr>
          <w:sz w:val="20"/>
          <w:szCs w:val="20"/>
        </w:rPr>
        <w:t xml:space="preserve">at rigorous quality standards </w:t>
      </w:r>
      <w:r w:rsidR="00EB75A7" w:rsidRPr="00BB281B">
        <w:rPr>
          <w:sz w:val="20"/>
          <w:szCs w:val="20"/>
        </w:rPr>
        <w:t xml:space="preserve">with the intent to be legally admissible </w:t>
      </w:r>
      <w:r w:rsidR="00877FFE" w:rsidRPr="00BB281B">
        <w:rPr>
          <w:sz w:val="20"/>
          <w:szCs w:val="20"/>
        </w:rPr>
        <w:t>with</w:t>
      </w:r>
      <w:r w:rsidR="00EB75A7" w:rsidRPr="00BB281B">
        <w:rPr>
          <w:sz w:val="20"/>
          <w:szCs w:val="20"/>
        </w:rPr>
        <w:t>in a</w:t>
      </w:r>
      <w:r w:rsidR="0070306F" w:rsidRPr="00BB281B">
        <w:rPr>
          <w:sz w:val="20"/>
          <w:szCs w:val="20"/>
        </w:rPr>
        <w:t>ny</w:t>
      </w:r>
      <w:r w:rsidR="00EB75A7" w:rsidRPr="00BB281B">
        <w:rPr>
          <w:sz w:val="20"/>
          <w:szCs w:val="20"/>
        </w:rPr>
        <w:t xml:space="preserve"> court of law.</w:t>
      </w:r>
    </w:p>
    <w:p w:rsidR="00A70812" w:rsidRPr="000737F3" w:rsidRDefault="00A70812" w:rsidP="003E4C5A">
      <w:pPr>
        <w:spacing w:after="120"/>
        <w:jc w:val="both"/>
        <w:rPr>
          <w:b/>
          <w:sz w:val="16"/>
          <w:szCs w:val="16"/>
        </w:rPr>
      </w:pPr>
    </w:p>
    <w:p w:rsidR="00FA301C" w:rsidRPr="004301D2" w:rsidRDefault="00EB75A7" w:rsidP="00EF6C19">
      <w:pPr>
        <w:pBdr>
          <w:top w:val="single" w:sz="4" w:space="1" w:color="auto"/>
          <w:left w:val="single" w:sz="4" w:space="4" w:color="auto"/>
          <w:bottom w:val="single" w:sz="4" w:space="1" w:color="auto"/>
          <w:right w:val="single" w:sz="4" w:space="4" w:color="auto"/>
        </w:pBdr>
        <w:spacing w:after="120"/>
        <w:jc w:val="both"/>
        <w:rPr>
          <w:sz w:val="24"/>
          <w:szCs w:val="24"/>
        </w:rPr>
      </w:pPr>
      <w:proofErr w:type="gramStart"/>
      <w:r w:rsidRPr="004301D2">
        <w:rPr>
          <w:b/>
          <w:sz w:val="24"/>
          <w:szCs w:val="24"/>
        </w:rPr>
        <w:t>Fees</w:t>
      </w:r>
      <w:r w:rsidR="004301D2">
        <w:rPr>
          <w:b/>
          <w:sz w:val="24"/>
          <w:szCs w:val="24"/>
        </w:rPr>
        <w:t>.</w:t>
      </w:r>
      <w:proofErr w:type="gramEnd"/>
      <w:r w:rsidR="007E04E1" w:rsidRPr="004301D2">
        <w:rPr>
          <w:sz w:val="24"/>
          <w:szCs w:val="24"/>
        </w:rPr>
        <w:t xml:space="preserve"> </w:t>
      </w:r>
      <w:r w:rsidR="006231F9" w:rsidRPr="004301D2">
        <w:rPr>
          <w:sz w:val="24"/>
          <w:szCs w:val="24"/>
        </w:rPr>
        <w:tab/>
      </w:r>
      <w:r w:rsidRPr="004301D2">
        <w:rPr>
          <w:sz w:val="24"/>
          <w:szCs w:val="24"/>
        </w:rPr>
        <w:t xml:space="preserve">The fee structure for </w:t>
      </w:r>
      <w:r w:rsidR="00B26B7D" w:rsidRPr="004301D2">
        <w:rPr>
          <w:sz w:val="24"/>
          <w:szCs w:val="24"/>
        </w:rPr>
        <w:t xml:space="preserve">Washington Forensics Services, PLLC is </w:t>
      </w:r>
      <w:r w:rsidR="004301D2">
        <w:rPr>
          <w:sz w:val="24"/>
          <w:szCs w:val="24"/>
        </w:rPr>
        <w:t>as follows:</w:t>
      </w:r>
    </w:p>
    <w:p w:rsidR="00011CE1" w:rsidRDefault="00FA301C" w:rsidP="003E4C5A">
      <w:pPr>
        <w:pStyle w:val="ListParagraph"/>
        <w:numPr>
          <w:ilvl w:val="0"/>
          <w:numId w:val="3"/>
        </w:numPr>
        <w:spacing w:after="120"/>
        <w:ind w:left="270" w:hanging="270"/>
        <w:contextualSpacing w:val="0"/>
        <w:jc w:val="both"/>
        <w:rPr>
          <w:sz w:val="20"/>
          <w:szCs w:val="20"/>
        </w:rPr>
      </w:pPr>
      <w:r w:rsidRPr="00BB281B">
        <w:rPr>
          <w:b/>
          <w:sz w:val="20"/>
          <w:szCs w:val="20"/>
        </w:rPr>
        <w:t>Perform</w:t>
      </w:r>
      <w:r w:rsidR="00B26B7D" w:rsidRPr="00BB281B">
        <w:rPr>
          <w:b/>
          <w:sz w:val="20"/>
          <w:szCs w:val="20"/>
        </w:rPr>
        <w:t>a</w:t>
      </w:r>
      <w:r w:rsidRPr="00BB281B">
        <w:rPr>
          <w:b/>
          <w:sz w:val="20"/>
          <w:szCs w:val="20"/>
        </w:rPr>
        <w:t>nce</w:t>
      </w:r>
      <w:r w:rsidR="00B26B7D" w:rsidRPr="00BB281B">
        <w:rPr>
          <w:b/>
          <w:sz w:val="20"/>
          <w:szCs w:val="20"/>
        </w:rPr>
        <w:t xml:space="preserve"> </w:t>
      </w:r>
      <w:r w:rsidRPr="00BB281B">
        <w:rPr>
          <w:b/>
          <w:sz w:val="20"/>
          <w:szCs w:val="20"/>
        </w:rPr>
        <w:t xml:space="preserve">of </w:t>
      </w:r>
      <w:r w:rsidR="007A5D1B">
        <w:rPr>
          <w:b/>
          <w:sz w:val="20"/>
          <w:szCs w:val="20"/>
          <w:u w:val="single"/>
        </w:rPr>
        <w:t>F</w:t>
      </w:r>
      <w:r w:rsidR="00503D23" w:rsidRPr="003F3B66">
        <w:rPr>
          <w:b/>
          <w:sz w:val="20"/>
          <w:szCs w:val="20"/>
          <w:u w:val="single"/>
        </w:rPr>
        <w:t>ull</w:t>
      </w:r>
      <w:r w:rsidR="00503D23" w:rsidRPr="00BB281B">
        <w:rPr>
          <w:b/>
          <w:sz w:val="20"/>
          <w:szCs w:val="20"/>
        </w:rPr>
        <w:t xml:space="preserve"> </w:t>
      </w:r>
      <w:r w:rsidR="007A5D1B">
        <w:rPr>
          <w:b/>
          <w:sz w:val="20"/>
          <w:szCs w:val="20"/>
        </w:rPr>
        <w:t>Post-mortem Ex</w:t>
      </w:r>
      <w:r w:rsidR="00B26B7D" w:rsidRPr="00BB281B">
        <w:rPr>
          <w:b/>
          <w:sz w:val="20"/>
          <w:szCs w:val="20"/>
        </w:rPr>
        <w:t>amination</w:t>
      </w:r>
      <w:r w:rsidRPr="00BB281B">
        <w:rPr>
          <w:b/>
          <w:sz w:val="20"/>
          <w:szCs w:val="20"/>
        </w:rPr>
        <w:t>s</w:t>
      </w:r>
      <w:r w:rsidRPr="00BB281B">
        <w:rPr>
          <w:sz w:val="20"/>
          <w:szCs w:val="20"/>
        </w:rPr>
        <w:t xml:space="preserve"> (“autopsy”) to include determination of</w:t>
      </w:r>
      <w:r w:rsidR="00B26B7D" w:rsidRPr="00BB281B">
        <w:rPr>
          <w:sz w:val="20"/>
          <w:szCs w:val="20"/>
        </w:rPr>
        <w:t xml:space="preserve"> pathological diagnoses and</w:t>
      </w:r>
      <w:r w:rsidR="00B11855" w:rsidRPr="00BB281B">
        <w:rPr>
          <w:sz w:val="20"/>
          <w:szCs w:val="20"/>
        </w:rPr>
        <w:t>,</w:t>
      </w:r>
      <w:r w:rsidR="00B26B7D" w:rsidRPr="00BB281B">
        <w:rPr>
          <w:sz w:val="20"/>
          <w:szCs w:val="20"/>
        </w:rPr>
        <w:t xml:space="preserve"> if possible</w:t>
      </w:r>
      <w:r w:rsidR="00B11855" w:rsidRPr="00BB281B">
        <w:rPr>
          <w:sz w:val="20"/>
          <w:szCs w:val="20"/>
        </w:rPr>
        <w:t>,</w:t>
      </w:r>
      <w:r w:rsidR="00B26B7D" w:rsidRPr="00BB281B">
        <w:rPr>
          <w:sz w:val="20"/>
          <w:szCs w:val="20"/>
        </w:rPr>
        <w:t xml:space="preserve"> proximate cause and manner of death. </w:t>
      </w:r>
      <w:r w:rsidR="00383C05" w:rsidRPr="00BB281B">
        <w:rPr>
          <w:sz w:val="20"/>
          <w:szCs w:val="20"/>
        </w:rPr>
        <w:t xml:space="preserve">The autopsy </w:t>
      </w:r>
      <w:r w:rsidR="00F27655" w:rsidRPr="00BB281B">
        <w:rPr>
          <w:sz w:val="20"/>
          <w:szCs w:val="20"/>
        </w:rPr>
        <w:t xml:space="preserve">is a medical procedure </w:t>
      </w:r>
      <w:r w:rsidR="00503D23" w:rsidRPr="00BB281B">
        <w:rPr>
          <w:sz w:val="20"/>
          <w:szCs w:val="20"/>
        </w:rPr>
        <w:t xml:space="preserve">and is charged as a separate service.  </w:t>
      </w:r>
      <w:r w:rsidR="009F2F54" w:rsidRPr="00BB281B">
        <w:rPr>
          <w:sz w:val="20"/>
          <w:szCs w:val="20"/>
        </w:rPr>
        <w:t xml:space="preserve">Any </w:t>
      </w:r>
      <w:r w:rsidR="006C7662" w:rsidRPr="00BB281B">
        <w:rPr>
          <w:sz w:val="20"/>
          <w:szCs w:val="20"/>
        </w:rPr>
        <w:t xml:space="preserve">required </w:t>
      </w:r>
      <w:r w:rsidR="009F2F54" w:rsidRPr="00BB281B">
        <w:rPr>
          <w:sz w:val="20"/>
          <w:szCs w:val="20"/>
        </w:rPr>
        <w:t>legal testimony</w:t>
      </w:r>
      <w:r w:rsidR="006C7662" w:rsidRPr="00BB281B">
        <w:rPr>
          <w:sz w:val="20"/>
          <w:szCs w:val="20"/>
        </w:rPr>
        <w:t xml:space="preserve"> </w:t>
      </w:r>
      <w:r w:rsidR="00E31648" w:rsidRPr="00BB281B">
        <w:rPr>
          <w:sz w:val="20"/>
          <w:szCs w:val="20"/>
        </w:rPr>
        <w:t xml:space="preserve">is to </w:t>
      </w:r>
      <w:r w:rsidR="006C7662" w:rsidRPr="00BB281B">
        <w:rPr>
          <w:sz w:val="20"/>
          <w:szCs w:val="20"/>
        </w:rPr>
        <w:t xml:space="preserve">be considered supplemental to the autopsy </w:t>
      </w:r>
      <w:r w:rsidR="00E31648" w:rsidRPr="00BB281B">
        <w:rPr>
          <w:sz w:val="20"/>
          <w:szCs w:val="20"/>
        </w:rPr>
        <w:t xml:space="preserve">procedure </w:t>
      </w:r>
      <w:r w:rsidR="006C7662" w:rsidRPr="00BB281B">
        <w:rPr>
          <w:sz w:val="20"/>
          <w:szCs w:val="20"/>
        </w:rPr>
        <w:t>and supplemental charges may apply</w:t>
      </w:r>
      <w:r w:rsidR="00503D23" w:rsidRPr="00BB281B">
        <w:rPr>
          <w:sz w:val="20"/>
          <w:szCs w:val="20"/>
        </w:rPr>
        <w:t xml:space="preserve"> (see “Consultation to Attorneys”</w:t>
      </w:r>
      <w:proofErr w:type="gramStart"/>
      <w:r w:rsidR="00503D23" w:rsidRPr="00BB281B">
        <w:rPr>
          <w:sz w:val="20"/>
          <w:szCs w:val="20"/>
        </w:rPr>
        <w:t xml:space="preserve">) </w:t>
      </w:r>
      <w:r w:rsidR="006C7662" w:rsidRPr="00BB281B">
        <w:rPr>
          <w:sz w:val="20"/>
          <w:szCs w:val="20"/>
        </w:rPr>
        <w:t>.</w:t>
      </w:r>
      <w:proofErr w:type="gramEnd"/>
      <w:r w:rsidR="00503D23" w:rsidRPr="00BB281B">
        <w:rPr>
          <w:sz w:val="20"/>
          <w:szCs w:val="20"/>
        </w:rPr>
        <w:t xml:space="preserve"> </w:t>
      </w:r>
    </w:p>
    <w:p w:rsidR="00011CE1" w:rsidRDefault="00D70E50" w:rsidP="003E4C5A">
      <w:pPr>
        <w:pStyle w:val="ListParagraph"/>
        <w:numPr>
          <w:ilvl w:val="1"/>
          <w:numId w:val="3"/>
        </w:numPr>
        <w:spacing w:after="120"/>
        <w:ind w:left="630"/>
        <w:contextualSpacing w:val="0"/>
        <w:jc w:val="both"/>
        <w:rPr>
          <w:sz w:val="20"/>
          <w:szCs w:val="20"/>
        </w:rPr>
      </w:pPr>
      <w:r>
        <w:rPr>
          <w:b/>
          <w:noProof/>
          <w:sz w:val="20"/>
          <w:szCs w:val="20"/>
          <w:u w:val="single"/>
        </w:rPr>
        <mc:AlternateContent>
          <mc:Choice Requires="wps">
            <w:drawing>
              <wp:anchor distT="0" distB="0" distL="114300" distR="114300" simplePos="0" relativeHeight="251661312" behindDoc="0" locked="0" layoutInCell="1" allowOverlap="1">
                <wp:simplePos x="0" y="0"/>
                <wp:positionH relativeFrom="column">
                  <wp:posOffset>191386</wp:posOffset>
                </wp:positionH>
                <wp:positionV relativeFrom="paragraph">
                  <wp:posOffset>30539</wp:posOffset>
                </wp:positionV>
                <wp:extent cx="6006642" cy="1158949"/>
                <wp:effectExtent l="38100" t="0" r="13335" b="22225"/>
                <wp:wrapNone/>
                <wp:docPr id="7" name="Double Brace 7"/>
                <wp:cNvGraphicFramePr/>
                <a:graphic xmlns:a="http://schemas.openxmlformats.org/drawingml/2006/main">
                  <a:graphicData uri="http://schemas.microsoft.com/office/word/2010/wordprocessingShape">
                    <wps:wsp>
                      <wps:cNvSpPr/>
                      <wps:spPr>
                        <a:xfrm>
                          <a:off x="0" y="0"/>
                          <a:ext cx="6006642" cy="1158949"/>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4FA588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7" o:spid="_x0000_s1026" type="#_x0000_t186" style="position:absolute;margin-left:15.05pt;margin-top:2.4pt;width:472.95pt;height:9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" strokecolor="#5b9bd5 [3204]" strokeweight=".5pt">
                <v:stroke joinstyle="miter"/>
              </v:shape>
            </w:pict>
          </mc:Fallback>
        </mc:AlternateContent>
      </w:r>
      <w:r w:rsidR="003E4C5A">
        <w:rPr>
          <w:b/>
          <w:sz w:val="20"/>
          <w:szCs w:val="20"/>
          <w:u w:val="single"/>
        </w:rPr>
        <w:t>Private Autopsy C</w:t>
      </w:r>
      <w:r w:rsidR="00503D23" w:rsidRPr="003E4C5A">
        <w:rPr>
          <w:b/>
          <w:sz w:val="20"/>
          <w:szCs w:val="20"/>
          <w:u w:val="single"/>
        </w:rPr>
        <w:t>ases</w:t>
      </w:r>
      <w:r w:rsidR="00503D23" w:rsidRPr="00BB281B">
        <w:rPr>
          <w:sz w:val="20"/>
          <w:szCs w:val="20"/>
        </w:rPr>
        <w:t xml:space="preserve"> are billed at </w:t>
      </w:r>
      <w:r w:rsidR="00503D23" w:rsidRPr="00F54514">
        <w:rPr>
          <w:b/>
          <w:u w:val="single"/>
        </w:rPr>
        <w:t>$</w:t>
      </w:r>
      <w:r w:rsidR="00F54514" w:rsidRPr="00F54514">
        <w:rPr>
          <w:b/>
          <w:u w:val="single"/>
        </w:rPr>
        <w:t>305</w:t>
      </w:r>
      <w:r w:rsidR="00503D23" w:rsidRPr="00F54514">
        <w:rPr>
          <w:b/>
          <w:u w:val="single"/>
        </w:rPr>
        <w:t>0</w:t>
      </w:r>
      <w:r w:rsidR="006E1B7D" w:rsidRPr="00F54514">
        <w:rPr>
          <w:sz w:val="21"/>
          <w:szCs w:val="21"/>
        </w:rPr>
        <w:t xml:space="preserve"> </w:t>
      </w:r>
      <w:r w:rsidR="00F54514">
        <w:rPr>
          <w:sz w:val="20"/>
          <w:szCs w:val="20"/>
        </w:rPr>
        <w:t>(this includes a $2500</w:t>
      </w:r>
      <w:r w:rsidR="006E1B7D" w:rsidRPr="00BB281B">
        <w:rPr>
          <w:sz w:val="20"/>
          <w:szCs w:val="20"/>
        </w:rPr>
        <w:t xml:space="preserve"> </w:t>
      </w:r>
      <w:r w:rsidR="00F54514">
        <w:rPr>
          <w:sz w:val="20"/>
          <w:szCs w:val="20"/>
        </w:rPr>
        <w:t>basic autopsy fee, $150 histology fee</w:t>
      </w:r>
      <w:proofErr w:type="gramStart"/>
      <w:r w:rsidR="00F54514">
        <w:rPr>
          <w:sz w:val="20"/>
          <w:szCs w:val="20"/>
        </w:rPr>
        <w:t>,  $</w:t>
      </w:r>
      <w:proofErr w:type="gramEnd"/>
      <w:r w:rsidR="00F54514">
        <w:rPr>
          <w:sz w:val="20"/>
          <w:szCs w:val="20"/>
        </w:rPr>
        <w:t>150 transcription fee and a $250 forensic toxicology fee</w:t>
      </w:r>
      <w:r w:rsidR="003E4C5A">
        <w:rPr>
          <w:sz w:val="20"/>
          <w:szCs w:val="20"/>
        </w:rPr>
        <w:t xml:space="preserve">.  If specialized additional </w:t>
      </w:r>
      <w:r w:rsidR="00EF6C19">
        <w:rPr>
          <w:sz w:val="20"/>
          <w:szCs w:val="20"/>
        </w:rPr>
        <w:t xml:space="preserve">toxicology or laboratory </w:t>
      </w:r>
      <w:r w:rsidR="003E4C5A">
        <w:rPr>
          <w:sz w:val="20"/>
          <w:szCs w:val="20"/>
        </w:rPr>
        <w:t>testing is required</w:t>
      </w:r>
      <w:r w:rsidR="00EF6C19">
        <w:rPr>
          <w:sz w:val="20"/>
          <w:szCs w:val="20"/>
        </w:rPr>
        <w:t>,</w:t>
      </w:r>
      <w:r w:rsidR="003E4C5A">
        <w:rPr>
          <w:sz w:val="20"/>
          <w:szCs w:val="20"/>
        </w:rPr>
        <w:t xml:space="preserve"> additional fees above the $250 toxicology fee may apply</w:t>
      </w:r>
      <w:r w:rsidR="00F54514">
        <w:rPr>
          <w:sz w:val="20"/>
          <w:szCs w:val="20"/>
        </w:rPr>
        <w:t xml:space="preserve">).  As the autopsy is a medical service, there is no sales </w:t>
      </w:r>
      <w:r w:rsidR="006E1B7D" w:rsidRPr="00BB281B">
        <w:rPr>
          <w:sz w:val="20"/>
          <w:szCs w:val="20"/>
        </w:rPr>
        <w:t xml:space="preserve">tax.  </w:t>
      </w:r>
    </w:p>
    <w:p w:rsidR="003E4C5A" w:rsidRPr="003E4C5A" w:rsidRDefault="003E4C5A" w:rsidP="003E4C5A">
      <w:pPr>
        <w:pStyle w:val="ListParagraph"/>
        <w:spacing w:after="120"/>
        <w:ind w:left="630"/>
        <w:contextualSpacing w:val="0"/>
        <w:jc w:val="both"/>
        <w:rPr>
          <w:sz w:val="20"/>
          <w:szCs w:val="20"/>
        </w:rPr>
      </w:pPr>
      <w:r>
        <w:rPr>
          <w:sz w:val="20"/>
          <w:szCs w:val="20"/>
        </w:rPr>
        <w:t>Additional fees may be required and if applicable are listed below:</w:t>
      </w:r>
    </w:p>
    <w:p w:rsidR="003E4C5A" w:rsidRPr="000737F3" w:rsidRDefault="003E4C5A" w:rsidP="003E4C5A">
      <w:pPr>
        <w:pStyle w:val="ListParagraph"/>
        <w:spacing w:after="120"/>
        <w:ind w:left="630" w:hanging="360"/>
        <w:contextualSpacing w:val="0"/>
        <w:jc w:val="both"/>
        <w:rPr>
          <w:sz w:val="16"/>
          <w:szCs w:val="16"/>
        </w:rPr>
      </w:pPr>
      <w:r w:rsidRPr="000737F3">
        <w:rPr>
          <w:b/>
          <w:noProof/>
          <w:sz w:val="16"/>
          <w:szCs w:val="16"/>
        </w:rPr>
        <mc:AlternateContent>
          <mc:Choice Requires="wps">
            <w:drawing>
              <wp:anchor distT="0" distB="0" distL="114300" distR="114300" simplePos="0" relativeHeight="251660288" behindDoc="0" locked="0" layoutInCell="1" allowOverlap="1" wp14:anchorId="4FD5C7CC" wp14:editId="575EB539">
                <wp:simplePos x="0" y="0"/>
                <wp:positionH relativeFrom="margin">
                  <wp:posOffset>414671</wp:posOffset>
                </wp:positionH>
                <wp:positionV relativeFrom="paragraph">
                  <wp:posOffset>94925</wp:posOffset>
                </wp:positionV>
                <wp:extent cx="5502098" cy="0"/>
                <wp:effectExtent l="0" t="0" r="22860" b="19050"/>
                <wp:wrapNone/>
                <wp:docPr id="5" name="Straight Connector 5"/>
                <wp:cNvGraphicFramePr/>
                <a:graphic xmlns:a="http://schemas.openxmlformats.org/drawingml/2006/main">
                  <a:graphicData uri="http://schemas.microsoft.com/office/word/2010/wordprocessingShape">
                    <wps:wsp>
                      <wps:cNvCnPr/>
                      <wps:spPr>
                        <a:xfrm flipV="1">
                          <a:off x="0" y="0"/>
                          <a:ext cx="55020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7C391B9"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65pt,7.45pt" to="465.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" strokecolor="black [3200]" strokeweight=".5pt">
                <v:stroke joinstyle="miter"/>
                <w10:wrap anchorx="margin"/>
              </v:line>
            </w:pict>
          </mc:Fallback>
        </mc:AlternateContent>
      </w:r>
    </w:p>
    <w:p w:rsidR="00D70E50" w:rsidRPr="00D70E50" w:rsidRDefault="00D70E50" w:rsidP="00D70E50">
      <w:pPr>
        <w:pStyle w:val="ListParagraph"/>
        <w:spacing w:after="120"/>
        <w:ind w:left="630"/>
        <w:contextualSpacing w:val="0"/>
        <w:jc w:val="both"/>
        <w:rPr>
          <w:sz w:val="20"/>
          <w:szCs w:val="20"/>
        </w:rPr>
      </w:pPr>
      <w:r>
        <w:rPr>
          <w:b/>
          <w:noProof/>
          <w:sz w:val="20"/>
          <w:szCs w:val="20"/>
          <w:u w:val="single"/>
        </w:rPr>
        <mc:AlternateContent>
          <mc:Choice Requires="wps">
            <w:drawing>
              <wp:anchor distT="0" distB="0" distL="114300" distR="114300" simplePos="0" relativeHeight="251663360" behindDoc="0" locked="0" layoutInCell="1" allowOverlap="1" wp14:anchorId="55B18E8C" wp14:editId="17B6677B">
                <wp:simplePos x="0" y="0"/>
                <wp:positionH relativeFrom="column">
                  <wp:posOffset>244549</wp:posOffset>
                </wp:positionH>
                <wp:positionV relativeFrom="paragraph">
                  <wp:posOffset>215974</wp:posOffset>
                </wp:positionV>
                <wp:extent cx="5868685" cy="903767"/>
                <wp:effectExtent l="38100" t="0" r="0" b="10795"/>
                <wp:wrapNone/>
                <wp:docPr id="8" name="Double Brace 8"/>
                <wp:cNvGraphicFramePr/>
                <a:graphic xmlns:a="http://schemas.openxmlformats.org/drawingml/2006/main">
                  <a:graphicData uri="http://schemas.microsoft.com/office/word/2010/wordprocessingShape">
                    <wps:wsp>
                      <wps:cNvSpPr/>
                      <wps:spPr>
                        <a:xfrm>
                          <a:off x="0" y="0"/>
                          <a:ext cx="5868685" cy="903767"/>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3EA3A8" id="Double Brace 8" o:spid="_x0000_s1026" type="#_x0000_t186" style="position:absolute;margin-left:19.25pt;margin-top:17pt;width:462.1pt;height:7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" strokecolor="#5b9bd5 [3204]" strokeweight=".5pt">
                <v:stroke joinstyle="miter"/>
              </v:shape>
            </w:pict>
          </mc:Fallback>
        </mc:AlternateContent>
      </w:r>
    </w:p>
    <w:p w:rsidR="004900A8" w:rsidRDefault="003E4C5A" w:rsidP="003E4C5A">
      <w:pPr>
        <w:pStyle w:val="ListParagraph"/>
        <w:numPr>
          <w:ilvl w:val="1"/>
          <w:numId w:val="3"/>
        </w:numPr>
        <w:spacing w:after="120"/>
        <w:ind w:left="630"/>
        <w:contextualSpacing w:val="0"/>
        <w:jc w:val="both"/>
        <w:rPr>
          <w:sz w:val="20"/>
          <w:szCs w:val="20"/>
        </w:rPr>
      </w:pPr>
      <w:r>
        <w:rPr>
          <w:b/>
          <w:sz w:val="20"/>
          <w:szCs w:val="20"/>
          <w:u w:val="single"/>
        </w:rPr>
        <w:t>Cases Provided to C</w:t>
      </w:r>
      <w:r w:rsidR="006A310F" w:rsidRPr="003E4C5A">
        <w:rPr>
          <w:b/>
          <w:sz w:val="20"/>
          <w:szCs w:val="20"/>
          <w:u w:val="single"/>
        </w:rPr>
        <w:t>oroners</w:t>
      </w:r>
      <w:r w:rsidR="006A310F" w:rsidRPr="00BB281B">
        <w:rPr>
          <w:sz w:val="20"/>
          <w:szCs w:val="20"/>
        </w:rPr>
        <w:t xml:space="preserve"> are billed at their existing fee structures</w:t>
      </w:r>
      <w:r w:rsidR="00011CE1">
        <w:rPr>
          <w:sz w:val="20"/>
          <w:szCs w:val="20"/>
        </w:rPr>
        <w:t>, with a minimum charge of $1500 (</w:t>
      </w:r>
      <w:proofErr w:type="gramStart"/>
      <w:r w:rsidR="00011CE1">
        <w:rPr>
          <w:sz w:val="20"/>
          <w:szCs w:val="20"/>
        </w:rPr>
        <w:t>provided</w:t>
      </w:r>
      <w:proofErr w:type="gramEnd"/>
      <w:r w:rsidR="00011CE1">
        <w:rPr>
          <w:sz w:val="20"/>
          <w:szCs w:val="20"/>
        </w:rPr>
        <w:t xml:space="preserve"> that the county use the Washington State Toxicology Lab; otherwise $250 </w:t>
      </w:r>
      <w:r w:rsidR="004900A8">
        <w:rPr>
          <w:sz w:val="20"/>
          <w:szCs w:val="20"/>
        </w:rPr>
        <w:t xml:space="preserve">will be added </w:t>
      </w:r>
      <w:r w:rsidR="00011CE1">
        <w:rPr>
          <w:sz w:val="20"/>
          <w:szCs w:val="20"/>
        </w:rPr>
        <w:t xml:space="preserve">to the $1500 minimum charge).  </w:t>
      </w:r>
    </w:p>
    <w:p w:rsidR="003E4C5A" w:rsidRDefault="00011CE1" w:rsidP="004900A8">
      <w:pPr>
        <w:pStyle w:val="ListParagraph"/>
        <w:ind w:left="634"/>
        <w:contextualSpacing w:val="0"/>
        <w:jc w:val="both"/>
        <w:rPr>
          <w:sz w:val="20"/>
          <w:szCs w:val="20"/>
        </w:rPr>
      </w:pPr>
      <w:r>
        <w:rPr>
          <w:sz w:val="20"/>
          <w:szCs w:val="20"/>
        </w:rPr>
        <w:t xml:space="preserve">The itemized breakdown of the </w:t>
      </w:r>
      <w:r w:rsidR="003E4C5A">
        <w:rPr>
          <w:sz w:val="20"/>
          <w:szCs w:val="20"/>
        </w:rPr>
        <w:t xml:space="preserve">$1500 </w:t>
      </w:r>
      <w:r>
        <w:rPr>
          <w:sz w:val="20"/>
          <w:szCs w:val="20"/>
        </w:rPr>
        <w:t xml:space="preserve">minimum charge is a.) </w:t>
      </w:r>
      <w:proofErr w:type="gramStart"/>
      <w:r>
        <w:rPr>
          <w:sz w:val="20"/>
          <w:szCs w:val="20"/>
        </w:rPr>
        <w:t>autopsy</w:t>
      </w:r>
      <w:proofErr w:type="gramEnd"/>
      <w:r>
        <w:rPr>
          <w:sz w:val="20"/>
          <w:szCs w:val="20"/>
        </w:rPr>
        <w:t xml:space="preserve"> $1200; b.) </w:t>
      </w:r>
      <w:proofErr w:type="gramStart"/>
      <w:r>
        <w:rPr>
          <w:sz w:val="20"/>
          <w:szCs w:val="20"/>
        </w:rPr>
        <w:t>transcription</w:t>
      </w:r>
      <w:proofErr w:type="gramEnd"/>
      <w:r>
        <w:rPr>
          <w:sz w:val="20"/>
          <w:szCs w:val="20"/>
        </w:rPr>
        <w:t xml:space="preserve"> $150; and c.) </w:t>
      </w:r>
      <w:proofErr w:type="gramStart"/>
      <w:r>
        <w:rPr>
          <w:sz w:val="20"/>
          <w:szCs w:val="20"/>
        </w:rPr>
        <w:t>histology</w:t>
      </w:r>
      <w:proofErr w:type="gramEnd"/>
      <w:r>
        <w:rPr>
          <w:sz w:val="20"/>
          <w:szCs w:val="20"/>
        </w:rPr>
        <w:t xml:space="preserve"> $150.</w:t>
      </w:r>
      <w:r w:rsidR="006D3864" w:rsidRPr="00BB281B">
        <w:rPr>
          <w:sz w:val="20"/>
          <w:szCs w:val="20"/>
        </w:rPr>
        <w:t xml:space="preserve">  </w:t>
      </w:r>
      <w:r w:rsidR="0079658A">
        <w:rPr>
          <w:sz w:val="20"/>
          <w:szCs w:val="20"/>
        </w:rPr>
        <w:t xml:space="preserve">  </w:t>
      </w:r>
    </w:p>
    <w:p w:rsidR="00D70E50" w:rsidRPr="004900A8" w:rsidRDefault="00D70E50" w:rsidP="00D70E50">
      <w:pPr>
        <w:pStyle w:val="ListParagraph"/>
        <w:spacing w:after="120"/>
        <w:ind w:left="270"/>
        <w:jc w:val="both"/>
        <w:rPr>
          <w:sz w:val="16"/>
          <w:szCs w:val="16"/>
        </w:rPr>
      </w:pPr>
    </w:p>
    <w:p w:rsidR="000F57D9" w:rsidRPr="00BB281B" w:rsidRDefault="00503D23" w:rsidP="003E4C5A">
      <w:pPr>
        <w:pStyle w:val="ListParagraph"/>
        <w:numPr>
          <w:ilvl w:val="0"/>
          <w:numId w:val="3"/>
        </w:numPr>
        <w:spacing w:after="120"/>
        <w:ind w:left="270" w:hanging="270"/>
        <w:jc w:val="both"/>
        <w:rPr>
          <w:sz w:val="20"/>
          <w:szCs w:val="20"/>
        </w:rPr>
      </w:pPr>
      <w:proofErr w:type="gramStart"/>
      <w:r w:rsidRPr="00BB281B">
        <w:rPr>
          <w:b/>
          <w:sz w:val="20"/>
          <w:szCs w:val="20"/>
        </w:rPr>
        <w:t xml:space="preserve">Performance of </w:t>
      </w:r>
      <w:r w:rsidR="007A5D1B">
        <w:rPr>
          <w:b/>
          <w:sz w:val="20"/>
          <w:szCs w:val="20"/>
          <w:u w:val="single"/>
        </w:rPr>
        <w:t>L</w:t>
      </w:r>
      <w:r w:rsidRPr="003F3B66">
        <w:rPr>
          <w:b/>
          <w:sz w:val="20"/>
          <w:szCs w:val="20"/>
          <w:u w:val="single"/>
        </w:rPr>
        <w:t>imited</w:t>
      </w:r>
      <w:r w:rsidR="007A5D1B">
        <w:rPr>
          <w:b/>
          <w:sz w:val="20"/>
          <w:szCs w:val="20"/>
        </w:rPr>
        <w:t xml:space="preserve"> Post-mortem E</w:t>
      </w:r>
      <w:r w:rsidRPr="00BB281B">
        <w:rPr>
          <w:b/>
          <w:sz w:val="20"/>
          <w:szCs w:val="20"/>
        </w:rPr>
        <w:t xml:space="preserve">xaminations </w:t>
      </w:r>
      <w:r w:rsidRPr="00BB281B">
        <w:rPr>
          <w:sz w:val="20"/>
          <w:szCs w:val="20"/>
        </w:rPr>
        <w:t>are</w:t>
      </w:r>
      <w:proofErr w:type="gramEnd"/>
      <w:r w:rsidRPr="00BB281B">
        <w:rPr>
          <w:sz w:val="20"/>
          <w:szCs w:val="20"/>
        </w:rPr>
        <w:t xml:space="preserve"> usually performed to assist brain examination </w:t>
      </w:r>
      <w:r w:rsidR="00F77BE2" w:rsidRPr="00BB281B">
        <w:rPr>
          <w:sz w:val="20"/>
          <w:szCs w:val="20"/>
        </w:rPr>
        <w:t xml:space="preserve">(typically for the work-up of dementia or other neurodegenerative disorders) </w:t>
      </w:r>
      <w:r w:rsidRPr="00BB281B">
        <w:rPr>
          <w:sz w:val="20"/>
          <w:szCs w:val="20"/>
        </w:rPr>
        <w:t>by a neuropathologist.</w:t>
      </w:r>
      <w:r w:rsidR="00F77BE2" w:rsidRPr="00BB281B">
        <w:rPr>
          <w:sz w:val="20"/>
          <w:szCs w:val="20"/>
        </w:rPr>
        <w:t xml:space="preserve">  Billing will be itemized to include the primary autopsy pathologist fee (</w:t>
      </w:r>
      <w:r w:rsidR="00F77BE2" w:rsidRPr="00BB281B">
        <w:rPr>
          <w:b/>
          <w:sz w:val="20"/>
          <w:szCs w:val="20"/>
        </w:rPr>
        <w:t>$1500</w:t>
      </w:r>
      <w:r w:rsidR="00F77BE2" w:rsidRPr="00BB281B">
        <w:rPr>
          <w:sz w:val="20"/>
          <w:szCs w:val="20"/>
        </w:rPr>
        <w:t>); neuropathologist fee (available upon inquiry); and laboratory fees</w:t>
      </w:r>
      <w:r w:rsidR="00560A2C" w:rsidRPr="00BB281B">
        <w:rPr>
          <w:sz w:val="20"/>
          <w:szCs w:val="20"/>
        </w:rPr>
        <w:t>, including specialized immunohistochemistry stains</w:t>
      </w:r>
      <w:r w:rsidR="00F77BE2" w:rsidRPr="00BB281B">
        <w:rPr>
          <w:sz w:val="20"/>
          <w:szCs w:val="20"/>
        </w:rPr>
        <w:t>.</w:t>
      </w:r>
    </w:p>
    <w:p w:rsidR="00BB281B" w:rsidRPr="004900A8" w:rsidRDefault="00BB281B" w:rsidP="00BB281B">
      <w:pPr>
        <w:pStyle w:val="ListParagraph"/>
        <w:rPr>
          <w:sz w:val="12"/>
          <w:szCs w:val="12"/>
        </w:rPr>
      </w:pPr>
    </w:p>
    <w:p w:rsidR="00EF6C19" w:rsidRPr="00BB281B" w:rsidRDefault="00EF6C19" w:rsidP="00EF6C19">
      <w:pPr>
        <w:pStyle w:val="ListParagraph"/>
        <w:numPr>
          <w:ilvl w:val="0"/>
          <w:numId w:val="3"/>
        </w:numPr>
        <w:spacing w:after="120"/>
        <w:ind w:left="270" w:hanging="270"/>
        <w:contextualSpacing w:val="0"/>
        <w:jc w:val="both"/>
        <w:rPr>
          <w:sz w:val="20"/>
          <w:szCs w:val="20"/>
        </w:rPr>
      </w:pPr>
      <w:proofErr w:type="gramStart"/>
      <w:r w:rsidRPr="003E4C5A">
        <w:rPr>
          <w:b/>
          <w:sz w:val="20"/>
          <w:szCs w:val="20"/>
          <w:u w:val="single"/>
        </w:rPr>
        <w:t>Consultation to Attorneys</w:t>
      </w:r>
      <w:r w:rsidRPr="00BB281B">
        <w:rPr>
          <w:sz w:val="20"/>
          <w:szCs w:val="20"/>
        </w:rPr>
        <w:t xml:space="preserve"> are</w:t>
      </w:r>
      <w:proofErr w:type="gramEnd"/>
      <w:r w:rsidRPr="00BB281B">
        <w:rPr>
          <w:sz w:val="20"/>
          <w:szCs w:val="20"/>
        </w:rPr>
        <w:t xml:space="preserve"> billed at a rate of </w:t>
      </w:r>
      <w:r w:rsidRPr="00BB281B">
        <w:rPr>
          <w:b/>
          <w:sz w:val="20"/>
          <w:szCs w:val="20"/>
        </w:rPr>
        <w:t>$400</w:t>
      </w:r>
      <w:r w:rsidRPr="00BB281B">
        <w:rPr>
          <w:sz w:val="20"/>
          <w:szCs w:val="20"/>
        </w:rPr>
        <w:t xml:space="preserve"> per hour.  As necessary, this may also include travel time, records review, telephone calls, letters, </w:t>
      </w:r>
      <w:proofErr w:type="gramStart"/>
      <w:r w:rsidRPr="00BB281B">
        <w:rPr>
          <w:sz w:val="20"/>
          <w:szCs w:val="20"/>
        </w:rPr>
        <w:t>reports</w:t>
      </w:r>
      <w:proofErr w:type="gramEnd"/>
      <w:r w:rsidRPr="00BB281B">
        <w:rPr>
          <w:sz w:val="20"/>
          <w:szCs w:val="20"/>
        </w:rPr>
        <w:t xml:space="preserve">. </w:t>
      </w:r>
      <w:r>
        <w:rPr>
          <w:sz w:val="20"/>
          <w:szCs w:val="20"/>
        </w:rPr>
        <w:t xml:space="preserve">This fee also applies to courtroom testimony, </w:t>
      </w:r>
      <w:r>
        <w:rPr>
          <w:sz w:val="20"/>
          <w:szCs w:val="20"/>
          <w:u w:val="single"/>
        </w:rPr>
        <w:t>including</w:t>
      </w:r>
      <w:r>
        <w:rPr>
          <w:sz w:val="20"/>
          <w:szCs w:val="20"/>
        </w:rPr>
        <w:t xml:space="preserve"> waiting time.</w:t>
      </w:r>
      <w:r w:rsidRPr="00BB281B">
        <w:rPr>
          <w:sz w:val="20"/>
          <w:szCs w:val="20"/>
        </w:rPr>
        <w:t xml:space="preserve"> Time is pro-rated to the next highest 5 minutes.  Appointment times are reserved and 48 hours minimum </w:t>
      </w:r>
      <w:r w:rsidRPr="00BB281B">
        <w:rPr>
          <w:sz w:val="20"/>
          <w:szCs w:val="20"/>
        </w:rPr>
        <w:lastRenderedPageBreak/>
        <w:t>notice is required for cancellation; missed appointments will be billed at the full fee.  Please call 425-754-5121 to cancel.</w:t>
      </w:r>
    </w:p>
    <w:p w:rsidR="009B1859" w:rsidRDefault="009B1859" w:rsidP="009B1859">
      <w:pPr>
        <w:rPr>
          <w:b/>
          <w:sz w:val="20"/>
          <w:szCs w:val="20"/>
          <w:u w:val="single"/>
        </w:rPr>
      </w:pPr>
    </w:p>
    <w:p w:rsidR="00EF6C19" w:rsidRDefault="00EF6C19" w:rsidP="009B1859">
      <w:pPr>
        <w:rPr>
          <w:b/>
          <w:sz w:val="20"/>
          <w:szCs w:val="20"/>
          <w:u w:val="single"/>
        </w:rPr>
      </w:pPr>
    </w:p>
    <w:p w:rsidR="00EF6C19" w:rsidRDefault="00EF6C19" w:rsidP="009B1859">
      <w:pPr>
        <w:rPr>
          <w:b/>
          <w:sz w:val="20"/>
          <w:szCs w:val="20"/>
          <w:u w:val="single"/>
        </w:rPr>
      </w:pPr>
    </w:p>
    <w:p w:rsidR="00EF6C19" w:rsidRDefault="00EF6C19" w:rsidP="009B1859">
      <w:pPr>
        <w:rPr>
          <w:b/>
          <w:sz w:val="20"/>
          <w:szCs w:val="20"/>
          <w:u w:val="single"/>
        </w:rPr>
      </w:pPr>
    </w:p>
    <w:p w:rsidR="00BB281B" w:rsidRPr="00BB281B" w:rsidRDefault="00BB281B" w:rsidP="009B1859">
      <w:pPr>
        <w:rPr>
          <w:b/>
          <w:sz w:val="20"/>
          <w:szCs w:val="20"/>
          <w:u w:val="single"/>
        </w:rPr>
      </w:pPr>
      <w:r w:rsidRPr="00BB281B">
        <w:rPr>
          <w:b/>
          <w:sz w:val="20"/>
          <w:szCs w:val="20"/>
          <w:u w:val="single"/>
        </w:rPr>
        <w:t>Agreement with above terms</w:t>
      </w:r>
    </w:p>
    <w:p w:rsidR="00BB281B" w:rsidRPr="00BB281B" w:rsidRDefault="00BB281B" w:rsidP="00BB281B">
      <w:pPr>
        <w:pStyle w:val="ListParagraph"/>
        <w:spacing w:after="120"/>
        <w:ind w:left="0"/>
        <w:jc w:val="both"/>
        <w:rPr>
          <w:sz w:val="20"/>
          <w:szCs w:val="20"/>
        </w:rPr>
      </w:pPr>
      <w:r w:rsidRPr="00BB281B">
        <w:rPr>
          <w:sz w:val="20"/>
          <w:szCs w:val="20"/>
        </w:rPr>
        <w:t>I have read the Policy and Procedure Statement Governing Financial Reimbursement for Provision of Postmortem Examinations and Forensic Consultation Services, understand and agree to the terms delineated therein, and give my informed consent to receive services as described at the fee structure listed.</w:t>
      </w:r>
    </w:p>
    <w:p w:rsidR="00BB281B" w:rsidRDefault="00BB281B" w:rsidP="00BB281B">
      <w:pPr>
        <w:pStyle w:val="ListParagraph"/>
        <w:spacing w:after="120"/>
        <w:ind w:left="0"/>
        <w:jc w:val="both"/>
      </w:pPr>
    </w:p>
    <w:p w:rsidR="00BB281B" w:rsidRDefault="00BB281B" w:rsidP="00BB281B">
      <w:pPr>
        <w:pStyle w:val="ListParagraph"/>
        <w:spacing w:after="120"/>
        <w:ind w:left="0"/>
        <w:jc w:val="both"/>
      </w:pPr>
    </w:p>
    <w:p w:rsidR="00BB281B" w:rsidRDefault="00BB281B" w:rsidP="00BB281B">
      <w:pPr>
        <w:pStyle w:val="ListParagraph"/>
        <w:spacing w:after="120"/>
        <w:ind w:left="0"/>
        <w:jc w:val="both"/>
      </w:pPr>
      <w:r>
        <w:t>_________________________________</w:t>
      </w:r>
      <w:r w:rsidR="0079658A">
        <w:tab/>
      </w:r>
      <w:r w:rsidR="0079658A">
        <w:tab/>
        <w:t>_______________________________________</w:t>
      </w:r>
    </w:p>
    <w:p w:rsidR="00BB281B" w:rsidRDefault="00BB281B" w:rsidP="00BB281B">
      <w:pPr>
        <w:pStyle w:val="ListParagraph"/>
        <w:spacing w:after="120"/>
        <w:ind w:left="0"/>
        <w:jc w:val="both"/>
      </w:pPr>
      <w:r>
        <w:t>Signature of authorizing party and date</w:t>
      </w:r>
      <w:r w:rsidR="0079658A">
        <w:tab/>
      </w:r>
      <w:r w:rsidR="0079658A">
        <w:tab/>
      </w:r>
      <w:r w:rsidR="0079658A">
        <w:tab/>
      </w:r>
      <w:r w:rsidR="0079658A">
        <w:tab/>
      </w:r>
      <w:r w:rsidR="0079658A">
        <w:tab/>
      </w:r>
      <w:r>
        <w:t>Printed name</w:t>
      </w:r>
    </w:p>
    <w:sectPr w:rsidR="00BB281B" w:rsidSect="005135AA">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466" w:rsidRDefault="007D0466" w:rsidP="009F2F54">
      <w:r>
        <w:separator/>
      </w:r>
    </w:p>
  </w:endnote>
  <w:endnote w:type="continuationSeparator" w:id="0">
    <w:p w:rsidR="007D0466" w:rsidRDefault="007D0466" w:rsidP="009F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408154"/>
      <w:docPartObj>
        <w:docPartGallery w:val="Page Numbers (Bottom of Page)"/>
        <w:docPartUnique/>
      </w:docPartObj>
    </w:sdtPr>
    <w:sdtEndPr/>
    <w:sdtContent>
      <w:sdt>
        <w:sdtPr>
          <w:id w:val="1728636285"/>
          <w:docPartObj>
            <w:docPartGallery w:val="Page Numbers (Top of Page)"/>
            <w:docPartUnique/>
          </w:docPartObj>
        </w:sdtPr>
        <w:sdtEndPr/>
        <w:sdtContent>
          <w:p w:rsidR="005135AA" w:rsidRDefault="005135A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A077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0775">
              <w:rPr>
                <w:b/>
                <w:bCs/>
                <w:noProof/>
              </w:rPr>
              <w:t>2</w:t>
            </w:r>
            <w:r>
              <w:rPr>
                <w:b/>
                <w:bCs/>
                <w:sz w:val="24"/>
                <w:szCs w:val="24"/>
              </w:rPr>
              <w:fldChar w:fldCharType="end"/>
            </w:r>
          </w:p>
        </w:sdtContent>
      </w:sdt>
    </w:sdtContent>
  </w:sdt>
  <w:p w:rsidR="00BB281B" w:rsidRDefault="00BB28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466" w:rsidRDefault="007D0466" w:rsidP="009F2F54">
      <w:r>
        <w:separator/>
      </w:r>
    </w:p>
  </w:footnote>
  <w:footnote w:type="continuationSeparator" w:id="0">
    <w:p w:rsidR="007D0466" w:rsidRDefault="007D0466" w:rsidP="009F2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F54" w:rsidRDefault="009F2F54" w:rsidP="009F2F54">
    <w:pPr>
      <w:pStyle w:val="Header"/>
      <w:tabs>
        <w:tab w:val="left" w:pos="7290"/>
      </w:tabs>
    </w:pPr>
    <w:r w:rsidRPr="009F2F54">
      <w:rPr>
        <w:noProof/>
      </w:rPr>
      <w:drawing>
        <wp:inline distT="0" distB="0" distL="0" distR="0" wp14:anchorId="51995BC0" wp14:editId="0361C6F2">
          <wp:extent cx="704850" cy="758923"/>
          <wp:effectExtent l="0" t="0" r="0" b="3175"/>
          <wp:docPr id="2" name="Picture 2" descr="C:\Users\Stan\Documents\Washington Forensics Services\Web\Misc\ClipArt\blind jus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ocuments\Washington Forensics Services\Web\Misc\ClipArt\blind justic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215" cy="784080"/>
                  </a:xfrm>
                  <a:prstGeom prst="rect">
                    <a:avLst/>
                  </a:prstGeom>
                  <a:noFill/>
                  <a:ln>
                    <a:noFill/>
                  </a:ln>
                </pic:spPr>
              </pic:pic>
            </a:graphicData>
          </a:graphic>
        </wp:inline>
      </w:drawing>
    </w:r>
    <w:r>
      <w:rPr>
        <w:noProof/>
      </w:rPr>
      <w:t xml:space="preserve">                          </w:t>
    </w:r>
    <w:r>
      <w:rPr>
        <w:noProof/>
        <w:sz w:val="32"/>
        <w:szCs w:val="32"/>
      </w:rPr>
      <w:t>Washington Forensics Services, PLLC</w:t>
    </w:r>
    <w:r>
      <w:rPr>
        <w:noProof/>
      </w:rPr>
      <w:t xml:space="preserve">                         </w:t>
    </w:r>
    <w:r w:rsidRPr="009F2F54">
      <w:rPr>
        <w:noProof/>
      </w:rPr>
      <w:drawing>
        <wp:inline distT="0" distB="0" distL="0" distR="0">
          <wp:extent cx="590550" cy="699911"/>
          <wp:effectExtent l="0" t="0" r="0" b="5080"/>
          <wp:docPr id="3" name="Picture 3" descr="C:\Users\Stan\Documents\Washington Forensics Services\Web\Misc\ClipArt\Caduce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an\Documents\Washington Forensics Services\Web\Misc\ClipArt\Caduceus.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3378" cy="715114"/>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859" w:rsidRDefault="009B1859" w:rsidP="009B1859">
    <w:pPr>
      <w:pStyle w:val="Header"/>
      <w:tabs>
        <w:tab w:val="left" w:pos="7290"/>
      </w:tabs>
    </w:pPr>
    <w:r w:rsidRPr="009F2F54">
      <w:rPr>
        <w:noProof/>
      </w:rPr>
      <w:drawing>
        <wp:inline distT="0" distB="0" distL="0" distR="0" wp14:anchorId="5D3BF8FA" wp14:editId="60CB6450">
          <wp:extent cx="704850" cy="758923"/>
          <wp:effectExtent l="0" t="0" r="0" b="3175"/>
          <wp:docPr id="9" name="Picture 9" descr="C:\Users\Stan\Documents\Washington Forensics Services\Web\Misc\ClipArt\blind jus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ocuments\Washington Forensics Services\Web\Misc\ClipArt\blind justic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215" cy="784080"/>
                  </a:xfrm>
                  <a:prstGeom prst="rect">
                    <a:avLst/>
                  </a:prstGeom>
                  <a:noFill/>
                  <a:ln>
                    <a:noFill/>
                  </a:ln>
                </pic:spPr>
              </pic:pic>
            </a:graphicData>
          </a:graphic>
        </wp:inline>
      </w:drawing>
    </w:r>
    <w:r>
      <w:rPr>
        <w:noProof/>
      </w:rPr>
      <w:t xml:space="preserve">                          </w:t>
    </w:r>
    <w:r>
      <w:rPr>
        <w:noProof/>
        <w:sz w:val="32"/>
        <w:szCs w:val="32"/>
      </w:rPr>
      <w:t>Washington Forensics Services, PLLC</w:t>
    </w:r>
    <w:r>
      <w:rPr>
        <w:noProof/>
      </w:rPr>
      <w:t xml:space="preserve">                         </w:t>
    </w:r>
    <w:r w:rsidRPr="009F2F54">
      <w:rPr>
        <w:noProof/>
      </w:rPr>
      <w:drawing>
        <wp:inline distT="0" distB="0" distL="0" distR="0" wp14:anchorId="75D43490" wp14:editId="68F180E8">
          <wp:extent cx="590550" cy="699911"/>
          <wp:effectExtent l="0" t="0" r="0" b="5080"/>
          <wp:docPr id="10" name="Picture 10" descr="C:\Users\Stan\Documents\Washington Forensics Services\Web\Misc\ClipArt\Caduce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an\Documents\Washington Forensics Services\Web\Misc\ClipArt\Caduceus.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3378" cy="715114"/>
                  </a:xfrm>
                  <a:prstGeom prst="rect">
                    <a:avLst/>
                  </a:prstGeom>
                  <a:noFill/>
                  <a:ln>
                    <a:noFill/>
                  </a:ln>
                </pic:spPr>
              </pic:pic>
            </a:graphicData>
          </a:graphic>
        </wp:inline>
      </w:drawing>
    </w:r>
  </w:p>
  <w:p w:rsidR="009B1859" w:rsidRPr="009B1859" w:rsidRDefault="009B1859" w:rsidP="009B18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4145D"/>
    <w:multiLevelType w:val="hybridMultilevel"/>
    <w:tmpl w:val="E80CB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F5043F"/>
    <w:multiLevelType w:val="hybridMultilevel"/>
    <w:tmpl w:val="439E58E6"/>
    <w:lvl w:ilvl="0" w:tplc="3410A4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774376"/>
    <w:multiLevelType w:val="hybridMultilevel"/>
    <w:tmpl w:val="AEA8F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465EA6"/>
    <w:multiLevelType w:val="hybridMultilevel"/>
    <w:tmpl w:val="96E44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A3F"/>
    <w:rsid w:val="00011CE1"/>
    <w:rsid w:val="0002206A"/>
    <w:rsid w:val="000645D6"/>
    <w:rsid w:val="00073566"/>
    <w:rsid w:val="000737F3"/>
    <w:rsid w:val="000A1526"/>
    <w:rsid w:val="000F57D9"/>
    <w:rsid w:val="00165ACC"/>
    <w:rsid w:val="0019615E"/>
    <w:rsid w:val="001E54A5"/>
    <w:rsid w:val="00221548"/>
    <w:rsid w:val="002A0232"/>
    <w:rsid w:val="002B7984"/>
    <w:rsid w:val="002C2F42"/>
    <w:rsid w:val="002C38EC"/>
    <w:rsid w:val="00312F12"/>
    <w:rsid w:val="00314803"/>
    <w:rsid w:val="00383C05"/>
    <w:rsid w:val="003C5960"/>
    <w:rsid w:val="003E4C5A"/>
    <w:rsid w:val="003F3B66"/>
    <w:rsid w:val="004301D2"/>
    <w:rsid w:val="00462C7E"/>
    <w:rsid w:val="004900A8"/>
    <w:rsid w:val="00491781"/>
    <w:rsid w:val="004C3234"/>
    <w:rsid w:val="00503D23"/>
    <w:rsid w:val="005135AA"/>
    <w:rsid w:val="00560A2C"/>
    <w:rsid w:val="005B127F"/>
    <w:rsid w:val="0060565A"/>
    <w:rsid w:val="006063AE"/>
    <w:rsid w:val="006231F9"/>
    <w:rsid w:val="00680E7E"/>
    <w:rsid w:val="00693613"/>
    <w:rsid w:val="006A310F"/>
    <w:rsid w:val="006C7662"/>
    <w:rsid w:val="006D0620"/>
    <w:rsid w:val="006D3864"/>
    <w:rsid w:val="006D7E17"/>
    <w:rsid w:val="006E1B7D"/>
    <w:rsid w:val="0070306F"/>
    <w:rsid w:val="00743F61"/>
    <w:rsid w:val="007534F7"/>
    <w:rsid w:val="007704E4"/>
    <w:rsid w:val="0079658A"/>
    <w:rsid w:val="007A5D1B"/>
    <w:rsid w:val="007D0466"/>
    <w:rsid w:val="007D23E8"/>
    <w:rsid w:val="007E04E1"/>
    <w:rsid w:val="007F35EE"/>
    <w:rsid w:val="00877FFE"/>
    <w:rsid w:val="008E6DA3"/>
    <w:rsid w:val="00964E96"/>
    <w:rsid w:val="009B1859"/>
    <w:rsid w:val="009F2F54"/>
    <w:rsid w:val="00A70812"/>
    <w:rsid w:val="00AC2A3F"/>
    <w:rsid w:val="00AD1238"/>
    <w:rsid w:val="00AE21D6"/>
    <w:rsid w:val="00AF3185"/>
    <w:rsid w:val="00AF442D"/>
    <w:rsid w:val="00B076D9"/>
    <w:rsid w:val="00B11855"/>
    <w:rsid w:val="00B26B7D"/>
    <w:rsid w:val="00B94E43"/>
    <w:rsid w:val="00BB281B"/>
    <w:rsid w:val="00BC3D2F"/>
    <w:rsid w:val="00C1107F"/>
    <w:rsid w:val="00C1164F"/>
    <w:rsid w:val="00CA4B4F"/>
    <w:rsid w:val="00CC136F"/>
    <w:rsid w:val="00D223E8"/>
    <w:rsid w:val="00D70E50"/>
    <w:rsid w:val="00D75AE5"/>
    <w:rsid w:val="00E31648"/>
    <w:rsid w:val="00E701BE"/>
    <w:rsid w:val="00EB75A7"/>
    <w:rsid w:val="00EF6C19"/>
    <w:rsid w:val="00F27655"/>
    <w:rsid w:val="00F54514"/>
    <w:rsid w:val="00F77BE2"/>
    <w:rsid w:val="00FA0775"/>
    <w:rsid w:val="00FA301C"/>
    <w:rsid w:val="00FC1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123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D123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A3F"/>
    <w:pPr>
      <w:ind w:left="720"/>
      <w:contextualSpacing/>
    </w:pPr>
  </w:style>
  <w:style w:type="character" w:customStyle="1" w:styleId="Heading1Char">
    <w:name w:val="Heading 1 Char"/>
    <w:basedOn w:val="DefaultParagraphFont"/>
    <w:link w:val="Heading1"/>
    <w:uiPriority w:val="9"/>
    <w:rsid w:val="00AD12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D123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D1238"/>
    <w:rPr>
      <w:color w:val="0000FF"/>
      <w:u w:val="single"/>
    </w:rPr>
  </w:style>
  <w:style w:type="paragraph" w:styleId="Header">
    <w:name w:val="header"/>
    <w:basedOn w:val="Normal"/>
    <w:link w:val="HeaderChar"/>
    <w:uiPriority w:val="99"/>
    <w:unhideWhenUsed/>
    <w:rsid w:val="009F2F54"/>
    <w:pPr>
      <w:tabs>
        <w:tab w:val="center" w:pos="4680"/>
        <w:tab w:val="right" w:pos="9360"/>
      </w:tabs>
    </w:pPr>
  </w:style>
  <w:style w:type="character" w:customStyle="1" w:styleId="HeaderChar">
    <w:name w:val="Header Char"/>
    <w:basedOn w:val="DefaultParagraphFont"/>
    <w:link w:val="Header"/>
    <w:uiPriority w:val="99"/>
    <w:rsid w:val="009F2F54"/>
  </w:style>
  <w:style w:type="paragraph" w:styleId="Footer">
    <w:name w:val="footer"/>
    <w:basedOn w:val="Normal"/>
    <w:link w:val="FooterChar"/>
    <w:uiPriority w:val="99"/>
    <w:unhideWhenUsed/>
    <w:rsid w:val="009F2F54"/>
    <w:pPr>
      <w:tabs>
        <w:tab w:val="center" w:pos="4680"/>
        <w:tab w:val="right" w:pos="9360"/>
      </w:tabs>
    </w:pPr>
  </w:style>
  <w:style w:type="character" w:customStyle="1" w:styleId="FooterChar">
    <w:name w:val="Footer Char"/>
    <w:basedOn w:val="DefaultParagraphFont"/>
    <w:link w:val="Footer"/>
    <w:uiPriority w:val="99"/>
    <w:rsid w:val="009F2F54"/>
  </w:style>
  <w:style w:type="paragraph" w:styleId="BalloonText">
    <w:name w:val="Balloon Text"/>
    <w:basedOn w:val="Normal"/>
    <w:link w:val="BalloonTextChar"/>
    <w:uiPriority w:val="99"/>
    <w:semiHidden/>
    <w:unhideWhenUsed/>
    <w:rsid w:val="009B1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85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123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D123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A3F"/>
    <w:pPr>
      <w:ind w:left="720"/>
      <w:contextualSpacing/>
    </w:pPr>
  </w:style>
  <w:style w:type="character" w:customStyle="1" w:styleId="Heading1Char">
    <w:name w:val="Heading 1 Char"/>
    <w:basedOn w:val="DefaultParagraphFont"/>
    <w:link w:val="Heading1"/>
    <w:uiPriority w:val="9"/>
    <w:rsid w:val="00AD12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D123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D1238"/>
    <w:rPr>
      <w:color w:val="0000FF"/>
      <w:u w:val="single"/>
    </w:rPr>
  </w:style>
  <w:style w:type="paragraph" w:styleId="Header">
    <w:name w:val="header"/>
    <w:basedOn w:val="Normal"/>
    <w:link w:val="HeaderChar"/>
    <w:uiPriority w:val="99"/>
    <w:unhideWhenUsed/>
    <w:rsid w:val="009F2F54"/>
    <w:pPr>
      <w:tabs>
        <w:tab w:val="center" w:pos="4680"/>
        <w:tab w:val="right" w:pos="9360"/>
      </w:tabs>
    </w:pPr>
  </w:style>
  <w:style w:type="character" w:customStyle="1" w:styleId="HeaderChar">
    <w:name w:val="Header Char"/>
    <w:basedOn w:val="DefaultParagraphFont"/>
    <w:link w:val="Header"/>
    <w:uiPriority w:val="99"/>
    <w:rsid w:val="009F2F54"/>
  </w:style>
  <w:style w:type="paragraph" w:styleId="Footer">
    <w:name w:val="footer"/>
    <w:basedOn w:val="Normal"/>
    <w:link w:val="FooterChar"/>
    <w:uiPriority w:val="99"/>
    <w:unhideWhenUsed/>
    <w:rsid w:val="009F2F54"/>
    <w:pPr>
      <w:tabs>
        <w:tab w:val="center" w:pos="4680"/>
        <w:tab w:val="right" w:pos="9360"/>
      </w:tabs>
    </w:pPr>
  </w:style>
  <w:style w:type="character" w:customStyle="1" w:styleId="FooterChar">
    <w:name w:val="Footer Char"/>
    <w:basedOn w:val="DefaultParagraphFont"/>
    <w:link w:val="Footer"/>
    <w:uiPriority w:val="99"/>
    <w:rsid w:val="009F2F54"/>
  </w:style>
  <w:style w:type="paragraph" w:styleId="BalloonText">
    <w:name w:val="Balloon Text"/>
    <w:basedOn w:val="Normal"/>
    <w:link w:val="BalloonTextChar"/>
    <w:uiPriority w:val="99"/>
    <w:semiHidden/>
    <w:unhideWhenUsed/>
    <w:rsid w:val="009B1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8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71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c:creator>
  <cp:lastModifiedBy>Tim</cp:lastModifiedBy>
  <cp:revision>2</cp:revision>
  <cp:lastPrinted>2017-12-01T22:48:00Z</cp:lastPrinted>
  <dcterms:created xsi:type="dcterms:W3CDTF">2019-09-30T21:26:00Z</dcterms:created>
  <dcterms:modified xsi:type="dcterms:W3CDTF">2019-09-30T21:26:00Z</dcterms:modified>
</cp:coreProperties>
</file>