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A1E" w:rsidRDefault="00126A28">
      <w:pPr>
        <w:jc w:val="center"/>
        <w:rPr>
          <w:b/>
          <w:bCs/>
          <w:sz w:val="28"/>
          <w:szCs w:val="28"/>
        </w:rPr>
      </w:pPr>
      <w:r>
        <w:rPr>
          <w:b/>
          <w:bCs/>
          <w:sz w:val="28"/>
          <w:szCs w:val="28"/>
        </w:rPr>
        <w:t>Insurance and Surety Committee</w:t>
      </w:r>
      <w:r w:rsidR="0068402F">
        <w:rPr>
          <w:b/>
          <w:bCs/>
          <w:sz w:val="28"/>
          <w:szCs w:val="28"/>
        </w:rPr>
        <w:t>’s</w:t>
      </w:r>
    </w:p>
    <w:p w:rsidR="0068402F" w:rsidRDefault="0068402F">
      <w:pPr>
        <w:jc w:val="center"/>
        <w:rPr>
          <w:b/>
          <w:bCs/>
          <w:sz w:val="28"/>
          <w:szCs w:val="28"/>
        </w:rPr>
      </w:pPr>
      <w:r>
        <w:rPr>
          <w:b/>
          <w:bCs/>
          <w:sz w:val="28"/>
          <w:szCs w:val="28"/>
        </w:rPr>
        <w:t>Legislative Subcommittee</w:t>
      </w:r>
    </w:p>
    <w:p w:rsidR="004A0A1E" w:rsidRDefault="00126A28">
      <w:pPr>
        <w:jc w:val="center"/>
        <w:rPr>
          <w:sz w:val="28"/>
          <w:szCs w:val="28"/>
        </w:rPr>
      </w:pPr>
      <w:r>
        <w:rPr>
          <w:b/>
          <w:bCs/>
          <w:sz w:val="28"/>
          <w:szCs w:val="28"/>
        </w:rPr>
        <w:t>Memorandum of Committee Minutes</w:t>
      </w:r>
    </w:p>
    <w:p w:rsidR="004A0A1E" w:rsidRDefault="004A0A1E">
      <w:pPr>
        <w:jc w:val="center"/>
      </w:pPr>
    </w:p>
    <w:p w:rsidR="004A0A1E" w:rsidRDefault="00126A28">
      <w:pPr>
        <w:tabs>
          <w:tab w:val="left" w:pos="-1440"/>
        </w:tabs>
        <w:ind w:left="1440" w:hanging="1440"/>
        <w:jc w:val="both"/>
      </w:pPr>
      <w:r>
        <w:t>To:</w:t>
      </w:r>
      <w:r>
        <w:tab/>
        <w:t>All Insurance and Surety Committee Members</w:t>
      </w:r>
    </w:p>
    <w:p w:rsidR="004A0A1E" w:rsidRDefault="00126A28">
      <w:pPr>
        <w:ind w:left="1440"/>
        <w:jc w:val="both"/>
      </w:pPr>
      <w:r>
        <w:t>The Florida Bar: Real Property, Probate and Trust Law Section</w:t>
      </w:r>
    </w:p>
    <w:p w:rsidR="004A0A1E" w:rsidRDefault="004A0A1E">
      <w:pPr>
        <w:jc w:val="both"/>
      </w:pPr>
    </w:p>
    <w:p w:rsidR="004A0A1E" w:rsidRDefault="00126A28">
      <w:pPr>
        <w:tabs>
          <w:tab w:val="left" w:pos="-1440"/>
        </w:tabs>
        <w:ind w:left="1440" w:hanging="1440"/>
        <w:jc w:val="both"/>
      </w:pPr>
      <w:r>
        <w:t>From:</w:t>
      </w:r>
      <w:r>
        <w:tab/>
      </w:r>
      <w:r w:rsidR="00A2025F">
        <w:t>Michael Meyer</w:t>
      </w:r>
    </w:p>
    <w:p w:rsidR="004A0A1E" w:rsidRDefault="004A0A1E">
      <w:pPr>
        <w:jc w:val="both"/>
      </w:pPr>
    </w:p>
    <w:p w:rsidR="004A0A1E" w:rsidRDefault="00126A28">
      <w:pPr>
        <w:tabs>
          <w:tab w:val="left" w:pos="-1440"/>
        </w:tabs>
        <w:ind w:left="1440" w:hanging="1440"/>
        <w:jc w:val="both"/>
      </w:pPr>
      <w:r>
        <w:t>Re:</w:t>
      </w:r>
      <w:r>
        <w:tab/>
        <w:t xml:space="preserve">Meeting Minutes – Insurance and Surety Committee – </w:t>
      </w:r>
      <w:r w:rsidR="00A2025F">
        <w:t>Legislative Subcommittee</w:t>
      </w:r>
      <w:r>
        <w:t xml:space="preserve"> Telephone Conference – March </w:t>
      </w:r>
      <w:r w:rsidR="0068402F">
        <w:t>2</w:t>
      </w:r>
      <w:r w:rsidR="00A7523F">
        <w:t>6</w:t>
      </w:r>
      <w:r>
        <w:t>, 2019</w:t>
      </w:r>
    </w:p>
    <w:p w:rsidR="004A0A1E" w:rsidRDefault="00126A28">
      <w:pPr>
        <w:pStyle w:val="BodyTextIndent"/>
        <w:ind w:firstLine="0"/>
      </w:pPr>
      <w:r>
        <w:t>******************************************************************************</w:t>
      </w:r>
    </w:p>
    <w:p w:rsidR="004A0A1E" w:rsidRDefault="004A0A1E" w:rsidP="009F48A6">
      <w:pPr>
        <w:jc w:val="both"/>
        <w:rPr>
          <w:b/>
          <w:u w:val="single"/>
        </w:rPr>
      </w:pPr>
    </w:p>
    <w:p w:rsidR="004A0A1E" w:rsidRDefault="00126A28" w:rsidP="009F48A6">
      <w:pPr>
        <w:widowControl w:val="0"/>
        <w:spacing w:after="240"/>
        <w:jc w:val="both"/>
      </w:pPr>
      <w:r>
        <w:rPr>
          <w:b/>
          <w:u w:val="single"/>
        </w:rPr>
        <w:t>1. Opening:</w:t>
      </w:r>
      <w:r>
        <w:t xml:space="preserve"> </w:t>
      </w:r>
    </w:p>
    <w:p w:rsidR="004A0A1E" w:rsidRDefault="00A2025F" w:rsidP="009F48A6">
      <w:pPr>
        <w:widowControl w:val="0"/>
        <w:spacing w:after="240"/>
        <w:ind w:firstLine="720"/>
        <w:jc w:val="both"/>
      </w:pPr>
      <w:r>
        <w:t>Michael Meyer</w:t>
      </w:r>
      <w:r w:rsidR="00126A28">
        <w:t xml:space="preserve"> called the meeting to order at </w:t>
      </w:r>
      <w:r>
        <w:t>4</w:t>
      </w:r>
      <w:r w:rsidR="00126A28">
        <w:t>:0</w:t>
      </w:r>
      <w:r w:rsidR="00A7523F">
        <w:t>7</w:t>
      </w:r>
      <w:r w:rsidR="00126A28">
        <w:t xml:space="preserve"> PM.  </w:t>
      </w:r>
    </w:p>
    <w:p w:rsidR="004A0A1E" w:rsidRPr="00A2025F" w:rsidRDefault="00126A28" w:rsidP="009F48A6">
      <w:pPr>
        <w:widowControl w:val="0"/>
        <w:spacing w:after="240"/>
        <w:jc w:val="both"/>
      </w:pPr>
      <w:r>
        <w:rPr>
          <w:b/>
          <w:u w:val="single"/>
        </w:rPr>
        <w:t xml:space="preserve">2. </w:t>
      </w:r>
      <w:r w:rsidR="00A2025F">
        <w:rPr>
          <w:b/>
          <w:u w:val="single"/>
        </w:rPr>
        <w:t>Agenda for I&amp;S Legislative Subcommittee’s Meeting</w:t>
      </w:r>
      <w:r w:rsidR="00A2025F">
        <w:t xml:space="preserve"> – 4:0</w:t>
      </w:r>
      <w:r w:rsidR="00A7523F">
        <w:t>8</w:t>
      </w:r>
      <w:r w:rsidR="00A2025F">
        <w:t xml:space="preserve"> PM</w:t>
      </w:r>
    </w:p>
    <w:p w:rsidR="004A0A1E" w:rsidRDefault="00126A28" w:rsidP="009F48A6">
      <w:pPr>
        <w:widowControl w:val="0"/>
        <w:spacing w:after="240"/>
        <w:jc w:val="both"/>
      </w:pPr>
      <w:r>
        <w:tab/>
        <w:t xml:space="preserve"> </w:t>
      </w:r>
      <w:r w:rsidR="00A2025F">
        <w:t>This meeting of the I&amp;S Legislative Subcommittee was called to</w:t>
      </w:r>
      <w:r w:rsidR="00A7523F">
        <w:t xml:space="preserve"> continue</w:t>
      </w:r>
      <w:r w:rsidR="00A2025F">
        <w:t xml:space="preserve"> discuss</w:t>
      </w:r>
      <w:r w:rsidR="00A7523F">
        <w:t>ing</w:t>
      </w:r>
      <w:r w:rsidR="00A2025F">
        <w:t xml:space="preserve"> bills before the Florida Legislature</w:t>
      </w:r>
      <w:r w:rsidR="00F73B3D">
        <w:t xml:space="preserve"> relating to insurance.</w:t>
      </w:r>
    </w:p>
    <w:p w:rsidR="00545583" w:rsidRDefault="00126A28" w:rsidP="009F48A6">
      <w:pPr>
        <w:widowControl w:val="0"/>
        <w:spacing w:after="240"/>
        <w:jc w:val="both"/>
      </w:pPr>
      <w:r>
        <w:rPr>
          <w:b/>
          <w:u w:val="single"/>
        </w:rPr>
        <w:t xml:space="preserve">3. </w:t>
      </w:r>
      <w:r w:rsidR="00545583">
        <w:rPr>
          <w:b/>
          <w:u w:val="single"/>
        </w:rPr>
        <w:t>Approval of Meeting Minutes</w:t>
      </w:r>
      <w:r w:rsidR="00545583">
        <w:t xml:space="preserve"> – 4:09 PM</w:t>
      </w:r>
    </w:p>
    <w:p w:rsidR="00545583" w:rsidRPr="00545583" w:rsidRDefault="00545583" w:rsidP="009F48A6">
      <w:pPr>
        <w:widowControl w:val="0"/>
        <w:spacing w:after="240"/>
        <w:jc w:val="both"/>
      </w:pPr>
      <w:r>
        <w:tab/>
        <w:t>The Meeting Minutes, including the statements of the various Subcommittee Motions and Votes, from the prior Legislative Subcommittee Meeting on March 25, 2019, were approved.</w:t>
      </w:r>
    </w:p>
    <w:p w:rsidR="004A0A1E" w:rsidRPr="00DF46D4" w:rsidRDefault="00545583" w:rsidP="009F48A6">
      <w:pPr>
        <w:widowControl w:val="0"/>
        <w:spacing w:after="240"/>
        <w:jc w:val="both"/>
      </w:pPr>
      <w:r>
        <w:rPr>
          <w:b/>
          <w:u w:val="single"/>
        </w:rPr>
        <w:t xml:space="preserve">4. </w:t>
      </w:r>
      <w:r w:rsidR="00070886">
        <w:rPr>
          <w:b/>
          <w:u w:val="single"/>
        </w:rPr>
        <w:t>S</w:t>
      </w:r>
      <w:r w:rsidR="00A2025F">
        <w:rPr>
          <w:b/>
          <w:u w:val="single"/>
        </w:rPr>
        <w:t>B 7</w:t>
      </w:r>
      <w:r w:rsidR="00070886">
        <w:rPr>
          <w:b/>
          <w:u w:val="single"/>
        </w:rPr>
        <w:t>14</w:t>
      </w:r>
      <w:r w:rsidR="00DF46D4">
        <w:t xml:space="preserve"> – 4:</w:t>
      </w:r>
      <w:r>
        <w:t>11</w:t>
      </w:r>
      <w:r w:rsidR="00DF46D4">
        <w:t xml:space="preserve"> PM</w:t>
      </w:r>
    </w:p>
    <w:p w:rsidR="005534A4" w:rsidRDefault="00126A28" w:rsidP="009F48A6">
      <w:pPr>
        <w:widowControl w:val="0"/>
        <w:spacing w:after="240"/>
        <w:jc w:val="both"/>
      </w:pPr>
      <w:r>
        <w:tab/>
      </w:r>
      <w:r w:rsidR="00DF46D4">
        <w:t xml:space="preserve">This Bill </w:t>
      </w:r>
      <w:r w:rsidR="004B3DBE">
        <w:t xml:space="preserve">is the Senate counterpart </w:t>
      </w:r>
      <w:r w:rsidR="005534A4">
        <w:t>to HB 301</w:t>
      </w:r>
      <w:r w:rsidR="001E6A30">
        <w:t xml:space="preserve">, and which also (in pertinent parts) </w:t>
      </w:r>
      <w:r w:rsidR="001E6A30">
        <w:t>revises the circumstances under which civil actions against insurers are prohibited, revises the periods of time when property insurers must notify policyholders of certain mediation programs, and provides for various other insurance regulation reform.</w:t>
      </w:r>
    </w:p>
    <w:p w:rsidR="00473826" w:rsidRDefault="001E6A30" w:rsidP="001E6A30">
      <w:pPr>
        <w:widowControl w:val="0"/>
        <w:tabs>
          <w:tab w:val="left" w:pos="4590"/>
        </w:tabs>
        <w:spacing w:after="240"/>
        <w:ind w:firstLine="720"/>
        <w:jc w:val="both"/>
      </w:pPr>
      <w:r>
        <w:t xml:space="preserve">The Subcommittee reviewed and discussed </w:t>
      </w:r>
      <w:r>
        <w:t xml:space="preserve">the relevant and </w:t>
      </w:r>
      <w:r>
        <w:t xml:space="preserve">substantive sections of this Bill and determined that Sections </w:t>
      </w:r>
      <w:r>
        <w:t>5</w:t>
      </w:r>
      <w:r>
        <w:t xml:space="preserve"> and </w:t>
      </w:r>
      <w:r>
        <w:t>9</w:t>
      </w:r>
      <w:r>
        <w:t xml:space="preserve"> were of </w:t>
      </w:r>
      <w:proofErr w:type="gramStart"/>
      <w:r>
        <w:t>particular import</w:t>
      </w:r>
      <w:proofErr w:type="gramEnd"/>
      <w:r>
        <w:t xml:space="preserve"> to the Subcommittee and the interests of </w:t>
      </w:r>
      <w:r w:rsidR="00473826">
        <w:t xml:space="preserve">Florida </w:t>
      </w:r>
      <w:r>
        <w:t xml:space="preserve">policyholders.  Section </w:t>
      </w:r>
      <w:r w:rsidR="00473826">
        <w:t>5</w:t>
      </w:r>
      <w:r>
        <w:t xml:space="preserve"> seeks to add an additional </w:t>
      </w:r>
      <w:r w:rsidR="00473826">
        <w:t>restriction</w:t>
      </w:r>
      <w:r>
        <w:t xml:space="preserve"> on when an insured can bring a claim against an insurer pursuant to Section 624.155.  Specifically, Section </w:t>
      </w:r>
      <w:r w:rsidR="00473826">
        <w:t>5</w:t>
      </w:r>
      <w:r>
        <w:t xml:space="preserve"> of the Bill would prevent an insured from </w:t>
      </w:r>
      <w:r w:rsidR="00473826">
        <w:t xml:space="preserve">“filing” a notice required under Section 624.155 (which notice is a precondition to bringing an action under this statute) “within 60 days after appraisal is invoked by any party in a residential property insurance claim.”  It was noted that while this restriction on bringing a claim under Section 624.155 is different from its counterpart in Section 1 of HB 301, the end result </w:t>
      </w:r>
      <w:r w:rsidR="00545583">
        <w:t xml:space="preserve">is the same: the </w:t>
      </w:r>
      <w:r w:rsidR="00473826">
        <w:t>delay</w:t>
      </w:r>
      <w:r w:rsidR="00545583">
        <w:t xml:space="preserve"> of </w:t>
      </w:r>
      <w:r w:rsidR="00473826">
        <w:t xml:space="preserve">when such a claim may be brought by a policyholder, and thereby effectively extending the insurers’ current </w:t>
      </w:r>
      <w:proofErr w:type="gramStart"/>
      <w:r w:rsidR="00473826">
        <w:t>60 day</w:t>
      </w:r>
      <w:proofErr w:type="gramEnd"/>
      <w:r w:rsidR="00473826">
        <w:t xml:space="preserve"> Safe Harbor period in Section 624.155(3)(d)</w:t>
      </w:r>
      <w:r w:rsidR="00473826">
        <w:t>.</w:t>
      </w:r>
    </w:p>
    <w:p w:rsidR="001E6A30" w:rsidRDefault="001E6A30" w:rsidP="001E6A30">
      <w:pPr>
        <w:widowControl w:val="0"/>
        <w:tabs>
          <w:tab w:val="left" w:pos="4590"/>
        </w:tabs>
        <w:spacing w:after="240"/>
        <w:ind w:firstLine="720"/>
        <w:jc w:val="both"/>
      </w:pPr>
      <w:r>
        <w:t xml:space="preserve">Section </w:t>
      </w:r>
      <w:r w:rsidR="00473826">
        <w:t>9</w:t>
      </w:r>
      <w:r>
        <w:t xml:space="preserve"> of this Bill seeks to revise Section 627.7015 to extend the time when an insurer </w:t>
      </w:r>
      <w:r>
        <w:lastRenderedPageBreak/>
        <w:t xml:space="preserve">must notify a policyholder of its rights to statutory mediation programs.  It was the opinion of the Subcommittee that this was intended to provide the insurer an open-ended </w:t>
      </w:r>
      <w:proofErr w:type="gramStart"/>
      <w:r>
        <w:t>period of time</w:t>
      </w:r>
      <w:proofErr w:type="gramEnd"/>
      <w:r>
        <w:t xml:space="preserve"> to notify the insured of its rights to mediation.  Specifically, it seeks to extend the time within which the insurer must notify the policyholder of its mediation rights to include “the time coverage is </w:t>
      </w:r>
      <w:proofErr w:type="gramStart"/>
      <w:r>
        <w:t>app</w:t>
      </w:r>
      <w:bookmarkStart w:id="0" w:name="_GoBack"/>
      <w:bookmarkEnd w:id="0"/>
      <w:r>
        <w:t>lied</w:t>
      </w:r>
      <w:proofErr w:type="gramEnd"/>
      <w:r>
        <w:t xml:space="preserve"> and payment is determined.”  The Subcommittee also raised practical interpretation concerns raised over what “at the time coverage is applied” and “payment is determined” mean.</w:t>
      </w:r>
    </w:p>
    <w:p w:rsidR="001E6A30" w:rsidRDefault="001E6A30" w:rsidP="001E6A30">
      <w:pPr>
        <w:widowControl w:val="0"/>
        <w:tabs>
          <w:tab w:val="left" w:pos="4590"/>
        </w:tabs>
        <w:spacing w:after="240"/>
        <w:ind w:firstLine="720"/>
        <w:jc w:val="both"/>
      </w:pPr>
      <w:r w:rsidRPr="002C4316">
        <w:rPr>
          <w:u w:val="single"/>
        </w:rPr>
        <w:t>MOTION</w:t>
      </w:r>
      <w:r>
        <w:t>:</w:t>
      </w:r>
    </w:p>
    <w:p w:rsidR="001E6A30" w:rsidRDefault="001E6A30" w:rsidP="001E6A30">
      <w:pPr>
        <w:widowControl w:val="0"/>
        <w:tabs>
          <w:tab w:val="left" w:pos="4590"/>
        </w:tabs>
        <w:spacing w:after="240"/>
        <w:ind w:firstLine="720"/>
        <w:jc w:val="both"/>
      </w:pPr>
      <w:r>
        <w:t>That the Subcommittee recommend to the I&amp;S Committee to recommend to the RPPTL Section that it take whatever action necessary to oppose Section</w:t>
      </w:r>
      <w:r w:rsidR="00473826">
        <w:t>s</w:t>
      </w:r>
      <w:r>
        <w:t xml:space="preserve"> </w:t>
      </w:r>
      <w:r w:rsidR="00473826">
        <w:t>5</w:t>
      </w:r>
      <w:r>
        <w:t xml:space="preserve"> and </w:t>
      </w:r>
      <w:r w:rsidR="00473826">
        <w:t>9</w:t>
      </w:r>
      <w:r>
        <w:t xml:space="preserve"> of </w:t>
      </w:r>
      <w:r w:rsidR="00473826">
        <w:t>S</w:t>
      </w:r>
      <w:r>
        <w:t xml:space="preserve">B </w:t>
      </w:r>
      <w:r w:rsidR="00473826">
        <w:t>7</w:t>
      </w:r>
      <w:r>
        <w:t>1</w:t>
      </w:r>
      <w:r w:rsidR="00473826">
        <w:t>4</w:t>
      </w:r>
      <w:r>
        <w:t>.</w:t>
      </w:r>
    </w:p>
    <w:p w:rsidR="001E6A30" w:rsidRDefault="001E6A30" w:rsidP="001E6A30">
      <w:pPr>
        <w:widowControl w:val="0"/>
        <w:tabs>
          <w:tab w:val="left" w:pos="4590"/>
        </w:tabs>
        <w:spacing w:after="240"/>
        <w:ind w:firstLine="720"/>
        <w:jc w:val="both"/>
      </w:pPr>
      <w:r>
        <w:t xml:space="preserve">This Motion </w:t>
      </w:r>
      <w:r w:rsidRPr="009F48A6">
        <w:rPr>
          <w:b/>
          <w:u w:val="single"/>
        </w:rPr>
        <w:t>PASSED</w:t>
      </w:r>
      <w:r>
        <w:t xml:space="preserve"> by Unanimous Vote of the participating Subcommittee members.</w:t>
      </w:r>
    </w:p>
    <w:p w:rsidR="00545583" w:rsidRDefault="00545583" w:rsidP="00545583">
      <w:pPr>
        <w:widowControl w:val="0"/>
        <w:spacing w:after="240"/>
        <w:jc w:val="both"/>
      </w:pPr>
      <w:r>
        <w:rPr>
          <w:b/>
          <w:u w:val="single"/>
        </w:rPr>
        <w:t>5</w:t>
      </w:r>
      <w:r>
        <w:rPr>
          <w:b/>
          <w:u w:val="single"/>
        </w:rPr>
        <w:t xml:space="preserve">. </w:t>
      </w:r>
      <w:r w:rsidRPr="009F48A6">
        <w:rPr>
          <w:b/>
          <w:u w:val="single"/>
        </w:rPr>
        <w:t>HB</w:t>
      </w:r>
      <w:r>
        <w:rPr>
          <w:b/>
          <w:u w:val="single"/>
        </w:rPr>
        <w:t xml:space="preserve"> 3</w:t>
      </w:r>
      <w:r>
        <w:rPr>
          <w:b/>
          <w:u w:val="single"/>
        </w:rPr>
        <w:t>87/SB 538</w:t>
      </w:r>
      <w:r>
        <w:t xml:space="preserve"> – 4:</w:t>
      </w:r>
      <w:r>
        <w:t>45</w:t>
      </w:r>
      <w:r>
        <w:t xml:space="preserve"> PM</w:t>
      </w:r>
    </w:p>
    <w:p w:rsidR="00545583" w:rsidRPr="009F48A6" w:rsidRDefault="00545583" w:rsidP="00545583">
      <w:pPr>
        <w:widowControl w:val="0"/>
        <w:spacing w:after="240"/>
        <w:jc w:val="both"/>
      </w:pPr>
      <w:r>
        <w:tab/>
        <w:t xml:space="preserve">These Bills relate to </w:t>
      </w:r>
      <w:proofErr w:type="spellStart"/>
      <w:r>
        <w:t>nonadmitted</w:t>
      </w:r>
      <w:proofErr w:type="spellEnd"/>
      <w:r>
        <w:t xml:space="preserve"> insurance markets.  A couple of the enactments proposed in these Bills include the removal of the price cap on per-policy fees that surplus lines agents may charge for certain policies and the removal of the requirement that surplus lines agents file a quarterly affidavit with the Florida Surplus Lines Service Office.  The Subcommittee discussed the various sections in each of these bills, but ultimately chose not to take a formal action, or call a formal vote, on any provision in these Bills.  However, some concern over the removal of the </w:t>
      </w:r>
      <w:proofErr w:type="gramStart"/>
      <w:r>
        <w:t>aforementioned price</w:t>
      </w:r>
      <w:proofErr w:type="gramEnd"/>
      <w:r>
        <w:t xml:space="preserve"> cap and affidavit submission was expressed by multiple members of the Subcommittee.  But ultimately, the Subcommittee did not feel that formally commenting on these two provisions was appropriate </w:t>
      </w:r>
      <w:proofErr w:type="gramStart"/>
      <w:r>
        <w:t>at this time</w:t>
      </w:r>
      <w:proofErr w:type="gramEnd"/>
      <w:r>
        <w:t>.</w:t>
      </w:r>
    </w:p>
    <w:p w:rsidR="004A0A1E" w:rsidRPr="009F48A6" w:rsidRDefault="002B2587" w:rsidP="009F48A6">
      <w:pPr>
        <w:widowControl w:val="0"/>
        <w:spacing w:after="240"/>
        <w:jc w:val="both"/>
      </w:pPr>
      <w:r>
        <w:rPr>
          <w:b/>
          <w:u w:val="single"/>
        </w:rPr>
        <w:t>6</w:t>
      </w:r>
      <w:r w:rsidR="00126A28">
        <w:rPr>
          <w:b/>
          <w:u w:val="single"/>
        </w:rPr>
        <w:t xml:space="preserve">. </w:t>
      </w:r>
      <w:r>
        <w:rPr>
          <w:b/>
          <w:u w:val="single"/>
        </w:rPr>
        <w:t>S</w:t>
      </w:r>
      <w:r w:rsidR="009F48A6" w:rsidRPr="009F48A6">
        <w:rPr>
          <w:b/>
          <w:u w:val="single"/>
        </w:rPr>
        <w:t>B</w:t>
      </w:r>
      <w:r w:rsidR="009F48A6">
        <w:rPr>
          <w:b/>
          <w:u w:val="single"/>
        </w:rPr>
        <w:t xml:space="preserve"> 1</w:t>
      </w:r>
      <w:r>
        <w:rPr>
          <w:b/>
          <w:u w:val="single"/>
        </w:rPr>
        <w:t>22</w:t>
      </w:r>
      <w:r w:rsidR="009F48A6">
        <w:t xml:space="preserve"> – 4:</w:t>
      </w:r>
      <w:r>
        <w:t>55</w:t>
      </w:r>
      <w:r w:rsidR="009F48A6">
        <w:t xml:space="preserve"> PM</w:t>
      </w:r>
    </w:p>
    <w:p w:rsidR="002B2587" w:rsidRDefault="0051083F" w:rsidP="009F48A6">
      <w:pPr>
        <w:widowControl w:val="0"/>
        <w:tabs>
          <w:tab w:val="left" w:pos="4590"/>
        </w:tabs>
        <w:spacing w:after="240"/>
        <w:ind w:firstLine="720"/>
        <w:jc w:val="both"/>
      </w:pPr>
      <w:r>
        <w:t xml:space="preserve">This Bill </w:t>
      </w:r>
      <w:r w:rsidR="002B2587">
        <w:t xml:space="preserve">relates to agreements between service providers and consumers, which such agreements are more commonly referred to as Assignment of Benefits Agreements.  </w:t>
      </w:r>
      <w:r w:rsidR="00756765">
        <w:t>Amongst other provisions, this</w:t>
      </w:r>
      <w:r w:rsidR="00043556">
        <w:t xml:space="preserve"> Bill </w:t>
      </w:r>
      <w:r w:rsidR="00756765">
        <w:t>creates limitations on a service provider’s right to payment under agreements with consumers; specifies requirements, limitations, and terms for post-loss assignments of benefits; provides for two-way street for attorneys’ fees, including factors for the court to consider; and authorize a court to require assignee to pay fees and costs in certain circumstances.</w:t>
      </w:r>
    </w:p>
    <w:p w:rsidR="00756765" w:rsidRDefault="00756765" w:rsidP="009F48A6">
      <w:pPr>
        <w:widowControl w:val="0"/>
        <w:tabs>
          <w:tab w:val="left" w:pos="4590"/>
        </w:tabs>
        <w:spacing w:after="240"/>
        <w:ind w:firstLine="720"/>
        <w:jc w:val="both"/>
      </w:pPr>
      <w:r>
        <w:t xml:space="preserve">There was significant discussion over this Bill by the Subcommittee.  Many of the Subcommittee members found multiple provisions within the Bill to be unacceptable.  There was also a focus on the attack of policyholders’ statutory right to a one-way street for attorneys’ fees.  However, the history of reported abuse (by Citizens and other carriers) of the post-loss assignment of benefits process was also considered.  </w:t>
      </w:r>
      <w:proofErr w:type="gramStart"/>
      <w:r>
        <w:t>In light of</w:t>
      </w:r>
      <w:proofErr w:type="gramEnd"/>
      <w:r>
        <w:t xml:space="preserve"> the potential for strong policy positions on both sides of this Bill, the Subcommittee discussed and decided that this matter should also be brought to the attention of the Construction Law Committee, since the majority of post-loss assignees are usually contractors. No formal vote was taken by the Subcommittee on this Bill.</w:t>
      </w:r>
    </w:p>
    <w:p w:rsidR="004A0A1E" w:rsidRDefault="00756765" w:rsidP="009F48A6">
      <w:pPr>
        <w:pStyle w:val="Informal1"/>
        <w:widowControl w:val="0"/>
        <w:spacing w:after="240"/>
      </w:pPr>
      <w:r>
        <w:rPr>
          <w:b/>
          <w:u w:val="single"/>
        </w:rPr>
        <w:t>7</w:t>
      </w:r>
      <w:r w:rsidR="00126A28">
        <w:rPr>
          <w:b/>
          <w:u w:val="single"/>
        </w:rPr>
        <w:t>. Closing:</w:t>
      </w:r>
      <w:r w:rsidR="00126A28">
        <w:t xml:space="preserve"> </w:t>
      </w:r>
    </w:p>
    <w:p w:rsidR="004A0A1E" w:rsidRDefault="00126A28" w:rsidP="009F48A6">
      <w:pPr>
        <w:widowControl w:val="0"/>
        <w:ind w:firstLine="720"/>
        <w:jc w:val="both"/>
      </w:pPr>
      <w:r>
        <w:t xml:space="preserve">The meeting was adjourned at </w:t>
      </w:r>
      <w:r w:rsidR="002C4316">
        <w:t>5</w:t>
      </w:r>
      <w:r>
        <w:t>:</w:t>
      </w:r>
      <w:r w:rsidR="002B2587">
        <w:t>30</w:t>
      </w:r>
      <w:r>
        <w:t xml:space="preserve"> PM</w:t>
      </w:r>
    </w:p>
    <w:sectPr w:rsidR="004A0A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9B1" w:rsidRDefault="001A39B1">
      <w:r>
        <w:separator/>
      </w:r>
    </w:p>
  </w:endnote>
  <w:endnote w:type="continuationSeparator" w:id="0">
    <w:p w:rsidR="001A39B1" w:rsidRDefault="001A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266085"/>
      <w:docPartObj>
        <w:docPartGallery w:val="Page Numbers (Bottom of Page)"/>
        <w:docPartUnique/>
      </w:docPartObj>
    </w:sdtPr>
    <w:sdtEndPr>
      <w:rPr>
        <w:noProof/>
      </w:rPr>
    </w:sdtEndPr>
    <w:sdtContent>
      <w:p w:rsidR="002C4316" w:rsidRDefault="002C43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A0A1E" w:rsidRDefault="004A0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9B1" w:rsidRDefault="001A39B1">
      <w:r>
        <w:separator/>
      </w:r>
    </w:p>
  </w:footnote>
  <w:footnote w:type="continuationSeparator" w:id="0">
    <w:p w:rsidR="001A39B1" w:rsidRDefault="001A3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EE4DB0"/>
    <w:multiLevelType w:val="hybridMultilevel"/>
    <w:tmpl w:val="44B2BC3C"/>
    <w:lvl w:ilvl="0" w:tplc="1EFC1C4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1E"/>
    <w:rsid w:val="00043556"/>
    <w:rsid w:val="00070886"/>
    <w:rsid w:val="000F5508"/>
    <w:rsid w:val="00126A28"/>
    <w:rsid w:val="00154C63"/>
    <w:rsid w:val="001A39B1"/>
    <w:rsid w:val="001E6A30"/>
    <w:rsid w:val="002B2587"/>
    <w:rsid w:val="002C4316"/>
    <w:rsid w:val="002F2564"/>
    <w:rsid w:val="00473826"/>
    <w:rsid w:val="004A0A1E"/>
    <w:rsid w:val="004B3DBE"/>
    <w:rsid w:val="0051083F"/>
    <w:rsid w:val="00545583"/>
    <w:rsid w:val="005534A4"/>
    <w:rsid w:val="0068402F"/>
    <w:rsid w:val="00756765"/>
    <w:rsid w:val="009F48A6"/>
    <w:rsid w:val="00A039D2"/>
    <w:rsid w:val="00A2025F"/>
    <w:rsid w:val="00A7523F"/>
    <w:rsid w:val="00B23603"/>
    <w:rsid w:val="00CE1CAE"/>
    <w:rsid w:val="00DF46D4"/>
    <w:rsid w:val="00F7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107D4"/>
  <w15:docId w15:val="{5B7D70C2-D7E7-4077-A7F5-731C24D8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eastAsia="Batang"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semiHidden/>
    <w:unhideWhenUsed/>
    <w:pPr>
      <w:spacing w:after="240"/>
    </w:pPr>
  </w:style>
  <w:style w:type="character" w:customStyle="1" w:styleId="BodyTextChar">
    <w:name w:val="Body Text Char"/>
    <w:basedOn w:val="DefaultParagraphFont"/>
    <w:link w:val="BodyText"/>
    <w:uiPriority w:val="99"/>
    <w:semiHidden/>
    <w:rPr>
      <w:rFonts w:ascii="Times New Roman" w:hAnsi="Times New Roman"/>
      <w:sz w:val="24"/>
      <w:lang w:eastAsia="zh-CN"/>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lang w:eastAsia="en-US"/>
    </w:rPr>
  </w:style>
  <w:style w:type="paragraph" w:customStyle="1" w:styleId="Informal1">
    <w:name w:val="Informal1"/>
    <w:basedOn w:val="Normal"/>
    <w:pPr>
      <w:autoSpaceDE/>
      <w:autoSpaceDN/>
      <w:adjustRightInd/>
      <w:spacing w:before="60" w:after="60"/>
    </w:pPr>
    <w:rPr>
      <w:rFonts w:eastAsia="Times New Roman"/>
      <w:szCs w:val="20"/>
    </w:rPr>
  </w:style>
  <w:style w:type="paragraph" w:styleId="ListParagraph">
    <w:name w:val="List Paragraph"/>
    <w:basedOn w:val="Normal"/>
    <w:uiPriority w:val="34"/>
    <w:unhideWhenUsed/>
    <w:qFormat/>
    <w:pPr>
      <w:ind w:left="720"/>
      <w:contextualSpacing/>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1">
    <w:name w:val="List Table 3 - Accent 31"/>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1">
    <w:name w:val="List Table 31"/>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cID">
    <w:name w:val="DocID"/>
    <w:basedOn w:val="DefaultParagraphFont"/>
    <w:rPr>
      <w:b w:val="0"/>
      <w:bCs/>
      <w:i w:val="0"/>
      <w:vanish w:val="0"/>
      <w:color w:val="auto"/>
      <w:sz w:val="16"/>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486241">
      <w:bodyDiv w:val="1"/>
      <w:marLeft w:val="0"/>
      <w:marRight w:val="0"/>
      <w:marTop w:val="0"/>
      <w:marBottom w:val="0"/>
      <w:divBdr>
        <w:top w:val="none" w:sz="0" w:space="0" w:color="auto"/>
        <w:left w:val="none" w:sz="0" w:space="0" w:color="auto"/>
        <w:bottom w:val="none" w:sz="0" w:space="0" w:color="auto"/>
        <w:right w:val="none" w:sz="0" w:space="0" w:color="auto"/>
      </w:divBdr>
    </w:div>
    <w:div w:id="17148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87E3-96D8-44DE-8827-D7680782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Malfeld</dc:creator>
  <cp:keywords/>
  <dc:description/>
  <cp:lastModifiedBy>Meyer, Michael</cp:lastModifiedBy>
  <cp:revision>3</cp:revision>
  <dcterms:created xsi:type="dcterms:W3CDTF">2019-04-02T23:51:00Z</dcterms:created>
  <dcterms:modified xsi:type="dcterms:W3CDTF">2019-04-03T20:14:00Z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117585136.1</vt:lpwstr>
  </property>
</Properties>
</file>