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E2" w:rsidRDefault="00DC3B3A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C38266" wp14:editId="0D6E69C9">
            <wp:extent cx="1904435" cy="2571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3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B3A" w:rsidRDefault="00DC3B3A" w:rsidP="00DC3B3A">
      <w:pPr>
        <w:rPr>
          <w:rFonts w:ascii="Times New Roman" w:eastAsia="Times New Roman" w:hAnsi="Times New Roman" w:cs="Times New Roman"/>
        </w:rPr>
      </w:pPr>
    </w:p>
    <w:p w:rsidR="00DC3B3A" w:rsidRDefault="00DC3B3A" w:rsidP="00DC3B3A">
      <w:pPr>
        <w:pStyle w:val="Heading1"/>
        <w:spacing w:before="65"/>
        <w:jc w:val="both"/>
        <w:rPr>
          <w:b w:val="0"/>
          <w:bCs w:val="0"/>
        </w:rPr>
      </w:pPr>
      <w:r>
        <w:rPr>
          <w:spacing w:val="-1"/>
        </w:rPr>
        <w:t>About</w:t>
      </w:r>
      <w:r>
        <w:rPr>
          <w:spacing w:val="-7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rPr>
          <w:spacing w:val="-1"/>
        </w:rPr>
        <w:t>Boyle</w:t>
      </w:r>
    </w:p>
    <w:p w:rsidR="00604E4B" w:rsidRDefault="00604E4B" w:rsidP="00DC3B3A">
      <w:pPr>
        <w:pStyle w:val="BodyText"/>
        <w:spacing w:line="276" w:lineRule="auto"/>
        <w:ind w:right="103"/>
        <w:jc w:val="both"/>
        <w:rPr>
          <w:spacing w:val="-1"/>
        </w:rPr>
      </w:pPr>
    </w:p>
    <w:p w:rsidR="00DC3B3A" w:rsidRDefault="00DC3B3A" w:rsidP="00604E4B">
      <w:pPr>
        <w:pStyle w:val="BodyText"/>
        <w:spacing w:line="276" w:lineRule="auto"/>
        <w:ind w:right="103"/>
        <w:jc w:val="both"/>
      </w:pPr>
      <w:r>
        <w:rPr>
          <w:spacing w:val="-1"/>
        </w:rPr>
        <w:t>Mark</w:t>
      </w:r>
      <w:r>
        <w:rPr>
          <w:spacing w:val="16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rPr>
          <w:spacing w:val="-1"/>
        </w:rPr>
        <w:t>Boyle</w:t>
      </w:r>
      <w:r>
        <w:rPr>
          <w:spacing w:val="20"/>
        </w:rPr>
        <w:t xml:space="preserve"> </w:t>
      </w:r>
      <w:r w:rsidR="008E68B2" w:rsidRPr="008E68B2">
        <w:rPr>
          <w:spacing w:val="-1"/>
        </w:rPr>
        <w:t>is the managing shareholder of Boyle &amp;</w:t>
      </w:r>
      <w:r w:rsidR="00577450">
        <w:rPr>
          <w:spacing w:val="-1"/>
        </w:rPr>
        <w:t xml:space="preserve"> </w:t>
      </w:r>
      <w:r w:rsidR="008E68B2" w:rsidRPr="008E68B2">
        <w:rPr>
          <w:spacing w:val="-1"/>
        </w:rPr>
        <w:t>Leonard,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P.A.,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with offices in Fort Myers,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FL,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Tampa</w:t>
      </w:r>
      <w:r w:rsidR="008E68B2">
        <w:rPr>
          <w:spacing w:val="-1"/>
        </w:rPr>
        <w:t xml:space="preserve">, </w:t>
      </w:r>
      <w:r w:rsidR="008E68B2" w:rsidRPr="008E68B2">
        <w:rPr>
          <w:spacing w:val="-1"/>
        </w:rPr>
        <w:t>FL,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and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Charleston SC.</w:t>
      </w:r>
      <w:r w:rsidR="008E68B2">
        <w:rPr>
          <w:spacing w:val="-1"/>
        </w:rPr>
        <w:t xml:space="preserve"> </w:t>
      </w:r>
      <w:r w:rsidR="00577450">
        <w:t>He</w:t>
      </w:r>
      <w:r>
        <w:rPr>
          <w:spacing w:val="-8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working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7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Attorney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Pasco</w:t>
      </w:r>
      <w:r>
        <w:rPr>
          <w:spacing w:val="-7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New</w:t>
      </w:r>
      <w:r>
        <w:rPr>
          <w:spacing w:val="73"/>
          <w:w w:val="99"/>
        </w:rPr>
        <w:t xml:space="preserve"> </w:t>
      </w:r>
      <w:r>
        <w:t>Port</w:t>
      </w:r>
      <w:r>
        <w:rPr>
          <w:spacing w:val="21"/>
        </w:rPr>
        <w:t xml:space="preserve"> </w:t>
      </w:r>
      <w:r>
        <w:rPr>
          <w:spacing w:val="-1"/>
        </w:rPr>
        <w:t>Richey,</w:t>
      </w:r>
      <w:r>
        <w:rPr>
          <w:spacing w:val="20"/>
        </w:rPr>
        <w:t xml:space="preserve"> </w:t>
      </w:r>
      <w:r>
        <w:rPr>
          <w:spacing w:val="-1"/>
        </w:rPr>
        <w:t>Florida.</w:t>
      </w:r>
      <w:r>
        <w:rPr>
          <w:spacing w:val="23"/>
        </w:rPr>
        <w:t xml:space="preserve"> </w:t>
      </w:r>
      <w:r>
        <w:t>Mr.</w:t>
      </w:r>
      <w:r>
        <w:rPr>
          <w:spacing w:val="20"/>
        </w:rPr>
        <w:t xml:space="preserve"> </w:t>
      </w:r>
      <w:r>
        <w:t>Boyle</w:t>
      </w:r>
      <w:r>
        <w:rPr>
          <w:spacing w:val="22"/>
        </w:rPr>
        <w:t xml:space="preserve"> </w:t>
      </w:r>
      <w:r>
        <w:t>began</w:t>
      </w:r>
      <w:r>
        <w:rPr>
          <w:spacing w:val="20"/>
        </w:rPr>
        <w:t xml:space="preserve"> </w:t>
      </w:r>
      <w:r>
        <w:rPr>
          <w:spacing w:val="-1"/>
        </w:rPr>
        <w:t>his</w:t>
      </w:r>
      <w:r>
        <w:rPr>
          <w:spacing w:val="20"/>
        </w:rPr>
        <w:t xml:space="preserve"> </w:t>
      </w:r>
      <w:r>
        <w:rPr>
          <w:spacing w:val="-1"/>
        </w:rPr>
        <w:t>foray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world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t>when</w:t>
      </w:r>
      <w:r>
        <w:rPr>
          <w:spacing w:val="20"/>
        </w:rPr>
        <w:t xml:space="preserve"> </w:t>
      </w:r>
      <w:r>
        <w:rPr>
          <w:spacing w:val="-1"/>
        </w:rPr>
        <w:t>he</w:t>
      </w:r>
      <w:r>
        <w:rPr>
          <w:spacing w:val="22"/>
        </w:rPr>
        <w:t xml:space="preserve"> </w:t>
      </w:r>
      <w:r>
        <w:rPr>
          <w:spacing w:val="-1"/>
        </w:rPr>
        <w:t>became</w:t>
      </w:r>
      <w:r>
        <w:rPr>
          <w:spacing w:val="21"/>
        </w:rPr>
        <w:t xml:space="preserve"> </w:t>
      </w:r>
      <w:r>
        <w:rPr>
          <w:spacing w:val="-1"/>
        </w:rPr>
        <w:t>associate</w:t>
      </w:r>
      <w:r>
        <w:rPr>
          <w:spacing w:val="8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rPr>
          <w:spacing w:val="-1"/>
        </w:rPr>
        <w:t>counsel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Armor</w:t>
      </w:r>
      <w:r>
        <w:rPr>
          <w:spacing w:val="-8"/>
        </w:rPr>
        <w:t xml:space="preserve"> </w:t>
      </w:r>
      <w:r>
        <w:rPr>
          <w:spacing w:val="-1"/>
        </w:rPr>
        <w:t>Insurance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Tampa,</w:t>
      </w:r>
      <w:r>
        <w:rPr>
          <w:spacing w:val="-11"/>
        </w:rPr>
        <w:t xml:space="preserve"> </w:t>
      </w:r>
      <w:r>
        <w:rPr>
          <w:spacing w:val="-1"/>
        </w:rPr>
        <w:t>Florida.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1996,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rPr>
          <w:spacing w:val="-10"/>
        </w:rPr>
        <w:t xml:space="preserve"> </w:t>
      </w:r>
      <w:r>
        <w:t>entered</w:t>
      </w:r>
      <w:r>
        <w:rPr>
          <w:spacing w:val="-10"/>
        </w:rPr>
        <w:t xml:space="preserve"> </w:t>
      </w:r>
      <w:r>
        <w:rPr>
          <w:spacing w:val="-1"/>
        </w:rPr>
        <w:t>into</w:t>
      </w:r>
      <w:r>
        <w:rPr>
          <w:spacing w:val="-10"/>
        </w:rPr>
        <w:t xml:space="preserve"> </w:t>
      </w:r>
      <w:r>
        <w:rPr>
          <w:spacing w:val="-1"/>
        </w:rPr>
        <w:t>private</w:t>
      </w:r>
      <w:r>
        <w:rPr>
          <w:spacing w:val="-10"/>
        </w:rPr>
        <w:t xml:space="preserve"> </w:t>
      </w:r>
      <w:r>
        <w:t>practice</w:t>
      </w:r>
      <w:r>
        <w:rPr>
          <w:spacing w:val="81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Fink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Lane,</w:t>
      </w:r>
      <w:r>
        <w:rPr>
          <w:spacing w:val="-5"/>
        </w:rPr>
        <w:t xml:space="preserve"> </w:t>
      </w:r>
      <w:r>
        <w:rPr>
          <w:spacing w:val="-1"/>
        </w:rPr>
        <w:t>P.A.,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now</w:t>
      </w:r>
      <w:r>
        <w:rPr>
          <w:spacing w:val="-4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Boyle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Leonard,</w:t>
      </w:r>
      <w:r>
        <w:rPr>
          <w:spacing w:val="-4"/>
        </w:rPr>
        <w:t xml:space="preserve"> </w:t>
      </w:r>
      <w:r>
        <w:t>P.A.</w:t>
      </w:r>
    </w:p>
    <w:p w:rsidR="00604E4B" w:rsidRDefault="00604E4B" w:rsidP="00604E4B">
      <w:pPr>
        <w:pStyle w:val="BodyText"/>
        <w:spacing w:line="276" w:lineRule="auto"/>
        <w:ind w:right="103"/>
        <w:jc w:val="both"/>
        <w:rPr>
          <w:rFonts w:cs="Tahoma"/>
        </w:rPr>
      </w:pPr>
    </w:p>
    <w:p w:rsidR="00DC3B3A" w:rsidRDefault="00DC3B3A" w:rsidP="008E68B2">
      <w:pPr>
        <w:pStyle w:val="BodyText"/>
        <w:spacing w:line="276" w:lineRule="auto"/>
        <w:ind w:right="108"/>
        <w:jc w:val="both"/>
        <w:rPr>
          <w:spacing w:val="-1"/>
        </w:rPr>
      </w:pPr>
      <w:r>
        <w:t>Mr</w:t>
      </w:r>
      <w:r>
        <w:rPr>
          <w:rFonts w:cs="Tahoma"/>
        </w:rPr>
        <w:t>.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Boyle’s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current</w:t>
      </w:r>
      <w:r>
        <w:rPr>
          <w:rFonts w:cs="Tahoma"/>
          <w:spacing w:val="-8"/>
        </w:rPr>
        <w:t xml:space="preserve"> </w:t>
      </w:r>
      <w:r>
        <w:rPr>
          <w:rFonts w:cs="Tahoma"/>
        </w:rPr>
        <w:t>areas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of</w:t>
      </w:r>
      <w:r>
        <w:rPr>
          <w:rFonts w:cs="Tahoma"/>
          <w:spacing w:val="-6"/>
        </w:rPr>
        <w:t xml:space="preserve"> </w:t>
      </w:r>
      <w:r>
        <w:rPr>
          <w:rFonts w:cs="Tahoma"/>
          <w:spacing w:val="-1"/>
        </w:rPr>
        <w:t>practice</w:t>
      </w:r>
      <w:r>
        <w:rPr>
          <w:rFonts w:cs="Tahoma"/>
          <w:spacing w:val="-8"/>
        </w:rPr>
        <w:t xml:space="preserve"> </w:t>
      </w:r>
      <w:r>
        <w:rPr>
          <w:rFonts w:cs="Tahoma"/>
          <w:spacing w:val="-1"/>
        </w:rPr>
        <w:t>include</w:t>
      </w:r>
      <w:r>
        <w:rPr>
          <w:rFonts w:cs="Tahoma"/>
          <w:spacing w:val="-5"/>
        </w:rPr>
        <w:t xml:space="preserve"> </w:t>
      </w:r>
      <w:r>
        <w:rPr>
          <w:rFonts w:cs="Tahoma"/>
          <w:spacing w:val="-1"/>
        </w:rPr>
        <w:t>civil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litigation,</w:t>
      </w:r>
      <w:r>
        <w:rPr>
          <w:rFonts w:cs="Tahoma"/>
          <w:spacing w:val="-8"/>
        </w:rPr>
        <w:t xml:space="preserve"> </w:t>
      </w:r>
      <w:r>
        <w:rPr>
          <w:rFonts w:cs="Tahoma"/>
        </w:rPr>
        <w:t>with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a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concentration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in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first</w:t>
      </w:r>
      <w:r>
        <w:rPr>
          <w:rFonts w:cs="Tahoma"/>
          <w:spacing w:val="-8"/>
        </w:rPr>
        <w:t xml:space="preserve"> </w:t>
      </w:r>
      <w:r>
        <w:rPr>
          <w:rFonts w:cs="Tahoma"/>
          <w:spacing w:val="-1"/>
        </w:rPr>
        <w:t>and</w:t>
      </w:r>
      <w:r>
        <w:rPr>
          <w:rFonts w:cs="Tahoma"/>
          <w:spacing w:val="64"/>
          <w:w w:val="99"/>
        </w:rPr>
        <w:t xml:space="preserve"> </w:t>
      </w:r>
      <w:r>
        <w:rPr>
          <w:spacing w:val="-1"/>
        </w:rPr>
        <w:t>third</w:t>
      </w:r>
      <w:r>
        <w:rPr>
          <w:spacing w:val="-9"/>
        </w:rPr>
        <w:t xml:space="preserve"> </w:t>
      </w:r>
      <w:r>
        <w:rPr>
          <w:spacing w:val="-1"/>
        </w:rPr>
        <w:t>party</w:t>
      </w:r>
      <w:r>
        <w:rPr>
          <w:spacing w:val="-9"/>
        </w:rPr>
        <w:t xml:space="preserve"> </w:t>
      </w:r>
      <w:r>
        <w:rPr>
          <w:spacing w:val="-1"/>
        </w:rPr>
        <w:t>insurance</w:t>
      </w:r>
      <w:r>
        <w:rPr>
          <w:spacing w:val="-7"/>
        </w:rPr>
        <w:t xml:space="preserve"> </w:t>
      </w:r>
      <w:r>
        <w:t>disputes,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extra-contractual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bad</w:t>
      </w:r>
      <w:r>
        <w:rPr>
          <w:spacing w:val="-8"/>
        </w:rPr>
        <w:t xml:space="preserve"> </w:t>
      </w:r>
      <w:r>
        <w:rPr>
          <w:spacing w:val="-1"/>
        </w:rPr>
        <w:t>faith</w:t>
      </w:r>
      <w:r>
        <w:rPr>
          <w:spacing w:val="-8"/>
        </w:rPr>
        <w:t xml:space="preserve"> </w:t>
      </w:r>
      <w:r>
        <w:rPr>
          <w:spacing w:val="-1"/>
        </w:rPr>
        <w:t>matters.</w:t>
      </w:r>
      <w:r w:rsidR="008E68B2" w:rsidRPr="008E68B2">
        <w:t xml:space="preserve"> </w:t>
      </w:r>
      <w:r w:rsidR="008E68B2" w:rsidRPr="008E68B2">
        <w:rPr>
          <w:spacing w:val="-1"/>
        </w:rPr>
        <w:t>Mr.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Boyle represents corporate and individual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policyholders in insurance and risk management counseling,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claims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presentation,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and litigation.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Mr.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 xml:space="preserve">Boyle was the </w:t>
      </w:r>
      <w:r w:rsidR="008E68B2">
        <w:rPr>
          <w:spacing w:val="-1"/>
        </w:rPr>
        <w:t>principal a</w:t>
      </w:r>
      <w:r w:rsidR="008E68B2" w:rsidRPr="008E68B2">
        <w:rPr>
          <w:spacing w:val="-1"/>
        </w:rPr>
        <w:t xml:space="preserve">ttorney in </w:t>
      </w:r>
      <w:r w:rsidR="008E68B2" w:rsidRPr="00577450">
        <w:rPr>
          <w:i/>
          <w:spacing w:val="-1"/>
        </w:rPr>
        <w:t>U.S. Fire Ins. Co. v. J.S.U.B., Inc.</w:t>
      </w:r>
      <w:r w:rsidR="008E68B2" w:rsidRPr="008E68B2">
        <w:rPr>
          <w:spacing w:val="-1"/>
        </w:rPr>
        <w:t>,</w:t>
      </w:r>
      <w:r w:rsidR="00577450">
        <w:rPr>
          <w:spacing w:val="-1"/>
        </w:rPr>
        <w:t xml:space="preserve"> </w:t>
      </w:r>
      <w:r w:rsidR="008E68B2" w:rsidRPr="008E68B2">
        <w:rPr>
          <w:spacing w:val="-1"/>
        </w:rPr>
        <w:t>979 So.</w:t>
      </w:r>
      <w:r w:rsidR="00577450">
        <w:rPr>
          <w:spacing w:val="-1"/>
        </w:rPr>
        <w:t xml:space="preserve"> </w:t>
      </w:r>
      <w:r w:rsidR="008E68B2" w:rsidRPr="008E68B2">
        <w:rPr>
          <w:spacing w:val="-1"/>
        </w:rPr>
        <w:t>2d 871</w:t>
      </w:r>
      <w:r w:rsidR="00577450">
        <w:rPr>
          <w:spacing w:val="-1"/>
        </w:rPr>
        <w:t xml:space="preserve"> </w:t>
      </w:r>
      <w:r w:rsidR="008E68B2" w:rsidRPr="008E68B2">
        <w:rPr>
          <w:spacing w:val="-1"/>
        </w:rPr>
        <w:t>(Fla.2007), at trial and through all phases of appeal.</w:t>
      </w:r>
      <w:r w:rsidR="008E68B2">
        <w:rPr>
          <w:spacing w:val="-1"/>
        </w:rPr>
        <w:t xml:space="preserve"> </w:t>
      </w:r>
      <w:r w:rsidR="008E68B2" w:rsidRPr="00577450">
        <w:rPr>
          <w:i/>
          <w:spacing w:val="-1"/>
        </w:rPr>
        <w:t>J.S.U.B</w:t>
      </w:r>
      <w:r w:rsidR="008E68B2" w:rsidRPr="008E68B2">
        <w:rPr>
          <w:spacing w:val="-1"/>
        </w:rPr>
        <w:t>. is the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seminal decision in Florida as to what constitutes a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covered</w:t>
      </w:r>
      <w:r w:rsidR="008E68B2">
        <w:rPr>
          <w:spacing w:val="-1"/>
        </w:rPr>
        <w:t xml:space="preserve"> </w:t>
      </w:r>
      <w:r w:rsidR="00577450">
        <w:rPr>
          <w:spacing w:val="-1"/>
        </w:rPr>
        <w:t>“</w:t>
      </w:r>
      <w:r w:rsidR="008E68B2" w:rsidRPr="008E68B2">
        <w:rPr>
          <w:spacing w:val="-1"/>
        </w:rPr>
        <w:t>occurrence</w:t>
      </w:r>
      <w:r w:rsidR="00577450">
        <w:rPr>
          <w:spacing w:val="-1"/>
        </w:rPr>
        <w:t>”</w:t>
      </w:r>
      <w:r w:rsidR="008E68B2" w:rsidRPr="008E68B2">
        <w:rPr>
          <w:spacing w:val="-1"/>
        </w:rPr>
        <w:t xml:space="preserve"> and </w:t>
      </w:r>
      <w:r w:rsidR="00577450">
        <w:rPr>
          <w:spacing w:val="-1"/>
        </w:rPr>
        <w:t>“</w:t>
      </w:r>
      <w:r w:rsidR="008E68B2" w:rsidRPr="008E68B2">
        <w:rPr>
          <w:spacing w:val="-1"/>
        </w:rPr>
        <w:t>property damage</w:t>
      </w:r>
      <w:r w:rsidR="00577450">
        <w:rPr>
          <w:spacing w:val="-1"/>
        </w:rPr>
        <w:t>”</w:t>
      </w:r>
      <w:r w:rsidR="008E68B2" w:rsidRPr="008E68B2">
        <w:rPr>
          <w:spacing w:val="-1"/>
        </w:rPr>
        <w:t xml:space="preserve"> under </w:t>
      </w:r>
      <w:r w:rsidR="00577450">
        <w:rPr>
          <w:spacing w:val="-1"/>
        </w:rPr>
        <w:t>commercial general liability</w:t>
      </w:r>
      <w:r w:rsidR="008E68B2" w:rsidRPr="008E68B2">
        <w:rPr>
          <w:spacing w:val="-1"/>
        </w:rPr>
        <w:t xml:space="preserve"> policies in a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 xml:space="preserve">construction defect setting. Recently, with the assistance of co-counsel, the firm prevailed in the matter of </w:t>
      </w:r>
      <w:proofErr w:type="spellStart"/>
      <w:r w:rsidR="008E68B2" w:rsidRPr="00577450">
        <w:rPr>
          <w:i/>
          <w:spacing w:val="-1"/>
        </w:rPr>
        <w:t>Sebo</w:t>
      </w:r>
      <w:proofErr w:type="spellEnd"/>
      <w:r w:rsidR="008E68B2" w:rsidRPr="00577450">
        <w:rPr>
          <w:i/>
          <w:spacing w:val="-1"/>
        </w:rPr>
        <w:t xml:space="preserve"> v</w:t>
      </w:r>
      <w:r w:rsidR="00577450" w:rsidRPr="00577450">
        <w:rPr>
          <w:i/>
          <w:spacing w:val="-1"/>
        </w:rPr>
        <w:t>.</w:t>
      </w:r>
      <w:r w:rsidR="008E68B2" w:rsidRPr="00577450">
        <w:rPr>
          <w:i/>
          <w:spacing w:val="-1"/>
        </w:rPr>
        <w:t xml:space="preserve"> American Home Assurance Co.</w:t>
      </w:r>
      <w:r w:rsidR="008E68B2" w:rsidRPr="008E68B2">
        <w:rPr>
          <w:spacing w:val="-1"/>
        </w:rPr>
        <w:t>, 208 So.</w:t>
      </w:r>
      <w:r w:rsidR="00577450">
        <w:rPr>
          <w:spacing w:val="-1"/>
        </w:rPr>
        <w:t xml:space="preserve"> </w:t>
      </w:r>
      <w:r w:rsidR="008E68B2" w:rsidRPr="008E68B2">
        <w:rPr>
          <w:spacing w:val="-1"/>
        </w:rPr>
        <w:t>3d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694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 xml:space="preserve">(Fla. 2016). The </w:t>
      </w:r>
      <w:proofErr w:type="spellStart"/>
      <w:r w:rsidR="008E68B2" w:rsidRPr="00577450">
        <w:rPr>
          <w:i/>
          <w:spacing w:val="-1"/>
        </w:rPr>
        <w:t>Sebo</w:t>
      </w:r>
      <w:proofErr w:type="spellEnd"/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decision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reaffirmed Florida</w:t>
      </w:r>
      <w:r w:rsidR="008E68B2">
        <w:rPr>
          <w:spacing w:val="-1"/>
        </w:rPr>
        <w:t>’</w:t>
      </w:r>
      <w:r w:rsidR="008E68B2" w:rsidRPr="008E68B2">
        <w:rPr>
          <w:spacing w:val="-1"/>
        </w:rPr>
        <w:t>s fealty to the Concurrent Cause</w:t>
      </w:r>
      <w:r w:rsidR="008E68B2">
        <w:rPr>
          <w:spacing w:val="-1"/>
        </w:rPr>
        <w:t xml:space="preserve"> </w:t>
      </w:r>
      <w:r w:rsidR="00577450">
        <w:rPr>
          <w:spacing w:val="-1"/>
        </w:rPr>
        <w:t xml:space="preserve">Doctrine in first </w:t>
      </w:r>
      <w:r w:rsidR="008E68B2" w:rsidRPr="008E68B2">
        <w:rPr>
          <w:spacing w:val="-1"/>
        </w:rPr>
        <w:t>party insurance disputes and disallowed the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insurers attempt to apply the highly restrictive Efficient Proximate</w:t>
      </w:r>
      <w:r w:rsidR="008E68B2">
        <w:rPr>
          <w:spacing w:val="-1"/>
        </w:rPr>
        <w:t xml:space="preserve"> </w:t>
      </w:r>
      <w:r w:rsidR="008E68B2" w:rsidRPr="008E68B2">
        <w:rPr>
          <w:spacing w:val="-1"/>
        </w:rPr>
        <w:t>Cause Doctrine.</w:t>
      </w:r>
    </w:p>
    <w:p w:rsidR="00604E4B" w:rsidRDefault="00604E4B" w:rsidP="00604E4B">
      <w:pPr>
        <w:pStyle w:val="BodyText"/>
        <w:spacing w:line="276" w:lineRule="auto"/>
        <w:ind w:right="108"/>
        <w:jc w:val="both"/>
        <w:rPr>
          <w:rFonts w:cs="Tahoma"/>
        </w:rPr>
      </w:pPr>
    </w:p>
    <w:p w:rsidR="00DC3B3A" w:rsidRDefault="00DC3B3A" w:rsidP="00604E4B">
      <w:pPr>
        <w:pStyle w:val="BodyText"/>
        <w:spacing w:line="276" w:lineRule="auto"/>
        <w:ind w:right="103"/>
        <w:jc w:val="both"/>
        <w:rPr>
          <w:spacing w:val="-1"/>
        </w:rPr>
      </w:pPr>
      <w:r>
        <w:t>Mr.</w:t>
      </w:r>
      <w:r>
        <w:rPr>
          <w:spacing w:val="-4"/>
        </w:rPr>
        <w:t xml:space="preserve"> </w:t>
      </w:r>
      <w:r>
        <w:rPr>
          <w:spacing w:val="-1"/>
        </w:rPr>
        <w:t>Boyle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1993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Stetson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St.</w:t>
      </w:r>
      <w:r>
        <w:rPr>
          <w:spacing w:val="-3"/>
        </w:rPr>
        <w:t xml:space="preserve"> </w:t>
      </w:r>
      <w:r>
        <w:t>Petersburg,</w:t>
      </w:r>
      <w:r>
        <w:rPr>
          <w:spacing w:val="-3"/>
        </w:rPr>
        <w:t xml:space="preserve"> </w:t>
      </w:r>
      <w:r>
        <w:rPr>
          <w:spacing w:val="-1"/>
        </w:rPr>
        <w:t>Florida.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1990,</w:t>
      </w:r>
      <w:r>
        <w:rPr>
          <w:spacing w:val="-3"/>
        </w:rPr>
        <w:t xml:space="preserve"> </w:t>
      </w:r>
      <w:r>
        <w:t>Mr.</w:t>
      </w:r>
      <w:r>
        <w:rPr>
          <w:spacing w:val="58"/>
          <w:w w:val="99"/>
        </w:rPr>
        <w:t xml:space="preserve"> </w:t>
      </w:r>
      <w:r>
        <w:rPr>
          <w:spacing w:val="-1"/>
        </w:rPr>
        <w:t>Boyle</w:t>
      </w:r>
      <w:r>
        <w:rPr>
          <w:spacing w:val="-20"/>
        </w:rPr>
        <w:t xml:space="preserve"> </w:t>
      </w:r>
      <w:r>
        <w:rPr>
          <w:spacing w:val="-1"/>
        </w:rPr>
        <w:t>received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Bachelor</w:t>
      </w:r>
      <w:r>
        <w:rPr>
          <w:spacing w:val="-19"/>
        </w:rPr>
        <w:t xml:space="preserve"> </w:t>
      </w:r>
      <w:r>
        <w:rPr>
          <w:spacing w:val="1"/>
        </w:rPr>
        <w:t>of</w:t>
      </w:r>
      <w:r>
        <w:rPr>
          <w:spacing w:val="-18"/>
        </w:rPr>
        <w:t xml:space="preserve"> </w:t>
      </w:r>
      <w:r>
        <w:t>Arts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rPr>
          <w:spacing w:val="-1"/>
        </w:rPr>
        <w:t>History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Bachelor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"/>
        </w:rPr>
        <w:t>Science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Natural</w:t>
      </w:r>
      <w:r>
        <w:rPr>
          <w:spacing w:val="-19"/>
        </w:rPr>
        <w:t xml:space="preserve"> </w:t>
      </w:r>
      <w:r>
        <w:rPr>
          <w:spacing w:val="-1"/>
        </w:rPr>
        <w:t>Sciences</w:t>
      </w:r>
      <w:r>
        <w:rPr>
          <w:spacing w:val="-19"/>
        </w:rPr>
        <w:t xml:space="preserve"> </w:t>
      </w:r>
      <w:r>
        <w:rPr>
          <w:spacing w:val="-1"/>
        </w:rPr>
        <w:t>from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University</w:t>
      </w:r>
      <w:r>
        <w:rPr>
          <w:spacing w:val="69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-1"/>
        </w:rPr>
        <w:t>Florida.</w:t>
      </w:r>
    </w:p>
    <w:p w:rsidR="00604E4B" w:rsidRDefault="00604E4B" w:rsidP="00604E4B">
      <w:pPr>
        <w:pStyle w:val="BodyText"/>
        <w:spacing w:line="276" w:lineRule="auto"/>
        <w:ind w:right="103"/>
        <w:jc w:val="both"/>
        <w:rPr>
          <w:rFonts w:cs="Tahoma"/>
        </w:rPr>
      </w:pPr>
    </w:p>
    <w:p w:rsidR="00DC3B3A" w:rsidRDefault="00DC3B3A">
      <w:bookmarkStart w:id="0" w:name="_GoBack"/>
      <w:bookmarkEnd w:id="0"/>
    </w:p>
    <w:sectPr w:rsidR="00DC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3A"/>
    <w:rsid w:val="000C6FC4"/>
    <w:rsid w:val="004E53ED"/>
    <w:rsid w:val="00577450"/>
    <w:rsid w:val="00604E4B"/>
    <w:rsid w:val="007B43A3"/>
    <w:rsid w:val="008E68B2"/>
    <w:rsid w:val="00D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2ADDE-9B75-41AE-8791-2E99789D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3B3A"/>
    <w:pPr>
      <w:widowControl w:val="0"/>
      <w:spacing w:after="0" w:line="240" w:lineRule="auto"/>
      <w:ind w:left="10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B3A"/>
    <w:rPr>
      <w:rFonts w:ascii="Tahoma" w:eastAsia="Tahoma" w:hAnsi="Tahom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C3B3A"/>
    <w:pPr>
      <w:widowControl w:val="0"/>
      <w:spacing w:after="0" w:line="240" w:lineRule="auto"/>
      <w:ind w:left="100"/>
    </w:pPr>
    <w:rPr>
      <w:rFonts w:ascii="Tahoma" w:eastAsia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C3B3A"/>
    <w:rPr>
      <w:rFonts w:ascii="Tahoma" w:eastAsia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7A637B7E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Iandoli</dc:creator>
  <cp:keywords/>
  <dc:description/>
  <cp:lastModifiedBy>Kasey Cisneros</cp:lastModifiedBy>
  <cp:revision>3</cp:revision>
  <dcterms:created xsi:type="dcterms:W3CDTF">2018-04-03T13:21:00Z</dcterms:created>
  <dcterms:modified xsi:type="dcterms:W3CDTF">2018-04-09T17:45:00Z</dcterms:modified>
</cp:coreProperties>
</file>