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18,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 / Mariela Malfeld</w:t>
            </w:r>
            <w:bookmarkStart w:id="3" w:name="_GoBack"/>
            <w:bookmarkEnd w:id="3"/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  <w:p>
            <w:pPr>
              <w:pStyle w:val="Informal1"/>
              <w:spacing w:after="120"/>
            </w:pPr>
            <w:r>
              <w:tab/>
              <w:t>Fundamentals of Insurance (“Insurance 101”) Speaker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>
              <w:rPr>
                <w:b/>
                <w:bCs/>
                <w:iCs/>
              </w:rPr>
              <w:t>An Overview and Discussion of</w:t>
            </w:r>
            <w:r>
              <w:t xml:space="preserve"> </w:t>
            </w:r>
            <w:r>
              <w:rPr>
                <w:b/>
                <w:bCs/>
                <w:iCs/>
              </w:rPr>
              <w:t>Commercial General Liability Insurance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>Cary Wright</w:t>
            </w:r>
            <w:r>
              <w:t>, Esq. of Carlton Fields in Tampa, FL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113561057.1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2017-12-16T17:08:00Z</dcterms:created>
  <dcterms:modified xsi:type="dcterms:W3CDTF">2017-12-16T17:11:00Z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113561057.1</vt:lpwstr>
  </property>
</Properties>
</file>