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950"/>
        <w:gridCol w:w="286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March 20,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Cary Wright/Scott Pence/Fred Dudley/Michael Meyer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86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86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shd w:val="pct10" w:color="auto" w:fill="auto"/>
          </w:tcPr>
          <w:p>
            <w:pPr>
              <w:pStyle w:val="Informal1"/>
            </w:pPr>
            <w:r>
              <w:t>Upcoming CLE/Risk Management Series</w:t>
            </w:r>
          </w:p>
        </w:tc>
        <w:tc>
          <w:tcPr>
            <w:tcW w:w="2862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after="225" w:afterAutospacing="0" w:line="255" w:lineRule="atLeast"/>
            </w:pPr>
            <w:r>
              <w:t>Insurance Matters! newsletter</w:t>
            </w:r>
          </w:p>
        </w:tc>
        <w:tc>
          <w:tcPr>
            <w:tcW w:w="286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Scott Pence</w:t>
            </w:r>
            <w:bookmarkStart w:id="3" w:name="_GoBack"/>
            <w:bookmarkEnd w:id="3"/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after="225" w:afterAutospacing="0" w:line="255" w:lineRule="atLeast"/>
            </w:pPr>
            <w:r>
              <w:t xml:space="preserve">CLE Presentation –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b/>
              </w:rPr>
              <w:t>nique Risks Posed by Unmanned Aircraft Systems (“UAS”)</w:t>
            </w:r>
          </w:p>
          <w:p>
            <w:pPr>
              <w:pStyle w:val="Informal1"/>
            </w:pPr>
          </w:p>
        </w:tc>
        <w:tc>
          <w:tcPr>
            <w:tcW w:w="286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rPr>
                <w:rFonts w:ascii="Calibri" w:hAnsi="Calibri"/>
                <w:b/>
              </w:rPr>
              <w:t>Mr. James Van Meter, J.D.</w:t>
            </w:r>
            <w:r>
              <w:rPr>
                <w:rFonts w:ascii="Calibri" w:hAnsi="Calibri"/>
              </w:rPr>
              <w:t>, Aviation Practice Leader for Allianz Global Corporate &amp; Specialty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75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86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111120673.1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107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2017-03-20T13:38:00Z</dcterms:created>
  <dcterms:modified xsi:type="dcterms:W3CDTF">2017-03-20T13:44:00Z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111120673.1</vt:lpwstr>
  </property>
</Properties>
</file>