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2BC" w:rsidRDefault="0041046D" w:rsidP="001B524D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1B524D">
        <w:rPr>
          <w:b/>
          <w:sz w:val="24"/>
          <w:szCs w:val="24"/>
          <w:u w:val="single"/>
        </w:rPr>
        <w:t>2015 Construction Related Bills That Passed</w:t>
      </w:r>
    </w:p>
    <w:p w:rsidR="00552863" w:rsidRDefault="00552863" w:rsidP="001B524D">
      <w:pPr>
        <w:jc w:val="center"/>
        <w:rPr>
          <w:sz w:val="24"/>
          <w:szCs w:val="24"/>
        </w:rPr>
      </w:pPr>
      <w:r>
        <w:rPr>
          <w:sz w:val="24"/>
          <w:szCs w:val="24"/>
        </w:rPr>
        <w:t>Fred R. Dudley, Esq.</w:t>
      </w:r>
    </w:p>
    <w:p w:rsidR="00552863" w:rsidRPr="00552863" w:rsidRDefault="002C0040" w:rsidP="001B524D">
      <w:pPr>
        <w:jc w:val="center"/>
        <w:rPr>
          <w:sz w:val="24"/>
          <w:szCs w:val="24"/>
        </w:rPr>
      </w:pPr>
      <w:r>
        <w:rPr>
          <w:sz w:val="24"/>
          <w:szCs w:val="24"/>
        </w:rPr>
        <w:t>As of June 30</w:t>
      </w:r>
      <w:r w:rsidR="00552863">
        <w:rPr>
          <w:sz w:val="24"/>
          <w:szCs w:val="24"/>
        </w:rPr>
        <w:t>, 2015</w:t>
      </w:r>
    </w:p>
    <w:p w:rsidR="0041046D" w:rsidRDefault="0041046D" w:rsidP="006A26BF">
      <w:pPr>
        <w:rPr>
          <w:sz w:val="24"/>
          <w:szCs w:val="24"/>
        </w:rPr>
      </w:pPr>
    </w:p>
    <w:p w:rsidR="00F52E9F" w:rsidRPr="00F52E9F" w:rsidRDefault="00EF11A8" w:rsidP="00F52E9F">
      <w:pPr>
        <w:jc w:val="both"/>
        <w:rPr>
          <w:sz w:val="24"/>
          <w:szCs w:val="24"/>
        </w:rPr>
      </w:pPr>
      <w:r w:rsidRPr="00F52E9F">
        <w:rPr>
          <w:b/>
          <w:sz w:val="24"/>
          <w:szCs w:val="24"/>
        </w:rPr>
        <w:t>HB87 – Chapter 558</w:t>
      </w:r>
      <w:r w:rsidR="00552863" w:rsidRPr="00F52E9F">
        <w:rPr>
          <w:b/>
          <w:sz w:val="24"/>
          <w:szCs w:val="24"/>
        </w:rPr>
        <w:t xml:space="preserve"> Notice to Cure</w:t>
      </w:r>
      <w:r w:rsidR="00313946">
        <w:rPr>
          <w:sz w:val="24"/>
          <w:szCs w:val="24"/>
        </w:rPr>
        <w:t>: Effective October 1, 2015</w:t>
      </w:r>
      <w:r w:rsidR="002C0040">
        <w:rPr>
          <w:sz w:val="24"/>
          <w:szCs w:val="24"/>
        </w:rPr>
        <w:t xml:space="preserve"> (Chapter 2015-165</w:t>
      </w:r>
      <w:r w:rsidR="00552863" w:rsidRPr="00F52E9F">
        <w:rPr>
          <w:sz w:val="24"/>
          <w:szCs w:val="24"/>
        </w:rPr>
        <w:t>, LO</w:t>
      </w:r>
      <w:r w:rsidR="002C0040">
        <w:rPr>
          <w:sz w:val="24"/>
          <w:szCs w:val="24"/>
        </w:rPr>
        <w:t>F): Signed on June 17, 2015.</w:t>
      </w:r>
    </w:p>
    <w:p w:rsidR="00EF11A8" w:rsidRPr="00552863" w:rsidRDefault="00552863" w:rsidP="0055286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552863">
        <w:rPr>
          <w:sz w:val="24"/>
          <w:szCs w:val="24"/>
        </w:rPr>
        <w:t>Adds</w:t>
      </w:r>
      <w:proofErr w:type="gramEnd"/>
      <w:r w:rsidRPr="00552863">
        <w:rPr>
          <w:sz w:val="24"/>
          <w:szCs w:val="24"/>
        </w:rPr>
        <w:t xml:space="preserve"> “Temporary</w:t>
      </w:r>
      <w:r w:rsidR="00EF11A8" w:rsidRPr="00552863">
        <w:rPr>
          <w:sz w:val="24"/>
          <w:szCs w:val="24"/>
        </w:rPr>
        <w:t>” CO</w:t>
      </w:r>
      <w:r w:rsidRPr="00552863">
        <w:rPr>
          <w:sz w:val="24"/>
          <w:szCs w:val="24"/>
        </w:rPr>
        <w:t>’s to definition of “Completion</w:t>
      </w:r>
      <w:r w:rsidR="00EF11A8" w:rsidRPr="00552863">
        <w:rPr>
          <w:sz w:val="24"/>
          <w:szCs w:val="24"/>
        </w:rPr>
        <w:t>.</w:t>
      </w:r>
      <w:r w:rsidRPr="00552863">
        <w:rPr>
          <w:sz w:val="24"/>
          <w:szCs w:val="24"/>
        </w:rPr>
        <w:t xml:space="preserve">” See: </w:t>
      </w:r>
      <w:r w:rsidR="00473F91">
        <w:rPr>
          <w:i/>
          <w:sz w:val="24"/>
          <w:szCs w:val="24"/>
          <w:u w:val="single"/>
        </w:rPr>
        <w:t>Hamptons West Condominium Association, Inc v. Hamptons South Condominium Association, Inc,</w:t>
      </w:r>
      <w:r w:rsidR="00473F91">
        <w:rPr>
          <w:sz w:val="24"/>
          <w:szCs w:val="24"/>
        </w:rPr>
        <w:t xml:space="preserve"> 919 So. 2d 509 (Fla. 3</w:t>
      </w:r>
      <w:r w:rsidR="00473F91" w:rsidRPr="00473F91">
        <w:rPr>
          <w:sz w:val="24"/>
          <w:szCs w:val="24"/>
          <w:vertAlign w:val="superscript"/>
        </w:rPr>
        <w:t>rd</w:t>
      </w:r>
      <w:r w:rsidR="00473F91">
        <w:rPr>
          <w:sz w:val="24"/>
          <w:szCs w:val="24"/>
        </w:rPr>
        <w:t xml:space="preserve"> DCA 2005).</w:t>
      </w:r>
    </w:p>
    <w:p w:rsidR="00EF11A8" w:rsidRPr="00EF11A8" w:rsidRDefault="00EF11A8" w:rsidP="0055286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EF11A8">
        <w:rPr>
          <w:sz w:val="24"/>
          <w:szCs w:val="24"/>
        </w:rPr>
        <w:t>Requires Notice of Claims to include:</w:t>
      </w:r>
    </w:p>
    <w:p w:rsidR="00EF11A8" w:rsidRPr="00552863" w:rsidRDefault="00EF11A8" w:rsidP="00552863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552863">
        <w:rPr>
          <w:sz w:val="24"/>
          <w:szCs w:val="24"/>
        </w:rPr>
        <w:t>Location of each Defect, based on visual inspection</w:t>
      </w:r>
      <w:r w:rsidR="00552863" w:rsidRPr="00552863">
        <w:rPr>
          <w:sz w:val="24"/>
          <w:szCs w:val="24"/>
        </w:rPr>
        <w:t xml:space="preserve"> and without “undue burden.”</w:t>
      </w:r>
    </w:p>
    <w:p w:rsidR="00EF11A8" w:rsidRPr="00552863" w:rsidRDefault="00552863" w:rsidP="00552863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552863">
        <w:rPr>
          <w:sz w:val="24"/>
          <w:szCs w:val="24"/>
        </w:rPr>
        <w:t>NO “Destructive or OTHER testing,</w:t>
      </w:r>
      <w:r w:rsidR="00EF11A8" w:rsidRPr="00552863">
        <w:rPr>
          <w:sz w:val="24"/>
          <w:szCs w:val="24"/>
        </w:rPr>
        <w:t>”</w:t>
      </w:r>
      <w:r w:rsidRPr="00552863">
        <w:rPr>
          <w:sz w:val="24"/>
          <w:szCs w:val="24"/>
        </w:rPr>
        <w:t xml:space="preserve"> such a moisture meter, is</w:t>
      </w:r>
      <w:r w:rsidR="00EF11A8" w:rsidRPr="00552863">
        <w:rPr>
          <w:sz w:val="24"/>
          <w:szCs w:val="24"/>
        </w:rPr>
        <w:t xml:space="preserve"> required</w:t>
      </w:r>
    </w:p>
    <w:p w:rsidR="00552863" w:rsidRDefault="00EF11A8" w:rsidP="0055286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52863">
        <w:rPr>
          <w:sz w:val="24"/>
          <w:szCs w:val="24"/>
        </w:rPr>
        <w:t xml:space="preserve">Continues that Notice does not trigger an Insurance Claim, but adds:  </w:t>
      </w:r>
      <w:r w:rsidR="00552863" w:rsidRPr="00552863">
        <w:rPr>
          <w:sz w:val="24"/>
          <w:szCs w:val="24"/>
        </w:rPr>
        <w:t>“…unless provided for under the policy terms….;” so, we have to wait to see what ISO proposes for Commercial Liability policies in Florida.</w:t>
      </w:r>
    </w:p>
    <w:p w:rsidR="00EF11A8" w:rsidRPr="00552863" w:rsidRDefault="00552863" w:rsidP="0055286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Adds: Maintenance records</w:t>
      </w:r>
      <w:r w:rsidR="00EF11A8" w:rsidRPr="00552863">
        <w:rPr>
          <w:sz w:val="24"/>
          <w:szCs w:val="24"/>
        </w:rPr>
        <w:t xml:space="preserve"> to the documents to be “EXCHANGED” except as may be PRIVILEGED.</w:t>
      </w:r>
    </w:p>
    <w:p w:rsidR="00EF11A8" w:rsidRDefault="00EF11A8" w:rsidP="00552863">
      <w:pPr>
        <w:jc w:val="both"/>
        <w:rPr>
          <w:sz w:val="24"/>
          <w:szCs w:val="24"/>
        </w:rPr>
      </w:pPr>
    </w:p>
    <w:p w:rsidR="00F52E9F" w:rsidRPr="00F52E9F" w:rsidRDefault="00EF11A8" w:rsidP="00F52E9F">
      <w:pPr>
        <w:jc w:val="both"/>
        <w:rPr>
          <w:sz w:val="24"/>
          <w:szCs w:val="24"/>
        </w:rPr>
      </w:pPr>
      <w:r w:rsidRPr="00F52E9F">
        <w:rPr>
          <w:b/>
          <w:sz w:val="24"/>
          <w:szCs w:val="24"/>
        </w:rPr>
        <w:t>HB 217</w:t>
      </w:r>
      <w:r w:rsidR="00011064" w:rsidRPr="00F52E9F">
        <w:rPr>
          <w:b/>
          <w:sz w:val="24"/>
          <w:szCs w:val="24"/>
        </w:rPr>
        <w:t xml:space="preserve"> – Cha</w:t>
      </w:r>
      <w:r w:rsidR="00552863" w:rsidRPr="00F52E9F">
        <w:rPr>
          <w:b/>
          <w:sz w:val="24"/>
          <w:szCs w:val="24"/>
        </w:rPr>
        <w:t>pter 471 Engineering Board</w:t>
      </w:r>
      <w:r w:rsidR="0091727E" w:rsidRPr="00F52E9F">
        <w:rPr>
          <w:sz w:val="24"/>
          <w:szCs w:val="24"/>
        </w:rPr>
        <w:t>:</w:t>
      </w:r>
      <w:r w:rsidR="00552863" w:rsidRPr="00F52E9F">
        <w:rPr>
          <w:sz w:val="24"/>
          <w:szCs w:val="24"/>
        </w:rPr>
        <w:t xml:space="preserve"> </w:t>
      </w:r>
      <w:r w:rsidR="002C0040">
        <w:rPr>
          <w:sz w:val="24"/>
          <w:szCs w:val="24"/>
        </w:rPr>
        <w:t xml:space="preserve"> Effective: July 1, 2015 but</w:t>
      </w:r>
      <w:r w:rsidR="00CF76B3">
        <w:rPr>
          <w:sz w:val="24"/>
          <w:szCs w:val="24"/>
        </w:rPr>
        <w:t xml:space="preserve"> </w:t>
      </w:r>
      <w:r w:rsidR="00CF76B3" w:rsidRPr="00CF76B3">
        <w:rPr>
          <w:b/>
          <w:i/>
          <w:sz w:val="24"/>
          <w:szCs w:val="24"/>
          <w:u w:val="single"/>
        </w:rPr>
        <w:t>VETOED</w:t>
      </w:r>
      <w:r w:rsidR="00CF76B3" w:rsidRPr="00CF76B3">
        <w:rPr>
          <w:b/>
          <w:sz w:val="24"/>
          <w:szCs w:val="24"/>
        </w:rPr>
        <w:t xml:space="preserve"> 6/12/15.</w:t>
      </w:r>
    </w:p>
    <w:p w:rsidR="00011064" w:rsidRDefault="00011064" w:rsidP="00EE28C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Create</w:t>
      </w:r>
      <w:r w:rsidR="00EE28CE">
        <w:rPr>
          <w:sz w:val="24"/>
          <w:szCs w:val="24"/>
        </w:rPr>
        <w:t>s</w:t>
      </w:r>
      <w:r>
        <w:rPr>
          <w:sz w:val="24"/>
          <w:szCs w:val="24"/>
        </w:rPr>
        <w:t xml:space="preserve"> “Structure Engineers” as a new license type.</w:t>
      </w:r>
    </w:p>
    <w:p w:rsidR="00011064" w:rsidRDefault="00011064" w:rsidP="00552863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Beginning March 1, 2017, prohibit</w:t>
      </w:r>
      <w:r w:rsidR="00EE28CE">
        <w:rPr>
          <w:sz w:val="24"/>
          <w:szCs w:val="24"/>
        </w:rPr>
        <w:t>s</w:t>
      </w:r>
      <w:r>
        <w:rPr>
          <w:sz w:val="24"/>
          <w:szCs w:val="24"/>
        </w:rPr>
        <w:t xml:space="preserve"> anyone no</w:t>
      </w:r>
      <w:r w:rsidR="00EE28CE">
        <w:rPr>
          <w:sz w:val="24"/>
          <w:szCs w:val="24"/>
        </w:rPr>
        <w:t>t so licensed from practicing or from</w:t>
      </w:r>
      <w:r>
        <w:rPr>
          <w:sz w:val="24"/>
          <w:szCs w:val="24"/>
        </w:rPr>
        <w:t xml:space="preserve"> using the name and title “Licensed Struc</w:t>
      </w:r>
      <w:r w:rsidR="00EE28CE">
        <w:rPr>
          <w:sz w:val="24"/>
          <w:szCs w:val="24"/>
        </w:rPr>
        <w:t>tural engineer” or similar title</w:t>
      </w:r>
      <w:r>
        <w:rPr>
          <w:sz w:val="24"/>
          <w:szCs w:val="24"/>
        </w:rPr>
        <w:t>.</w:t>
      </w:r>
    </w:p>
    <w:p w:rsidR="00011064" w:rsidRDefault="00011064" w:rsidP="00552863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Define “Structural Engineer</w:t>
      </w:r>
      <w:r w:rsidR="00EE28CE">
        <w:rPr>
          <w:sz w:val="24"/>
          <w:szCs w:val="24"/>
        </w:rPr>
        <w:t xml:space="preserve">” as </w:t>
      </w:r>
      <w:r w:rsidR="00F52E9F">
        <w:rPr>
          <w:sz w:val="24"/>
          <w:szCs w:val="24"/>
        </w:rPr>
        <w:t>“a</w:t>
      </w:r>
      <w:r w:rsidR="00EE28CE">
        <w:rPr>
          <w:sz w:val="24"/>
          <w:szCs w:val="24"/>
        </w:rPr>
        <w:t xml:space="preserve"> service of creative</w:t>
      </w:r>
      <w:r>
        <w:rPr>
          <w:sz w:val="24"/>
          <w:szCs w:val="24"/>
        </w:rPr>
        <w:t xml:space="preserve"> work that includes structural analysis and design of “Threshold Buildings</w:t>
      </w:r>
      <w:r w:rsidR="00EE28CE"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="00EE28CE">
        <w:rPr>
          <w:sz w:val="24"/>
          <w:szCs w:val="24"/>
        </w:rPr>
        <w:t xml:space="preserve"> See: Section ____ for definition.</w:t>
      </w:r>
    </w:p>
    <w:p w:rsidR="00011064" w:rsidRDefault="00011064" w:rsidP="00552863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Requires passing of a </w:t>
      </w:r>
      <w:r w:rsidR="00EE28CE">
        <w:rPr>
          <w:sz w:val="24"/>
          <w:szCs w:val="24"/>
        </w:rPr>
        <w:t xml:space="preserve">16-hour </w:t>
      </w:r>
      <w:r>
        <w:rPr>
          <w:sz w:val="24"/>
          <w:szCs w:val="24"/>
        </w:rPr>
        <w:t>National “Structural Engineering Exam”</w:t>
      </w:r>
    </w:p>
    <w:p w:rsidR="00011064" w:rsidRDefault="00011064" w:rsidP="00552863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“Grandfathers” applican</w:t>
      </w:r>
      <w:r w:rsidR="00EE28CE">
        <w:rPr>
          <w:sz w:val="24"/>
          <w:szCs w:val="24"/>
        </w:rPr>
        <w:t xml:space="preserve">ts prior to Sep. 1, 2016, with exemption from exam if they have </w:t>
      </w:r>
      <w:r>
        <w:rPr>
          <w:sz w:val="24"/>
          <w:szCs w:val="24"/>
        </w:rPr>
        <w:t>4 years</w:t>
      </w:r>
      <w:r w:rsidR="001B524D">
        <w:rPr>
          <w:sz w:val="24"/>
          <w:szCs w:val="24"/>
        </w:rPr>
        <w:t>’</w:t>
      </w:r>
      <w:r>
        <w:rPr>
          <w:sz w:val="24"/>
          <w:szCs w:val="24"/>
        </w:rPr>
        <w:t xml:space="preserve"> experience in st</w:t>
      </w:r>
      <w:r w:rsidR="00EE28CE">
        <w:rPr>
          <w:sz w:val="24"/>
          <w:szCs w:val="24"/>
        </w:rPr>
        <w:t>ructural engineering design or are licensed as</w:t>
      </w:r>
      <w:r>
        <w:rPr>
          <w:sz w:val="24"/>
          <w:szCs w:val="24"/>
        </w:rPr>
        <w:t xml:space="preserve"> a Threshold Building Inspector.</w:t>
      </w:r>
    </w:p>
    <w:p w:rsidR="00CC5A68" w:rsidRDefault="00CC5A68" w:rsidP="00552863">
      <w:pPr>
        <w:jc w:val="both"/>
        <w:rPr>
          <w:sz w:val="24"/>
          <w:szCs w:val="24"/>
        </w:rPr>
      </w:pPr>
    </w:p>
    <w:p w:rsidR="00CC5A68" w:rsidRDefault="0091727E" w:rsidP="00F52E9F">
      <w:pPr>
        <w:jc w:val="both"/>
        <w:rPr>
          <w:sz w:val="24"/>
          <w:szCs w:val="24"/>
        </w:rPr>
      </w:pPr>
      <w:r w:rsidRPr="00F52E9F">
        <w:rPr>
          <w:b/>
          <w:sz w:val="24"/>
          <w:szCs w:val="24"/>
        </w:rPr>
        <w:t>HB 383 – Chapter 70</w:t>
      </w:r>
      <w:r w:rsidRPr="00F52E9F">
        <w:rPr>
          <w:sz w:val="24"/>
          <w:szCs w:val="24"/>
        </w:rPr>
        <w:t xml:space="preserve"> “</w:t>
      </w:r>
      <w:r w:rsidR="00CC5A68" w:rsidRPr="00F52E9F">
        <w:rPr>
          <w:sz w:val="24"/>
          <w:szCs w:val="24"/>
        </w:rPr>
        <w:t xml:space="preserve">Bert Harris, </w:t>
      </w:r>
      <w:r w:rsidR="00552863" w:rsidRPr="00F52E9F">
        <w:rPr>
          <w:sz w:val="24"/>
          <w:szCs w:val="24"/>
        </w:rPr>
        <w:t>Jr. Private Property Rights Act</w:t>
      </w:r>
      <w:r w:rsidR="00313946">
        <w:rPr>
          <w:sz w:val="24"/>
          <w:szCs w:val="24"/>
        </w:rPr>
        <w:t>:” Effective: October 1, 2015</w:t>
      </w:r>
      <w:r w:rsidR="002C0040">
        <w:rPr>
          <w:sz w:val="24"/>
          <w:szCs w:val="24"/>
        </w:rPr>
        <w:t xml:space="preserve"> (Chapter 2015-142</w:t>
      </w:r>
      <w:r w:rsidR="00552863" w:rsidRPr="00F52E9F">
        <w:rPr>
          <w:sz w:val="24"/>
          <w:szCs w:val="24"/>
        </w:rPr>
        <w:t>, LO</w:t>
      </w:r>
      <w:r w:rsidR="002C0040">
        <w:rPr>
          <w:sz w:val="24"/>
          <w:szCs w:val="24"/>
        </w:rPr>
        <w:t>F)</w:t>
      </w:r>
      <w:r w:rsidR="00CF76B3">
        <w:rPr>
          <w:sz w:val="24"/>
          <w:szCs w:val="24"/>
        </w:rPr>
        <w:t xml:space="preserve"> </w:t>
      </w:r>
      <w:r w:rsidR="00CF76B3" w:rsidRPr="00CF76B3">
        <w:rPr>
          <w:b/>
          <w:sz w:val="24"/>
          <w:szCs w:val="24"/>
        </w:rPr>
        <w:t>SIGNED 6/12/15.</w:t>
      </w:r>
    </w:p>
    <w:p w:rsidR="00F52E9F" w:rsidRPr="00F52E9F" w:rsidRDefault="00F52E9F" w:rsidP="00F52E9F">
      <w:pPr>
        <w:jc w:val="both"/>
        <w:rPr>
          <w:sz w:val="24"/>
          <w:szCs w:val="24"/>
        </w:rPr>
      </w:pPr>
    </w:p>
    <w:p w:rsidR="00EE28CE" w:rsidRDefault="00CC5A68" w:rsidP="00EE28CE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EE28CE">
        <w:rPr>
          <w:sz w:val="24"/>
          <w:szCs w:val="24"/>
        </w:rPr>
        <w:t xml:space="preserve">In </w:t>
      </w:r>
      <w:r w:rsidRPr="00EE28CE">
        <w:rPr>
          <w:i/>
          <w:sz w:val="24"/>
          <w:szCs w:val="24"/>
          <w:u w:val="single"/>
        </w:rPr>
        <w:t>Kontz v. St. John’s River Management District</w:t>
      </w:r>
      <w:r w:rsidRPr="00EE28CE">
        <w:rPr>
          <w:sz w:val="24"/>
          <w:szCs w:val="24"/>
        </w:rPr>
        <w:t>, 133 S. 2586 (2013) the U</w:t>
      </w:r>
      <w:r w:rsidR="0091727E" w:rsidRPr="00EE28CE">
        <w:rPr>
          <w:sz w:val="24"/>
          <w:szCs w:val="24"/>
        </w:rPr>
        <w:t>.</w:t>
      </w:r>
      <w:r w:rsidRPr="00EE28CE">
        <w:rPr>
          <w:sz w:val="24"/>
          <w:szCs w:val="24"/>
        </w:rPr>
        <w:t>S</w:t>
      </w:r>
      <w:r w:rsidR="0091727E" w:rsidRPr="00EE28CE">
        <w:rPr>
          <w:sz w:val="24"/>
          <w:szCs w:val="24"/>
        </w:rPr>
        <w:t>.</w:t>
      </w:r>
      <w:r w:rsidRPr="00EE28CE">
        <w:rPr>
          <w:sz w:val="24"/>
          <w:szCs w:val="24"/>
        </w:rPr>
        <w:t xml:space="preserve"> Supreme Court held that a government cannot deny a la</w:t>
      </w:r>
      <w:r w:rsidR="00EE28CE">
        <w:rPr>
          <w:sz w:val="24"/>
          <w:szCs w:val="24"/>
        </w:rPr>
        <w:t>nd use permit based on owner’s refusal to accede to the government’s demands or pay money.</w:t>
      </w:r>
    </w:p>
    <w:p w:rsidR="00CC5A68" w:rsidRPr="00EE28CE" w:rsidRDefault="00EE28CE" w:rsidP="00EE28CE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Thus was announced</w:t>
      </w:r>
      <w:r w:rsidR="00CC5A68" w:rsidRPr="00EE28CE">
        <w:rPr>
          <w:sz w:val="24"/>
          <w:szCs w:val="24"/>
        </w:rPr>
        <w:t xml:space="preserve"> “the doctrine of unconstitutional conditions” which prohib</w:t>
      </w:r>
      <w:r>
        <w:rPr>
          <w:sz w:val="24"/>
          <w:szCs w:val="24"/>
        </w:rPr>
        <w:t>its the Government from denying</w:t>
      </w:r>
      <w:r w:rsidR="00CC5A68" w:rsidRPr="00EE28CE">
        <w:rPr>
          <w:sz w:val="24"/>
          <w:szCs w:val="24"/>
        </w:rPr>
        <w:t xml:space="preserve"> a benefit to a person because he or</w:t>
      </w:r>
      <w:r>
        <w:rPr>
          <w:sz w:val="24"/>
          <w:szCs w:val="24"/>
        </w:rPr>
        <w:t xml:space="preserve"> she exercises or </w:t>
      </w:r>
      <w:r w:rsidR="00F52E9F">
        <w:rPr>
          <w:sz w:val="24"/>
          <w:szCs w:val="24"/>
        </w:rPr>
        <w:t>vindicates</w:t>
      </w:r>
      <w:r w:rsidR="00CC5A68" w:rsidRPr="00EE28CE">
        <w:rPr>
          <w:sz w:val="24"/>
          <w:szCs w:val="24"/>
        </w:rPr>
        <w:t xml:space="preserve"> a constitutional right ev</w:t>
      </w:r>
      <w:r>
        <w:rPr>
          <w:sz w:val="24"/>
          <w:szCs w:val="24"/>
        </w:rPr>
        <w:t>en when no actual “taking</w:t>
      </w:r>
      <w:r w:rsidR="00CC5A68" w:rsidRPr="00EE28CE">
        <w:rPr>
          <w:sz w:val="24"/>
          <w:szCs w:val="24"/>
        </w:rPr>
        <w:t>” has occurred.</w:t>
      </w:r>
    </w:p>
    <w:p w:rsidR="00CC5A68" w:rsidRDefault="00CC5A68" w:rsidP="00EE28CE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While federal law provides a cause of action </w:t>
      </w:r>
      <w:r w:rsidR="00EE28CE">
        <w:rPr>
          <w:sz w:val="24"/>
          <w:szCs w:val="24"/>
        </w:rPr>
        <w:t>for unconstitutional conditions claims, Florida law has been unclear. See: §373.617 regarding “takings.”</w:t>
      </w:r>
    </w:p>
    <w:p w:rsidR="00CC5A68" w:rsidRDefault="00CC5A68" w:rsidP="00EE28CE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§70.45 is created to provide a</w:t>
      </w:r>
      <w:r w:rsidR="00EE28CE">
        <w:rPr>
          <w:sz w:val="24"/>
          <w:szCs w:val="24"/>
        </w:rPr>
        <w:t xml:space="preserve"> cause of action and monetary damages to l</w:t>
      </w:r>
      <w:r>
        <w:rPr>
          <w:sz w:val="24"/>
          <w:szCs w:val="24"/>
        </w:rPr>
        <w:t>andow</w:t>
      </w:r>
      <w:r w:rsidR="00EE28CE">
        <w:rPr>
          <w:sz w:val="24"/>
          <w:szCs w:val="24"/>
        </w:rPr>
        <w:t xml:space="preserve">ner for “prohibited exactions” by governmental entities and defines that phrase, </w:t>
      </w:r>
      <w:r>
        <w:rPr>
          <w:sz w:val="24"/>
          <w:szCs w:val="24"/>
        </w:rPr>
        <w:t>as well as defining “Damage”.</w:t>
      </w:r>
    </w:p>
    <w:p w:rsidR="004F7A23" w:rsidRDefault="004F7A23" w:rsidP="00EE28CE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Once a claim is filed, the Government has the burden of proof that the e</w:t>
      </w:r>
      <w:r w:rsidR="00EE28CE">
        <w:rPr>
          <w:sz w:val="24"/>
          <w:szCs w:val="24"/>
        </w:rPr>
        <w:t>xaction</w:t>
      </w:r>
      <w:r>
        <w:rPr>
          <w:sz w:val="24"/>
          <w:szCs w:val="24"/>
        </w:rPr>
        <w:t xml:space="preserve"> has an essential nexus to a legitimate publ</w:t>
      </w:r>
      <w:r w:rsidR="00EB30EE">
        <w:rPr>
          <w:sz w:val="24"/>
          <w:szCs w:val="24"/>
        </w:rPr>
        <w:t xml:space="preserve">ic purpose and is roughly proportionate to the </w:t>
      </w:r>
      <w:r w:rsidR="00EB30EE">
        <w:rPr>
          <w:sz w:val="24"/>
          <w:szCs w:val="24"/>
        </w:rPr>
        <w:lastRenderedPageBreak/>
        <w:t xml:space="preserve">impacts </w:t>
      </w:r>
      <w:r w:rsidR="001B524D">
        <w:rPr>
          <w:sz w:val="24"/>
          <w:szCs w:val="24"/>
        </w:rPr>
        <w:t>of the proposed</w:t>
      </w:r>
      <w:r>
        <w:rPr>
          <w:sz w:val="24"/>
          <w:szCs w:val="24"/>
        </w:rPr>
        <w:t xml:space="preserve"> use that </w:t>
      </w:r>
      <w:r w:rsidR="00EB30EE">
        <w:rPr>
          <w:sz w:val="24"/>
          <w:szCs w:val="24"/>
        </w:rPr>
        <w:t>the Government is seeking to avoid, minimize or mitigate</w:t>
      </w:r>
      <w:r>
        <w:rPr>
          <w:sz w:val="24"/>
          <w:szCs w:val="24"/>
        </w:rPr>
        <w:t xml:space="preserve">.  The property owner has the burden of proving damages resulting from the </w:t>
      </w:r>
      <w:r w:rsidR="00EB30EE">
        <w:rPr>
          <w:sz w:val="24"/>
          <w:szCs w:val="24"/>
        </w:rPr>
        <w:t>governmental exaction (such as diminution in</w:t>
      </w:r>
      <w:r>
        <w:rPr>
          <w:sz w:val="24"/>
          <w:szCs w:val="24"/>
        </w:rPr>
        <w:t xml:space="preserve"> fair market value</w:t>
      </w:r>
      <w:r w:rsidR="00EB30EE">
        <w:rPr>
          <w:sz w:val="24"/>
          <w:szCs w:val="24"/>
        </w:rPr>
        <w:t xml:space="preserve"> or the amount of the fee or costs</w:t>
      </w:r>
      <w:r>
        <w:rPr>
          <w:sz w:val="24"/>
          <w:szCs w:val="24"/>
        </w:rPr>
        <w:t xml:space="preserve"> that exc</w:t>
      </w:r>
      <w:r w:rsidR="00797FE9">
        <w:rPr>
          <w:sz w:val="24"/>
          <w:szCs w:val="24"/>
        </w:rPr>
        <w:t>eeds what is p</w:t>
      </w:r>
      <w:r>
        <w:rPr>
          <w:sz w:val="24"/>
          <w:szCs w:val="24"/>
        </w:rPr>
        <w:t>ermi</w:t>
      </w:r>
      <w:r w:rsidR="00797FE9">
        <w:rPr>
          <w:sz w:val="24"/>
          <w:szCs w:val="24"/>
        </w:rPr>
        <w:t>t</w:t>
      </w:r>
      <w:r>
        <w:rPr>
          <w:sz w:val="24"/>
          <w:szCs w:val="24"/>
        </w:rPr>
        <w:t>ted</w:t>
      </w:r>
      <w:r w:rsidR="00797FE9">
        <w:rPr>
          <w:sz w:val="24"/>
          <w:szCs w:val="24"/>
        </w:rPr>
        <w:t>.</w:t>
      </w:r>
    </w:p>
    <w:p w:rsidR="00797FE9" w:rsidRDefault="00797FE9" w:rsidP="00EE28CE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Prevailing party attorney fees are allowed under most conditions.</w:t>
      </w:r>
    </w:p>
    <w:p w:rsidR="00797FE9" w:rsidRDefault="00797FE9" w:rsidP="00EE28CE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Sovereign immunity is waived for the Plaintiff to maintain the suite or recover damages.</w:t>
      </w:r>
    </w:p>
    <w:p w:rsidR="00797FE9" w:rsidRDefault="00797FE9" w:rsidP="00EE28CE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Does not apply to</w:t>
      </w:r>
      <w:r w:rsidR="00EB30EE">
        <w:rPr>
          <w:sz w:val="24"/>
          <w:szCs w:val="24"/>
        </w:rPr>
        <w:t>:</w:t>
      </w:r>
      <w:r>
        <w:rPr>
          <w:sz w:val="24"/>
          <w:szCs w:val="24"/>
        </w:rPr>
        <w:t xml:space="preserve"> Impact Fee</w:t>
      </w:r>
      <w:r w:rsidR="00EB30EE">
        <w:rPr>
          <w:sz w:val="24"/>
          <w:szCs w:val="24"/>
        </w:rPr>
        <w:t xml:space="preserve">s, Non-Ad Valorum assessments, and </w:t>
      </w:r>
      <w:r>
        <w:rPr>
          <w:sz w:val="24"/>
          <w:szCs w:val="24"/>
        </w:rPr>
        <w:t>FLOOD maps required by FEMA.</w:t>
      </w:r>
    </w:p>
    <w:p w:rsidR="001B524D" w:rsidRDefault="001B524D" w:rsidP="00EE28CE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Allows</w:t>
      </w:r>
      <w:r w:rsidR="00EB30EE">
        <w:rPr>
          <w:sz w:val="24"/>
          <w:szCs w:val="24"/>
        </w:rPr>
        <w:t xml:space="preserve"> settlement agreements under Bert Harris, Jr.</w:t>
      </w:r>
      <w:r w:rsidR="00F52E9F">
        <w:rPr>
          <w:sz w:val="24"/>
          <w:szCs w:val="24"/>
        </w:rPr>
        <w:t xml:space="preserve"> Act to </w:t>
      </w:r>
      <w:r>
        <w:rPr>
          <w:sz w:val="24"/>
          <w:szCs w:val="24"/>
        </w:rPr>
        <w:t>be entered into at any time (not just before suit in filed</w:t>
      </w:r>
      <w:r w:rsidR="00EB30EE">
        <w:rPr>
          <w:sz w:val="24"/>
          <w:szCs w:val="24"/>
        </w:rPr>
        <w:t xml:space="preserve"> as such cases have required</w:t>
      </w:r>
      <w:r>
        <w:rPr>
          <w:sz w:val="24"/>
          <w:szCs w:val="24"/>
        </w:rPr>
        <w:t>).</w:t>
      </w:r>
    </w:p>
    <w:p w:rsidR="00797FE9" w:rsidRDefault="00797FE9" w:rsidP="00552863">
      <w:pPr>
        <w:jc w:val="both"/>
        <w:rPr>
          <w:sz w:val="24"/>
          <w:szCs w:val="24"/>
        </w:rPr>
      </w:pPr>
    </w:p>
    <w:p w:rsidR="00797FE9" w:rsidRDefault="00797FE9" w:rsidP="00F52E9F">
      <w:pPr>
        <w:jc w:val="both"/>
        <w:rPr>
          <w:sz w:val="24"/>
          <w:szCs w:val="24"/>
        </w:rPr>
      </w:pPr>
      <w:r w:rsidRPr="00F52E9F">
        <w:rPr>
          <w:b/>
          <w:sz w:val="24"/>
          <w:szCs w:val="24"/>
        </w:rPr>
        <w:t>SB 466 – Chapter 553, Alarm Systems</w:t>
      </w:r>
      <w:r w:rsidR="00313946">
        <w:rPr>
          <w:sz w:val="24"/>
          <w:szCs w:val="24"/>
        </w:rPr>
        <w:t>: Effective: July 1, 2015 (</w:t>
      </w:r>
      <w:r w:rsidR="00313946" w:rsidRPr="00CF76B3">
        <w:rPr>
          <w:b/>
          <w:sz w:val="24"/>
          <w:szCs w:val="24"/>
        </w:rPr>
        <w:t>Chapter 2015-50</w:t>
      </w:r>
      <w:r w:rsidR="00F7624E" w:rsidRPr="00CF76B3">
        <w:rPr>
          <w:b/>
          <w:sz w:val="24"/>
          <w:szCs w:val="24"/>
        </w:rPr>
        <w:t>, LO</w:t>
      </w:r>
      <w:r w:rsidR="00313946" w:rsidRPr="00CF76B3">
        <w:rPr>
          <w:b/>
          <w:sz w:val="24"/>
          <w:szCs w:val="24"/>
        </w:rPr>
        <w:t>F</w:t>
      </w:r>
      <w:r w:rsidR="00313946">
        <w:rPr>
          <w:sz w:val="24"/>
          <w:szCs w:val="24"/>
        </w:rPr>
        <w:t xml:space="preserve">): </w:t>
      </w:r>
    </w:p>
    <w:p w:rsidR="00F52E9F" w:rsidRPr="00F52E9F" w:rsidRDefault="00F52E9F" w:rsidP="00F52E9F">
      <w:pPr>
        <w:jc w:val="both"/>
        <w:rPr>
          <w:sz w:val="24"/>
          <w:szCs w:val="24"/>
        </w:rPr>
      </w:pPr>
    </w:p>
    <w:p w:rsidR="00797FE9" w:rsidRDefault="00797FE9" w:rsidP="00EB30EE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Amends the definition of “low voltage alarms under §489.505(l) to </w:t>
      </w:r>
      <w:r>
        <w:rPr>
          <w:sz w:val="24"/>
          <w:szCs w:val="24"/>
          <w:u w:val="single"/>
        </w:rPr>
        <w:t>EXCLUDE</w:t>
      </w:r>
      <w:r>
        <w:rPr>
          <w:sz w:val="24"/>
          <w:szCs w:val="24"/>
        </w:rPr>
        <w:t xml:space="preserve"> “Wireless” alarm</w:t>
      </w:r>
      <w:r w:rsidR="00EB30EE">
        <w:rPr>
          <w:sz w:val="24"/>
          <w:szCs w:val="24"/>
        </w:rPr>
        <w:t xml:space="preserve"> (as newly defined</w:t>
      </w:r>
      <w:r w:rsidR="00313946">
        <w:rPr>
          <w:sz w:val="24"/>
          <w:szCs w:val="24"/>
        </w:rPr>
        <w:t xml:space="preserve"> in this bill</w:t>
      </w:r>
      <w:r w:rsidR="00EB30EE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797FE9" w:rsidRDefault="00797FE9" w:rsidP="00552863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 permits are required for wireless system.</w:t>
      </w:r>
    </w:p>
    <w:p w:rsidR="00797FE9" w:rsidRDefault="00797FE9" w:rsidP="00552863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 fees are required for wireless system.</w:t>
      </w:r>
    </w:p>
    <w:p w:rsidR="00797FE9" w:rsidRDefault="00EB30EE" w:rsidP="00552863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Reduce fees to $40 for h</w:t>
      </w:r>
      <w:r w:rsidR="00797FE9">
        <w:rPr>
          <w:sz w:val="24"/>
          <w:szCs w:val="24"/>
        </w:rPr>
        <w:t>ardwire systems.</w:t>
      </w:r>
    </w:p>
    <w:p w:rsidR="00797FE9" w:rsidRDefault="00797FE9" w:rsidP="00552863">
      <w:pPr>
        <w:jc w:val="both"/>
        <w:rPr>
          <w:sz w:val="24"/>
          <w:szCs w:val="24"/>
        </w:rPr>
      </w:pPr>
    </w:p>
    <w:p w:rsidR="005E5B90" w:rsidRDefault="00F7624E" w:rsidP="00F52E9F">
      <w:pPr>
        <w:jc w:val="both"/>
        <w:rPr>
          <w:sz w:val="24"/>
          <w:szCs w:val="24"/>
        </w:rPr>
      </w:pPr>
      <w:r w:rsidRPr="00F52E9F">
        <w:rPr>
          <w:b/>
          <w:sz w:val="24"/>
          <w:szCs w:val="24"/>
        </w:rPr>
        <w:t xml:space="preserve">SB 778 – Chapter 255 </w:t>
      </w:r>
      <w:r w:rsidR="005E5B90" w:rsidRPr="00F52E9F">
        <w:rPr>
          <w:b/>
          <w:sz w:val="24"/>
          <w:szCs w:val="24"/>
        </w:rPr>
        <w:t>Public Proj</w:t>
      </w:r>
      <w:r w:rsidRPr="00F52E9F">
        <w:rPr>
          <w:b/>
          <w:sz w:val="24"/>
          <w:szCs w:val="24"/>
        </w:rPr>
        <w:t>ects</w:t>
      </w:r>
      <w:r w:rsidR="005E5B90" w:rsidRPr="00F52E9F">
        <w:rPr>
          <w:sz w:val="24"/>
          <w:szCs w:val="24"/>
        </w:rPr>
        <w:t>:</w:t>
      </w:r>
      <w:r w:rsidR="00313946">
        <w:rPr>
          <w:sz w:val="24"/>
          <w:szCs w:val="24"/>
        </w:rPr>
        <w:t xml:space="preserve"> Effective: July 1, 2015 (</w:t>
      </w:r>
      <w:r w:rsidR="00313946" w:rsidRPr="00CF76B3">
        <w:rPr>
          <w:b/>
          <w:sz w:val="24"/>
          <w:szCs w:val="24"/>
        </w:rPr>
        <w:t>Chapter 2015-63, LOF</w:t>
      </w:r>
      <w:r w:rsidR="00313946">
        <w:rPr>
          <w:sz w:val="24"/>
          <w:szCs w:val="24"/>
        </w:rPr>
        <w:t xml:space="preserve">):  </w:t>
      </w:r>
    </w:p>
    <w:p w:rsidR="00F52E9F" w:rsidRPr="00F52E9F" w:rsidRDefault="00F52E9F" w:rsidP="00F52E9F">
      <w:pPr>
        <w:jc w:val="both"/>
        <w:rPr>
          <w:sz w:val="24"/>
          <w:szCs w:val="24"/>
        </w:rPr>
      </w:pPr>
    </w:p>
    <w:p w:rsidR="005E5B90" w:rsidRDefault="00EB30EE" w:rsidP="00EB30EE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Note: All </w:t>
      </w:r>
      <w:r w:rsidR="005E5B90">
        <w:rPr>
          <w:sz w:val="24"/>
          <w:szCs w:val="24"/>
        </w:rPr>
        <w:t>State, county, municip</w:t>
      </w:r>
      <w:r>
        <w:rPr>
          <w:sz w:val="24"/>
          <w:szCs w:val="24"/>
        </w:rPr>
        <w:t>al and other public entity</w:t>
      </w:r>
      <w:r w:rsidR="005E5B90">
        <w:rPr>
          <w:sz w:val="24"/>
          <w:szCs w:val="24"/>
        </w:rPr>
        <w:t xml:space="preserve"> contracts for construction projects estimated to cost in ex</w:t>
      </w:r>
      <w:r>
        <w:rPr>
          <w:sz w:val="24"/>
          <w:szCs w:val="24"/>
        </w:rPr>
        <w:t xml:space="preserve">cess of $200,000, and all </w:t>
      </w:r>
      <w:r w:rsidR="005E5B90">
        <w:rPr>
          <w:sz w:val="24"/>
          <w:szCs w:val="24"/>
        </w:rPr>
        <w:t>contract</w:t>
      </w:r>
      <w:r>
        <w:rPr>
          <w:sz w:val="24"/>
          <w:szCs w:val="24"/>
        </w:rPr>
        <w:t xml:space="preserve">s to IMPROVE a public building </w:t>
      </w:r>
      <w:r w:rsidR="005E5B90">
        <w:rPr>
          <w:sz w:val="24"/>
          <w:szCs w:val="24"/>
        </w:rPr>
        <w:t>with projected costs in excess of $300,000</w:t>
      </w:r>
      <w:r>
        <w:rPr>
          <w:sz w:val="24"/>
          <w:szCs w:val="24"/>
        </w:rPr>
        <w:t>,</w:t>
      </w:r>
      <w:r w:rsidR="005E5B90">
        <w:rPr>
          <w:sz w:val="24"/>
          <w:szCs w:val="24"/>
        </w:rPr>
        <w:t xml:space="preserve"> must be “Competitively bid”, but local governments may establish by ordinance and renovation proceedings for the bidding process.</w:t>
      </w:r>
    </w:p>
    <w:p w:rsidR="005E5B90" w:rsidRDefault="00EB30EE" w:rsidP="00552863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This b</w:t>
      </w:r>
      <w:r w:rsidR="005E5B90">
        <w:rPr>
          <w:sz w:val="24"/>
          <w:szCs w:val="24"/>
        </w:rPr>
        <w:t xml:space="preserve">ill create new §255.0991 which </w:t>
      </w:r>
      <w:r>
        <w:rPr>
          <w:sz w:val="24"/>
          <w:szCs w:val="24"/>
        </w:rPr>
        <w:t xml:space="preserve">prohibits local preferences based on the contractor: </w:t>
      </w:r>
    </w:p>
    <w:p w:rsidR="005E5B90" w:rsidRPr="00EB30EE" w:rsidRDefault="005E5B90" w:rsidP="00EB30EE">
      <w:pPr>
        <w:pStyle w:val="ListParagraph"/>
        <w:numPr>
          <w:ilvl w:val="1"/>
          <w:numId w:val="7"/>
        </w:numPr>
        <w:jc w:val="both"/>
        <w:rPr>
          <w:sz w:val="24"/>
          <w:szCs w:val="24"/>
        </w:rPr>
      </w:pPr>
      <w:r w:rsidRPr="00EB30EE">
        <w:rPr>
          <w:sz w:val="24"/>
          <w:szCs w:val="24"/>
        </w:rPr>
        <w:t xml:space="preserve">Maintaining an office or </w:t>
      </w:r>
      <w:r w:rsidR="00EB30EE">
        <w:rPr>
          <w:sz w:val="24"/>
          <w:szCs w:val="24"/>
        </w:rPr>
        <w:t>place of business within that jurisdiction</w:t>
      </w:r>
      <w:r w:rsidRPr="00EB30EE">
        <w:rPr>
          <w:sz w:val="24"/>
          <w:szCs w:val="24"/>
        </w:rPr>
        <w:t>.</w:t>
      </w:r>
    </w:p>
    <w:p w:rsidR="005E5B90" w:rsidRDefault="005E5B90" w:rsidP="00552863">
      <w:pPr>
        <w:pStyle w:val="ListParagraph"/>
        <w:numPr>
          <w:ilvl w:val="1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Hiring employees or su</w:t>
      </w:r>
      <w:r w:rsidR="00EB30EE">
        <w:rPr>
          <w:sz w:val="24"/>
          <w:szCs w:val="24"/>
        </w:rPr>
        <w:t>bcontractors from within that jurisdiction</w:t>
      </w:r>
      <w:r>
        <w:rPr>
          <w:sz w:val="24"/>
          <w:szCs w:val="24"/>
        </w:rPr>
        <w:t>.</w:t>
      </w:r>
    </w:p>
    <w:p w:rsidR="005E5B90" w:rsidRDefault="005E5B90" w:rsidP="00552863">
      <w:pPr>
        <w:pStyle w:val="ListParagraph"/>
        <w:numPr>
          <w:ilvl w:val="1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Making a prior payment of </w:t>
      </w:r>
      <w:r w:rsidR="00EB30EE">
        <w:rPr>
          <w:sz w:val="24"/>
          <w:szCs w:val="24"/>
        </w:rPr>
        <w:t>local t</w:t>
      </w:r>
      <w:r>
        <w:rPr>
          <w:sz w:val="24"/>
          <w:szCs w:val="24"/>
        </w:rPr>
        <w:t xml:space="preserve">axes, assessments, </w:t>
      </w:r>
      <w:r w:rsidR="00EB30EE">
        <w:rPr>
          <w:sz w:val="24"/>
          <w:szCs w:val="24"/>
        </w:rPr>
        <w:t>or duties within that jurisdiction</w:t>
      </w:r>
      <w:r>
        <w:rPr>
          <w:sz w:val="24"/>
          <w:szCs w:val="24"/>
        </w:rPr>
        <w:t>.</w:t>
      </w:r>
    </w:p>
    <w:p w:rsidR="005E5B90" w:rsidRPr="005E5B90" w:rsidRDefault="005E5B90" w:rsidP="00EB30EE">
      <w:pPr>
        <w:ind w:left="720"/>
        <w:jc w:val="both"/>
        <w:rPr>
          <w:sz w:val="24"/>
          <w:szCs w:val="24"/>
        </w:rPr>
      </w:pPr>
      <w:r w:rsidRPr="00EB30EE">
        <w:rPr>
          <w:b/>
          <w:sz w:val="24"/>
          <w:szCs w:val="24"/>
        </w:rPr>
        <w:t xml:space="preserve">If </w:t>
      </w:r>
      <w:r>
        <w:rPr>
          <w:sz w:val="24"/>
          <w:szCs w:val="24"/>
        </w:rPr>
        <w:t xml:space="preserve">50% or more of the cost will be paid from state appropriated finds (exclusive of any federal funds) </w:t>
      </w:r>
    </w:p>
    <w:p w:rsidR="005E5B90" w:rsidRDefault="005E5B90" w:rsidP="00552863">
      <w:pPr>
        <w:jc w:val="both"/>
        <w:rPr>
          <w:sz w:val="24"/>
          <w:szCs w:val="24"/>
        </w:rPr>
      </w:pPr>
    </w:p>
    <w:p w:rsidR="005E5B90" w:rsidRDefault="005E5B90" w:rsidP="00F52E9F">
      <w:pPr>
        <w:jc w:val="both"/>
        <w:rPr>
          <w:sz w:val="24"/>
          <w:szCs w:val="24"/>
        </w:rPr>
      </w:pPr>
      <w:r w:rsidRPr="00F52E9F">
        <w:rPr>
          <w:b/>
          <w:sz w:val="24"/>
          <w:szCs w:val="24"/>
        </w:rPr>
        <w:t>SB 1151 – Buil</w:t>
      </w:r>
      <w:r w:rsidR="00F7624E" w:rsidRPr="00F52E9F">
        <w:rPr>
          <w:b/>
          <w:sz w:val="24"/>
          <w:szCs w:val="24"/>
        </w:rPr>
        <w:t>ding Code</w:t>
      </w:r>
      <w:r w:rsidR="00F52E9F">
        <w:rPr>
          <w:sz w:val="24"/>
          <w:szCs w:val="24"/>
        </w:rPr>
        <w:t xml:space="preserve">, </w:t>
      </w:r>
      <w:r w:rsidR="00F7624E" w:rsidRPr="00F52E9F">
        <w:rPr>
          <w:sz w:val="24"/>
          <w:szCs w:val="24"/>
        </w:rPr>
        <w:t>Master</w:t>
      </w:r>
      <w:r w:rsidRPr="00F52E9F">
        <w:rPr>
          <w:sz w:val="24"/>
          <w:szCs w:val="24"/>
        </w:rPr>
        <w:t xml:space="preserve"> Permitting</w:t>
      </w:r>
      <w:r w:rsidR="00313946">
        <w:rPr>
          <w:sz w:val="24"/>
          <w:szCs w:val="24"/>
        </w:rPr>
        <w:t xml:space="preserve"> Program: Effective: July 1, 2015 </w:t>
      </w:r>
      <w:r w:rsidR="00CF76B3">
        <w:rPr>
          <w:sz w:val="24"/>
          <w:szCs w:val="24"/>
        </w:rPr>
        <w:t>(</w:t>
      </w:r>
      <w:r w:rsidR="00CF76B3" w:rsidRPr="00CF76B3">
        <w:rPr>
          <w:b/>
          <w:sz w:val="24"/>
          <w:szCs w:val="24"/>
        </w:rPr>
        <w:t>Chapter 2015-141</w:t>
      </w:r>
      <w:r w:rsidR="00F7624E" w:rsidRPr="00CF76B3">
        <w:rPr>
          <w:b/>
          <w:sz w:val="24"/>
          <w:szCs w:val="24"/>
        </w:rPr>
        <w:t>, LO</w:t>
      </w:r>
      <w:r w:rsidR="00CF76B3" w:rsidRPr="00CF76B3">
        <w:rPr>
          <w:b/>
          <w:sz w:val="24"/>
          <w:szCs w:val="24"/>
        </w:rPr>
        <w:t>F</w:t>
      </w:r>
      <w:r w:rsidR="002C0040">
        <w:rPr>
          <w:sz w:val="24"/>
          <w:szCs w:val="24"/>
        </w:rPr>
        <w:t xml:space="preserve">) </w:t>
      </w:r>
      <w:r w:rsidR="00CF76B3" w:rsidRPr="00CF76B3">
        <w:rPr>
          <w:b/>
          <w:sz w:val="24"/>
          <w:szCs w:val="24"/>
        </w:rPr>
        <w:t>SIGNED 6.12.15</w:t>
      </w:r>
    </w:p>
    <w:p w:rsidR="00F52E9F" w:rsidRPr="00F52E9F" w:rsidRDefault="00F52E9F" w:rsidP="00F52E9F">
      <w:pPr>
        <w:jc w:val="both"/>
        <w:rPr>
          <w:sz w:val="24"/>
          <w:szCs w:val="24"/>
        </w:rPr>
      </w:pPr>
    </w:p>
    <w:p w:rsidR="005E5B90" w:rsidRDefault="001B524D" w:rsidP="00EB30EE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Create</w:t>
      </w:r>
      <w:r w:rsidR="00EB30EE">
        <w:rPr>
          <w:sz w:val="24"/>
          <w:szCs w:val="24"/>
        </w:rPr>
        <w:t>s new section 553.794: If</w:t>
      </w:r>
      <w:r>
        <w:rPr>
          <w:sz w:val="24"/>
          <w:szCs w:val="24"/>
        </w:rPr>
        <w:t xml:space="preserve"> a licensed contractor (Div</w:t>
      </w:r>
      <w:r w:rsidR="00EB30EE">
        <w:rPr>
          <w:sz w:val="24"/>
          <w:szCs w:val="24"/>
        </w:rPr>
        <w:t xml:space="preserve">ision 1) so </w:t>
      </w:r>
      <w:r>
        <w:rPr>
          <w:sz w:val="24"/>
          <w:szCs w:val="24"/>
        </w:rPr>
        <w:t>request</w:t>
      </w:r>
      <w:r w:rsidR="00EB30EE">
        <w:rPr>
          <w:sz w:val="24"/>
          <w:szCs w:val="24"/>
        </w:rPr>
        <w:t>s</w:t>
      </w:r>
      <w:r>
        <w:rPr>
          <w:sz w:val="24"/>
          <w:szCs w:val="24"/>
        </w:rPr>
        <w:t xml:space="preserve"> in writing, </w:t>
      </w:r>
      <w:r w:rsidR="00EB30EE">
        <w:rPr>
          <w:sz w:val="24"/>
          <w:szCs w:val="24"/>
        </w:rPr>
        <w:t>then within six (6) months the building code administrator is required to</w:t>
      </w:r>
      <w:r>
        <w:rPr>
          <w:sz w:val="24"/>
          <w:szCs w:val="24"/>
        </w:rPr>
        <w:t xml:space="preserve"> create a residential master</w:t>
      </w:r>
      <w:r w:rsidR="00EB30EE">
        <w:rPr>
          <w:sz w:val="24"/>
          <w:szCs w:val="24"/>
        </w:rPr>
        <w:t xml:space="preserve"> building permit program.</w:t>
      </w:r>
    </w:p>
    <w:p w:rsidR="001B524D" w:rsidRDefault="001B524D" w:rsidP="00552863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Designed to achieve standardization and reduce time spent by local building departments.</w:t>
      </w:r>
    </w:p>
    <w:p w:rsidR="001B524D" w:rsidRDefault="001B524D" w:rsidP="00552863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Builder must submit a gen</w:t>
      </w:r>
      <w:r w:rsidR="00EB30EE">
        <w:rPr>
          <w:sz w:val="24"/>
          <w:szCs w:val="24"/>
        </w:rPr>
        <w:t>eral construction plan, with truss</w:t>
      </w:r>
      <w:r>
        <w:rPr>
          <w:sz w:val="24"/>
          <w:szCs w:val="24"/>
        </w:rPr>
        <w:t xml:space="preserve"> specification</w:t>
      </w:r>
      <w:r w:rsidR="00EB30EE">
        <w:rPr>
          <w:sz w:val="24"/>
          <w:szCs w:val="24"/>
        </w:rPr>
        <w:t>,</w:t>
      </w:r>
      <w:r>
        <w:rPr>
          <w:sz w:val="24"/>
          <w:szCs w:val="24"/>
        </w:rPr>
        <w:t xml:space="preserve"> signed and sealed by an engineer, and an energy performance calculation.</w:t>
      </w:r>
    </w:p>
    <w:p w:rsidR="001B524D" w:rsidRDefault="001B524D" w:rsidP="00552863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Model design</w:t>
      </w:r>
      <w:r w:rsidR="00EB30EE">
        <w:rPr>
          <w:sz w:val="24"/>
          <w:szCs w:val="24"/>
        </w:rPr>
        <w:t>s</w:t>
      </w:r>
      <w:r>
        <w:rPr>
          <w:sz w:val="24"/>
          <w:szCs w:val="24"/>
        </w:rPr>
        <w:t xml:space="preserve"> may have up to four (4) </w:t>
      </w:r>
      <w:r w:rsidR="00EB30EE">
        <w:rPr>
          <w:sz w:val="24"/>
          <w:szCs w:val="24"/>
        </w:rPr>
        <w:t xml:space="preserve">different </w:t>
      </w:r>
      <w:r>
        <w:rPr>
          <w:sz w:val="24"/>
          <w:szCs w:val="24"/>
        </w:rPr>
        <w:t>exterior elevations, with not more than three (3) altera</w:t>
      </w:r>
      <w:r w:rsidR="00EB30EE">
        <w:rPr>
          <w:sz w:val="24"/>
          <w:szCs w:val="24"/>
        </w:rPr>
        <w:t xml:space="preserve">tive garage layouts of </w:t>
      </w:r>
      <w:r>
        <w:rPr>
          <w:sz w:val="24"/>
          <w:szCs w:val="24"/>
        </w:rPr>
        <w:t>no more than 3 cars.</w:t>
      </w:r>
    </w:p>
    <w:p w:rsidR="00011064" w:rsidRPr="00F52E9F" w:rsidRDefault="00F52E9F" w:rsidP="00552863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</w:t>
      </w:r>
      <w:r w:rsidR="001B524D">
        <w:rPr>
          <w:sz w:val="24"/>
          <w:szCs w:val="24"/>
        </w:rPr>
        <w:t>or each home</w:t>
      </w:r>
      <w:r>
        <w:rPr>
          <w:sz w:val="24"/>
          <w:szCs w:val="24"/>
        </w:rPr>
        <w:t xml:space="preserve"> to be constructed, a complete </w:t>
      </w:r>
      <w:r w:rsidR="001B524D">
        <w:rPr>
          <w:sz w:val="24"/>
          <w:szCs w:val="24"/>
        </w:rPr>
        <w:t>specific permit application must be filed</w:t>
      </w:r>
      <w:r>
        <w:rPr>
          <w:sz w:val="24"/>
          <w:szCs w:val="24"/>
        </w:rPr>
        <w:t>,</w:t>
      </w:r>
      <w:r w:rsidR="001B524D">
        <w:rPr>
          <w:sz w:val="24"/>
          <w:szCs w:val="24"/>
        </w:rPr>
        <w:t xml:space="preserve"> reflecting the master permit number.</w:t>
      </w:r>
    </w:p>
    <w:sectPr w:rsidR="00011064" w:rsidRPr="00F52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D6A6A"/>
    <w:multiLevelType w:val="hybridMultilevel"/>
    <w:tmpl w:val="8B6AD2CA"/>
    <w:lvl w:ilvl="0" w:tplc="1602CE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C6C88"/>
    <w:multiLevelType w:val="hybridMultilevel"/>
    <w:tmpl w:val="E20E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C4B45"/>
    <w:multiLevelType w:val="hybridMultilevel"/>
    <w:tmpl w:val="AD8414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84705"/>
    <w:multiLevelType w:val="hybridMultilevel"/>
    <w:tmpl w:val="D9A2AAF6"/>
    <w:lvl w:ilvl="0" w:tplc="28B628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429A5"/>
    <w:multiLevelType w:val="hybridMultilevel"/>
    <w:tmpl w:val="B96CEF96"/>
    <w:lvl w:ilvl="0" w:tplc="0D945BFE">
      <w:start w:val="1"/>
      <w:numFmt w:val="decimal"/>
      <w:lvlText w:val="%1."/>
      <w:lvlJc w:val="left"/>
      <w:pPr>
        <w:ind w:left="180" w:hanging="706"/>
        <w:jc w:val="right"/>
      </w:pPr>
      <w:rPr>
        <w:rFonts w:ascii="Times New Roman" w:eastAsia="Times New Roman" w:hAnsi="Times New Roman" w:hint="default"/>
        <w:w w:val="105"/>
        <w:sz w:val="23"/>
        <w:szCs w:val="23"/>
      </w:rPr>
    </w:lvl>
    <w:lvl w:ilvl="1" w:tplc="AEA6C442">
      <w:start w:val="1"/>
      <w:numFmt w:val="bullet"/>
      <w:lvlText w:val="•"/>
      <w:lvlJc w:val="left"/>
      <w:pPr>
        <w:ind w:left="1058" w:hanging="706"/>
      </w:pPr>
      <w:rPr>
        <w:rFonts w:hint="default"/>
      </w:rPr>
    </w:lvl>
    <w:lvl w:ilvl="2" w:tplc="C84C9792">
      <w:start w:val="1"/>
      <w:numFmt w:val="bullet"/>
      <w:lvlText w:val="•"/>
      <w:lvlJc w:val="left"/>
      <w:pPr>
        <w:ind w:left="1936" w:hanging="706"/>
      </w:pPr>
      <w:rPr>
        <w:rFonts w:hint="default"/>
      </w:rPr>
    </w:lvl>
    <w:lvl w:ilvl="3" w:tplc="6BC84288">
      <w:start w:val="1"/>
      <w:numFmt w:val="bullet"/>
      <w:lvlText w:val="•"/>
      <w:lvlJc w:val="left"/>
      <w:pPr>
        <w:ind w:left="2814" w:hanging="706"/>
      </w:pPr>
      <w:rPr>
        <w:rFonts w:hint="default"/>
      </w:rPr>
    </w:lvl>
    <w:lvl w:ilvl="4" w:tplc="CF26849A">
      <w:start w:val="1"/>
      <w:numFmt w:val="bullet"/>
      <w:lvlText w:val="•"/>
      <w:lvlJc w:val="left"/>
      <w:pPr>
        <w:ind w:left="3692" w:hanging="706"/>
      </w:pPr>
      <w:rPr>
        <w:rFonts w:hint="default"/>
      </w:rPr>
    </w:lvl>
    <w:lvl w:ilvl="5" w:tplc="8B4EA944">
      <w:start w:val="1"/>
      <w:numFmt w:val="bullet"/>
      <w:lvlText w:val="•"/>
      <w:lvlJc w:val="left"/>
      <w:pPr>
        <w:ind w:left="4570" w:hanging="706"/>
      </w:pPr>
      <w:rPr>
        <w:rFonts w:hint="default"/>
      </w:rPr>
    </w:lvl>
    <w:lvl w:ilvl="6" w:tplc="32EE5390">
      <w:start w:val="1"/>
      <w:numFmt w:val="bullet"/>
      <w:lvlText w:val="•"/>
      <w:lvlJc w:val="left"/>
      <w:pPr>
        <w:ind w:left="5448" w:hanging="706"/>
      </w:pPr>
      <w:rPr>
        <w:rFonts w:hint="default"/>
      </w:rPr>
    </w:lvl>
    <w:lvl w:ilvl="7" w:tplc="4E0C71AE">
      <w:start w:val="1"/>
      <w:numFmt w:val="bullet"/>
      <w:lvlText w:val="•"/>
      <w:lvlJc w:val="left"/>
      <w:pPr>
        <w:ind w:left="6326" w:hanging="706"/>
      </w:pPr>
      <w:rPr>
        <w:rFonts w:hint="default"/>
      </w:rPr>
    </w:lvl>
    <w:lvl w:ilvl="8" w:tplc="A66643F0">
      <w:start w:val="1"/>
      <w:numFmt w:val="bullet"/>
      <w:lvlText w:val="•"/>
      <w:lvlJc w:val="left"/>
      <w:pPr>
        <w:ind w:left="7204" w:hanging="706"/>
      </w:pPr>
      <w:rPr>
        <w:rFonts w:hint="default"/>
      </w:rPr>
    </w:lvl>
  </w:abstractNum>
  <w:abstractNum w:abstractNumId="5" w15:restartNumberingAfterBreak="0">
    <w:nsid w:val="427A0F77"/>
    <w:multiLevelType w:val="hybridMultilevel"/>
    <w:tmpl w:val="DF86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80722"/>
    <w:multiLevelType w:val="hybridMultilevel"/>
    <w:tmpl w:val="3CF60DB8"/>
    <w:lvl w:ilvl="0" w:tplc="E8DE5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4F32CF"/>
    <w:multiLevelType w:val="hybridMultilevel"/>
    <w:tmpl w:val="A36CF7C4"/>
    <w:lvl w:ilvl="0" w:tplc="B4DAB0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A247E"/>
    <w:multiLevelType w:val="hybridMultilevel"/>
    <w:tmpl w:val="BBEA9134"/>
    <w:lvl w:ilvl="0" w:tplc="67FCA1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51C2BF6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B2C76"/>
    <w:multiLevelType w:val="hybridMultilevel"/>
    <w:tmpl w:val="35AC585A"/>
    <w:lvl w:ilvl="0" w:tplc="FD8A22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14C75"/>
    <w:multiLevelType w:val="hybridMultilevel"/>
    <w:tmpl w:val="888829DA"/>
    <w:lvl w:ilvl="0" w:tplc="06B80B96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A8"/>
    <w:rsid w:val="00011064"/>
    <w:rsid w:val="000B6DF7"/>
    <w:rsid w:val="001B524D"/>
    <w:rsid w:val="00252327"/>
    <w:rsid w:val="002C0040"/>
    <w:rsid w:val="00313946"/>
    <w:rsid w:val="00334016"/>
    <w:rsid w:val="0041046D"/>
    <w:rsid w:val="00473F91"/>
    <w:rsid w:val="004F7A23"/>
    <w:rsid w:val="00552863"/>
    <w:rsid w:val="005E5B90"/>
    <w:rsid w:val="006A26BF"/>
    <w:rsid w:val="0075273E"/>
    <w:rsid w:val="00797FE9"/>
    <w:rsid w:val="008657A8"/>
    <w:rsid w:val="008C32BC"/>
    <w:rsid w:val="0091727E"/>
    <w:rsid w:val="00B10DEC"/>
    <w:rsid w:val="00B95E79"/>
    <w:rsid w:val="00CC5A68"/>
    <w:rsid w:val="00CF76B3"/>
    <w:rsid w:val="00E252FE"/>
    <w:rsid w:val="00EB30EE"/>
    <w:rsid w:val="00EE28CE"/>
    <w:rsid w:val="00EF11A8"/>
    <w:rsid w:val="00F52E9F"/>
    <w:rsid w:val="00F7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2F1F17-97D7-485D-8117-E0482B96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6"/>
  </w:style>
  <w:style w:type="paragraph" w:styleId="Heading2">
    <w:name w:val="heading 2"/>
    <w:basedOn w:val="Normal"/>
    <w:link w:val="Heading2Char"/>
    <w:uiPriority w:val="1"/>
    <w:qFormat/>
    <w:rsid w:val="00B95E79"/>
    <w:pPr>
      <w:widowControl w:val="0"/>
      <w:ind w:left="132"/>
      <w:outlineLvl w:val="1"/>
    </w:pPr>
    <w:rPr>
      <w:rFonts w:ascii="Times New Roman" w:eastAsia="Times New Roman" w:hAnsi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57A8"/>
  </w:style>
  <w:style w:type="character" w:customStyle="1" w:styleId="Heading2Char">
    <w:name w:val="Heading 2 Char"/>
    <w:basedOn w:val="DefaultParagraphFont"/>
    <w:link w:val="Heading2"/>
    <w:uiPriority w:val="1"/>
    <w:rsid w:val="00B95E79"/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B95E79"/>
    <w:pPr>
      <w:widowContro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52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2B087-3843-4809-847F-80D8649C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 Office</dc:creator>
  <cp:lastModifiedBy>Michael Meyer</cp:lastModifiedBy>
  <cp:revision>2</cp:revision>
  <cp:lastPrinted>2015-07-15T20:20:00Z</cp:lastPrinted>
  <dcterms:created xsi:type="dcterms:W3CDTF">2015-07-16T20:07:00Z</dcterms:created>
  <dcterms:modified xsi:type="dcterms:W3CDTF">2015-07-16T20:07:00Z</dcterms:modified>
</cp:coreProperties>
</file>