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Theme="minorHAnsi" w:hAnsiTheme="minorHAnsi"/>
          <w:b/>
          <w:bCs/>
        </w:rPr>
      </w:pPr>
      <w:r>
        <w:rPr>
          <w:rFonts w:asciiTheme="minorHAnsi" w:hAnsiTheme="minorHAnsi"/>
          <w:b/>
          <w:bCs/>
        </w:rPr>
        <w:t>Webinar: March 16, 2015, 12 p.m. – Noon EST</w:t>
      </w:r>
    </w:p>
    <w:p>
      <w:pPr>
        <w:rPr>
          <w:rFonts w:asciiTheme="minorHAnsi" w:hAnsiTheme="minorHAnsi"/>
          <w:b/>
          <w:bCs/>
        </w:rPr>
      </w:pPr>
    </w:p>
    <w:p>
      <w:pPr>
        <w:rPr>
          <w:rFonts w:asciiTheme="minorHAnsi" w:hAnsiTheme="minorHAnsi"/>
          <w:b/>
          <w:bCs/>
        </w:rPr>
      </w:pPr>
      <w:r>
        <w:rPr>
          <w:rFonts w:asciiTheme="minorHAnsi" w:hAnsiTheme="minorHAnsi"/>
          <w:b/>
          <w:bCs/>
        </w:rPr>
        <w:t>Title:</w:t>
      </w:r>
    </w:p>
    <w:p>
      <w:pPr>
        <w:rPr>
          <w:rFonts w:asciiTheme="minorHAnsi" w:hAnsiTheme="minorHAnsi"/>
        </w:rPr>
      </w:pPr>
      <w:r>
        <w:rPr>
          <w:rFonts w:asciiTheme="minorHAnsi" w:hAnsiTheme="minorHAnsi"/>
        </w:rPr>
        <w:t xml:space="preserve">Data Breach Trends and Ethical Best Practices for Preparation and Response </w:t>
      </w:r>
    </w:p>
    <w:p>
      <w:pPr>
        <w:rPr>
          <w:rFonts w:asciiTheme="minorHAnsi" w:hAnsiTheme="minorHAnsi"/>
          <w:b/>
          <w:bCs/>
        </w:rPr>
      </w:pPr>
    </w:p>
    <w:p>
      <w:pPr>
        <w:rPr>
          <w:rFonts w:asciiTheme="minorHAnsi" w:hAnsiTheme="minorHAnsi"/>
          <w:b/>
          <w:bCs/>
        </w:rPr>
      </w:pPr>
      <w:r>
        <w:rPr>
          <w:rFonts w:asciiTheme="minorHAnsi" w:hAnsiTheme="minorHAnsi"/>
          <w:b/>
          <w:bCs/>
        </w:rPr>
        <w:t>Abstract Description:</w:t>
      </w:r>
    </w:p>
    <w:p>
      <w:pPr>
        <w:rPr>
          <w:rFonts w:asciiTheme="minorHAnsi" w:hAnsiTheme="minorHAnsi"/>
        </w:rPr>
      </w:pPr>
    </w:p>
    <w:p>
      <w:pPr>
        <w:rPr>
          <w:rFonts w:asciiTheme="minorHAnsi" w:hAnsiTheme="minorHAnsi"/>
        </w:rPr>
      </w:pPr>
      <w:r>
        <w:rPr>
          <w:rFonts w:asciiTheme="minorHAnsi" w:hAnsiTheme="minorHAnsi"/>
        </w:rPr>
        <w:t xml:space="preserve">The number of security incidents has swelled in recent years and so have the number of reportable data breaches.  Whether it is the commercial, retail, financial or healthcare sector, no industry is immune.  Assuming it is only a matter of when, not if, a data breach will happen to your client or your firm, this discussion will cover the latest trends with breaches that are occurring in several industry verticals as well as what some of the best strategies are to prepare for and respond to data breaches.  Preparing for and managing a data breach the right way will have a significant impact on mitigating the overall legal, reputational and financial damage to an organization.   </w:t>
      </w:r>
    </w:p>
    <w:p>
      <w:pPr>
        <w:rPr>
          <w:rFonts w:asciiTheme="minorHAnsi" w:hAnsiTheme="minorHAnsi"/>
        </w:rPr>
      </w:pPr>
    </w:p>
    <w:p>
      <w:pPr>
        <w:rPr>
          <w:rFonts w:asciiTheme="minorHAnsi" w:hAnsiTheme="minorHAnsi"/>
          <w:b/>
          <w:bCs/>
        </w:rPr>
      </w:pPr>
      <w:r>
        <w:rPr>
          <w:rFonts w:asciiTheme="minorHAnsi" w:hAnsiTheme="minorHAnsi"/>
          <w:b/>
          <w:bCs/>
        </w:rPr>
        <w:t>Learning Objectives:</w:t>
      </w:r>
    </w:p>
    <w:p>
      <w:pPr>
        <w:pStyle w:val="ListParagraph"/>
        <w:numPr>
          <w:ilvl w:val="0"/>
          <w:numId w:val="3"/>
        </w:numPr>
        <w:spacing w:line="240" w:lineRule="auto"/>
        <w:rPr>
          <w:rFonts w:asciiTheme="minorHAnsi" w:hAnsiTheme="minorHAnsi"/>
        </w:rPr>
      </w:pPr>
      <w:r>
        <w:rPr>
          <w:rFonts w:asciiTheme="minorHAnsi" w:hAnsiTheme="minorHAnsi"/>
        </w:rPr>
        <w:t>Learn real-world best practices for your clients and your firm regarding the incident management process, regulatory compliance, third-party compliance, and metrics for monitoring incident management on a consistent basis.</w:t>
      </w:r>
    </w:p>
    <w:p>
      <w:pPr>
        <w:pStyle w:val="ListParagraph"/>
        <w:numPr>
          <w:ilvl w:val="0"/>
          <w:numId w:val="3"/>
        </w:numPr>
        <w:spacing w:line="240" w:lineRule="auto"/>
        <w:rPr>
          <w:rFonts w:asciiTheme="minorHAnsi" w:hAnsiTheme="minorHAnsi"/>
        </w:rPr>
      </w:pPr>
      <w:r>
        <w:rPr>
          <w:rFonts w:asciiTheme="minorHAnsi" w:hAnsiTheme="minorHAnsi"/>
        </w:rPr>
        <w:t>Learn how to best advise your client, and your firm, on how to prepare for a data breach by assessing your weak points and testing your response plans.</w:t>
      </w:r>
    </w:p>
    <w:p>
      <w:pPr>
        <w:pStyle w:val="ListParagraph"/>
        <w:numPr>
          <w:ilvl w:val="0"/>
          <w:numId w:val="3"/>
        </w:numPr>
        <w:spacing w:line="240" w:lineRule="auto"/>
        <w:rPr>
          <w:rFonts w:asciiTheme="minorHAnsi" w:hAnsiTheme="minorHAnsi"/>
        </w:rPr>
      </w:pPr>
      <w:r>
        <w:rPr>
          <w:rFonts w:asciiTheme="minorHAnsi" w:hAnsiTheme="minorHAnsi"/>
        </w:rPr>
        <w:t xml:space="preserve">Hear about cyber insurance from a breach services provider point of view.  </w:t>
      </w:r>
    </w:p>
    <w:p>
      <w:pPr>
        <w:pStyle w:val="ListParagraph"/>
        <w:numPr>
          <w:ilvl w:val="0"/>
          <w:numId w:val="3"/>
        </w:numPr>
        <w:spacing w:line="240" w:lineRule="auto"/>
        <w:rPr>
          <w:rFonts w:asciiTheme="minorHAnsi" w:hAnsiTheme="minorHAnsi"/>
        </w:rPr>
      </w:pPr>
      <w:r>
        <w:rPr>
          <w:rFonts w:asciiTheme="minorHAnsi" w:hAnsiTheme="minorHAnsi"/>
        </w:rPr>
        <w:t>Learn how to shift from compliance-based tactics to risk-based strategies to effectively advise your clients and your firm on how to manage organizational risks and meet compliance obligations.</w:t>
      </w:r>
    </w:p>
    <w:p>
      <w:pPr>
        <w:pStyle w:val="ListParagraph"/>
        <w:numPr>
          <w:ilvl w:val="0"/>
          <w:numId w:val="3"/>
        </w:numPr>
        <w:rPr>
          <w:rFonts w:asciiTheme="minorHAnsi" w:hAnsiTheme="minorHAnsi"/>
        </w:rPr>
      </w:pPr>
      <w:r>
        <w:rPr>
          <w:rFonts w:asciiTheme="minorHAnsi" w:hAnsiTheme="minorHAnsi"/>
        </w:rPr>
        <w:t xml:space="preserve">Learn best practices for your clients and your firm on how to respond to an event and how to pull all the variables together to deliver a seamless response that lowers the overall expense and exposure from an event.  </w:t>
      </w:r>
      <w:bookmarkStart w:id="0" w:name="_GoBack"/>
      <w:bookmarkEnd w:id="0"/>
    </w:p>
    <w:p>
      <w:pPr>
        <w:rPr>
          <w:rFonts w:asciiTheme="minorHAnsi" w:hAnsiTheme="minorHAnsi"/>
        </w:rPr>
      </w:pPr>
    </w:p>
    <w:p>
      <w:pPr>
        <w:rPr>
          <w:rFonts w:asciiTheme="minorHAnsi" w:hAnsiTheme="minorHAnsi"/>
        </w:rPr>
      </w:pPr>
      <w:r>
        <w:rPr>
          <w:rFonts w:asciiTheme="minorHAnsi" w:hAnsiTheme="minorHAnsi"/>
        </w:rPr>
        <w:t>Presenter:</w:t>
      </w:r>
    </w:p>
    <w:p>
      <w:pPr>
        <w:pStyle w:val="NEWBIONarrativeText"/>
        <w:rPr>
          <w:rStyle w:val="NEWBIONarrativeTextChar"/>
          <w:rFonts w:asciiTheme="minorHAnsi" w:hAnsiTheme="minorHAnsi"/>
          <w:sz w:val="22"/>
          <w:szCs w:val="22"/>
        </w:rPr>
      </w:pPr>
    </w:p>
    <w:p>
      <w:pPr>
        <w:rPr>
          <w:rFonts w:asciiTheme="minorHAnsi" w:hAnsiTheme="minorHAnsi"/>
        </w:rPr>
      </w:pPr>
    </w:p>
    <w:p>
      <w:pPr>
        <w:rPr>
          <w:rFonts w:ascii="Verdana" w:hAnsi="Verdana"/>
          <w:b/>
          <w:noProof/>
          <w:color w:val="1F497D"/>
          <w:sz w:val="20"/>
          <w:szCs w:val="20"/>
        </w:rPr>
      </w:pPr>
      <w:r>
        <w:rPr>
          <w:noProof/>
          <w:color w:val="1F497D"/>
        </w:rPr>
        <w:drawing>
          <wp:anchor distT="0" distB="0" distL="114300" distR="114300" simplePos="0" relativeHeight="251659264" behindDoc="0" locked="0" layoutInCell="1" allowOverlap="1">
            <wp:simplePos x="0" y="0"/>
            <wp:positionH relativeFrom="column">
              <wp:posOffset>3390900</wp:posOffset>
            </wp:positionH>
            <wp:positionV relativeFrom="paragraph">
              <wp:posOffset>220980</wp:posOffset>
            </wp:positionV>
            <wp:extent cx="2072640" cy="1859280"/>
            <wp:effectExtent l="0" t="0" r="381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nleyHeadShot8.22.14.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508" r="3629" b="39082"/>
                    <a:stretch/>
                  </pic:blipFill>
                  <pic:spPr bwMode="auto">
                    <a:xfrm>
                      <a:off x="0" y="0"/>
                      <a:ext cx="2072640" cy="18592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Verdana" w:hAnsi="Verdana"/>
          <w:b/>
          <w:noProof/>
          <w:color w:val="1F497D"/>
          <w:sz w:val="20"/>
          <w:szCs w:val="20"/>
        </w:rPr>
        <w:drawing>
          <wp:inline distT="0" distB="0" distL="0" distR="0">
            <wp:extent cx="2887980" cy="807720"/>
            <wp:effectExtent l="0" t="0" r="7620" b="0"/>
            <wp:docPr id="1" name="Picture 1" descr="C:\Users\jhenley\Pictures\IDE logo 2014-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nley\Pictures\IDE logo 2014-big.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7980" cy="807720"/>
                    </a:xfrm>
                    <a:prstGeom prst="rect">
                      <a:avLst/>
                    </a:prstGeom>
                    <a:noFill/>
                    <a:ln>
                      <a:noFill/>
                    </a:ln>
                  </pic:spPr>
                </pic:pic>
              </a:graphicData>
            </a:graphic>
          </wp:inline>
        </w:drawing>
      </w:r>
    </w:p>
    <w:p>
      <w:pPr>
        <w:rPr>
          <w:rFonts w:ascii="Verdana" w:hAnsi="Verdana"/>
          <w:b/>
          <w:noProof/>
          <w:color w:val="1F497D"/>
          <w:sz w:val="20"/>
          <w:szCs w:val="20"/>
        </w:rPr>
      </w:pPr>
    </w:p>
    <w:p>
      <w:pPr>
        <w:rPr>
          <w:rFonts w:ascii="Verdana" w:hAnsi="Verdana"/>
          <w:b/>
          <w:noProof/>
          <w:color w:val="1F497D"/>
          <w:sz w:val="20"/>
          <w:szCs w:val="20"/>
        </w:rPr>
      </w:pPr>
      <w:r>
        <w:rPr>
          <w:rFonts w:ascii="Verdana" w:hAnsi="Verdana"/>
          <w:b/>
          <w:noProof/>
          <w:color w:val="1F497D"/>
          <w:sz w:val="20"/>
          <w:szCs w:val="20"/>
        </w:rPr>
        <w:t>Jeremy R. Henley, CHPC </w:t>
      </w:r>
    </w:p>
    <w:p>
      <w:pPr>
        <w:rPr>
          <w:rFonts w:ascii="Verdana" w:hAnsi="Verdana"/>
          <w:noProof/>
          <w:color w:val="1F497D"/>
          <w:sz w:val="18"/>
          <w:szCs w:val="18"/>
        </w:rPr>
      </w:pPr>
      <w:r>
        <w:rPr>
          <w:rFonts w:ascii="Verdana" w:hAnsi="Verdana"/>
          <w:b/>
          <w:noProof/>
          <w:color w:val="1F497D"/>
          <w:sz w:val="20"/>
          <w:szCs w:val="20"/>
        </w:rPr>
        <w:t xml:space="preserve">Director of Breach Services </w:t>
      </w:r>
    </w:p>
    <w:p>
      <w:pPr>
        <w:rPr>
          <w:rFonts w:ascii="Verdana" w:hAnsi="Verdana"/>
          <w:noProof/>
          <w:color w:val="1F497D"/>
          <w:sz w:val="18"/>
          <w:szCs w:val="18"/>
        </w:rPr>
      </w:pPr>
      <w:r>
        <w:rPr>
          <w:rFonts w:ascii="Verdana" w:hAnsi="Verdana"/>
          <w:noProof/>
          <w:color w:val="1F497D"/>
          <w:sz w:val="18"/>
          <w:szCs w:val="18"/>
        </w:rPr>
        <w:br/>
      </w:r>
      <w:r>
        <w:rPr>
          <w:rFonts w:ascii="Verdana" w:hAnsi="Verdana"/>
          <w:noProof/>
          <w:color w:val="1F497D"/>
          <w:sz w:val="20"/>
          <w:szCs w:val="18"/>
        </w:rPr>
        <w:t>+1.760.304.4761 </w:t>
      </w:r>
      <w:r>
        <w:rPr>
          <w:rFonts w:ascii="Verdana" w:hAnsi="Verdana"/>
          <w:noProof/>
          <w:color w:val="1F497D"/>
          <w:sz w:val="18"/>
          <w:szCs w:val="18"/>
        </w:rPr>
        <w:t xml:space="preserve"> </w:t>
      </w:r>
    </w:p>
    <w:p>
      <w:pPr>
        <w:rPr>
          <w:rFonts w:ascii="Verdana" w:hAnsi="Verdana"/>
          <w:noProof/>
          <w:color w:val="1F497D"/>
          <w:sz w:val="18"/>
          <w:szCs w:val="18"/>
        </w:rPr>
      </w:pPr>
      <w:r>
        <w:rPr>
          <w:rFonts w:ascii="Verdana" w:hAnsi="Verdana"/>
          <w:noProof/>
          <w:sz w:val="18"/>
          <w:szCs w:val="18"/>
        </w:rPr>
        <w:t>jeremy.henley@idexpertscorp.com</w:t>
      </w:r>
      <w:r>
        <w:rPr>
          <w:rFonts w:ascii="Verdana" w:hAnsi="Verdana"/>
          <w:noProof/>
          <w:color w:val="1F497D"/>
          <w:sz w:val="18"/>
          <w:szCs w:val="18"/>
        </w:rPr>
        <w:t xml:space="preserve">  </w:t>
      </w:r>
    </w:p>
    <w:p>
      <w:pPr>
        <w:rPr>
          <w:rFonts w:ascii="Verdana" w:hAnsi="Verdana"/>
          <w:noProof/>
          <w:color w:val="365F91" w:themeColor="accent1" w:themeShade="BF"/>
          <w:sz w:val="18"/>
          <w:szCs w:val="18"/>
          <w:u w:val="single"/>
        </w:rPr>
      </w:pPr>
      <w:r>
        <w:rPr>
          <w:rFonts w:ascii="Verdana" w:hAnsi="Verdana"/>
          <w:noProof/>
          <w:sz w:val="18"/>
          <w:szCs w:val="18"/>
        </w:rPr>
        <w:t>http://www2.idexpertscorp.com/</w:t>
      </w:r>
    </w:p>
    <w:p>
      <w:pPr>
        <w:spacing w:line="270" w:lineRule="atLeast"/>
        <w:rPr>
          <w:sz w:val="28"/>
          <w:szCs w:val="28"/>
        </w:rPr>
      </w:pPr>
    </w:p>
    <w:p>
      <w:pPr>
        <w:spacing w:line="270" w:lineRule="atLeast"/>
        <w:rPr>
          <w:sz w:val="28"/>
          <w:szCs w:val="28"/>
        </w:rPr>
      </w:pPr>
    </w:p>
    <w:p>
      <w:r>
        <w:lastRenderedPageBreak/>
        <w:t xml:space="preserve">Jeremy Henley is the director of breach services for ID Experts, where they bring simplicity to the complex world of privacy incident response. </w:t>
      </w:r>
    </w:p>
    <w:p>
      <w:pPr>
        <w:spacing w:line="270" w:lineRule="atLeast"/>
      </w:pPr>
      <w:r>
        <w:t xml:space="preserve">Henley has </w:t>
      </w:r>
      <w:r>
        <w:rPr>
          <w:bCs/>
        </w:rPr>
        <w:t xml:space="preserve">direct oversight for all breach services. </w:t>
      </w:r>
      <w:r>
        <w:t xml:space="preserve">He has been certified by the Healthcare Compliance Association for Healthcare Privacy and Compliance and brings more than 14 years of sales, consulting and leadership experience to the ID Experts team.  When incidents happen Henley and his team can manage the operational process from beginning to end. </w:t>
      </w:r>
      <w:r>
        <w:rPr>
          <w:bCs/>
        </w:rPr>
        <w:t xml:space="preserve">He plays an </w:t>
      </w:r>
      <w:r>
        <w:rPr>
          <w:rFonts w:eastAsia="Cambria" w:cs="Arial"/>
          <w:bCs/>
        </w:rPr>
        <w:t>instrumental role in driving innovation in products and services that meet the needs of cyber insurance carriers, attorneys, and our business clients.</w:t>
      </w:r>
    </w:p>
    <w:p>
      <w:pPr>
        <w:spacing w:line="270" w:lineRule="atLeast"/>
        <w:rPr>
          <w:sz w:val="28"/>
          <w:szCs w:val="28"/>
        </w:rPr>
      </w:pPr>
      <w:r>
        <w:rPr>
          <w:rStyle w:val="il"/>
          <w:rFonts w:eastAsia="Times New Roman"/>
        </w:rPr>
        <w:t>Jeremy</w:t>
      </w:r>
      <w:r>
        <w:rPr>
          <w:rFonts w:eastAsia="Times New Roman"/>
        </w:rPr>
        <w:t xml:space="preserve"> regularly speaks at national conferences on the topics of privacy and security preparedness and data breach response best practices.</w:t>
      </w:r>
      <w:r>
        <w:t xml:space="preserve"> Prior to this role with ID Experts, Henley managed the cyber insurance channel for ID Experts and was a regional manager responsible for the Southwest portion of the US. Henley received his Bachelor of Arts in Business Administration-Marketing at Washington State University. </w:t>
      </w:r>
    </w:p>
    <w:p/>
    <w:p>
      <w:pPr>
        <w:rPr>
          <w:noProof/>
          <w:color w:val="1F497D"/>
        </w:rPr>
      </w:pPr>
    </w:p>
    <w:p>
      <w:pPr>
        <w:rPr>
          <w:rFonts w:ascii="Verdana" w:hAnsi="Verdana"/>
          <w:b/>
          <w:noProof/>
          <w:color w:val="1F497D"/>
          <w:sz w:val="20"/>
          <w:szCs w:val="20"/>
        </w:rPr>
      </w:pPr>
    </w:p>
    <w:p>
      <w:pPr>
        <w:rPr>
          <w:rFonts w:ascii="Verdana" w:hAnsi="Verdana"/>
          <w:noProof/>
          <w:sz w:val="20"/>
          <w:szCs w:val="20"/>
        </w:rPr>
      </w:pPr>
      <w:r>
        <w:rPr>
          <w:rFonts w:ascii="Verdana" w:hAnsi="Verdana"/>
          <w:noProof/>
          <w:sz w:val="20"/>
          <w:szCs w:val="20"/>
        </w:rPr>
        <w:drawing>
          <wp:inline distT="0" distB="0" distL="0" distR="0">
            <wp:extent cx="676275" cy="600075"/>
            <wp:effectExtent l="0" t="0" r="0" b="0"/>
            <wp:docPr id="2" name="Picture 2" descr="Description: Description: AHA_SEAL_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HA_SEAL_1inch"/>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600075"/>
                    </a:xfrm>
                    <a:prstGeom prst="rect">
                      <a:avLst/>
                    </a:prstGeom>
                    <a:noFill/>
                    <a:ln>
                      <a:noFill/>
                    </a:ln>
                  </pic:spPr>
                </pic:pic>
              </a:graphicData>
            </a:graphic>
          </wp:inline>
        </w:drawing>
      </w:r>
    </w:p>
    <w:p>
      <w:pPr>
        <w:spacing w:before="240" w:after="120"/>
        <w:rPr>
          <w:noProof/>
          <w:color w:val="000000"/>
          <w:sz w:val="20"/>
          <w:szCs w:val="20"/>
        </w:rPr>
      </w:pPr>
      <w:r>
        <w:rPr>
          <w:rFonts w:ascii="Verdana" w:hAnsi="Verdana"/>
          <w:noProof/>
          <w:sz w:val="16"/>
          <w:szCs w:val="16"/>
        </w:rPr>
        <w:t>Our Data Breach Preparedness and Response services are endorsed by the American Hospital Association.</w:t>
      </w:r>
      <w:r>
        <w:rPr>
          <w:noProof/>
          <w:color w:val="000000"/>
          <w:sz w:val="20"/>
          <w:szCs w:val="20"/>
        </w:rPr>
        <w:br/>
        <w:t>Visit our </w:t>
      </w:r>
      <w:r>
        <w:rPr>
          <w:noProof/>
          <w:sz w:val="20"/>
          <w:szCs w:val="20"/>
        </w:rPr>
        <w:t>blog</w:t>
      </w:r>
      <w:r>
        <w:rPr>
          <w:noProof/>
          <w:color w:val="000000"/>
          <w:sz w:val="20"/>
          <w:szCs w:val="20"/>
        </w:rPr>
        <w:t>,follow us on </w:t>
      </w:r>
      <w:r>
        <w:rPr>
          <w:noProof/>
          <w:sz w:val="20"/>
          <w:szCs w:val="20"/>
        </w:rPr>
        <w:t>twitter</w:t>
      </w:r>
      <w:r>
        <w:rPr>
          <w:noProof/>
          <w:color w:val="000000"/>
          <w:sz w:val="20"/>
          <w:szCs w:val="20"/>
        </w:rPr>
        <w:t>, or join our discussion group on </w:t>
      </w:r>
      <w:r>
        <w:rPr>
          <w:noProof/>
          <w:sz w:val="20"/>
          <w:szCs w:val="20"/>
        </w:rPr>
        <w:t>LinkedIn</w:t>
      </w:r>
    </w:p>
    <w:p>
      <w:pPr>
        <w:rPr>
          <w:rFonts w:asciiTheme="minorHAnsi" w:hAnsiTheme="minorHAnsi"/>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C7453"/>
    <w:multiLevelType w:val="hybridMultilevel"/>
    <w:tmpl w:val="AB7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34373A"/>
    <w:multiLevelType w:val="hybridMultilevel"/>
    <w:tmpl w:val="C840E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27B55BC"/>
    <w:multiLevelType w:val="hybridMultilevel"/>
    <w:tmpl w:val="B9907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EWBIONarrativeText">
    <w:name w:val="NEW BIO_Narrative Text"/>
    <w:basedOn w:val="Normal"/>
    <w:link w:val="NEWBIONarrativeTextChar"/>
    <w:pPr>
      <w:spacing w:line="300" w:lineRule="auto"/>
    </w:pPr>
    <w:rPr>
      <w:rFonts w:ascii="Arial" w:eastAsia="Times New Roman" w:hAnsi="Arial" w:cs="Arial"/>
      <w:sz w:val="18"/>
      <w:szCs w:val="18"/>
    </w:rPr>
  </w:style>
  <w:style w:type="character" w:customStyle="1" w:styleId="NEWBIONarrativeTextChar">
    <w:name w:val="NEW BIO_Narrative Text Char"/>
    <w:basedOn w:val="DefaultParagraphFont"/>
    <w:link w:val="NEWBIONarrativeText"/>
    <w:rPr>
      <w:rFonts w:ascii="Arial" w:eastAsia="Times New Roman" w:hAnsi="Arial" w:cs="Arial"/>
      <w:sz w:val="18"/>
      <w:szCs w:val="18"/>
    </w:rPr>
  </w:style>
  <w:style w:type="character" w:styleId="Hyperlink">
    <w:name w:val="Hyperlink"/>
    <w:basedOn w:val="DefaultParagraphFont"/>
    <w:uiPriority w:val="99"/>
    <w:unhideWhenUsed/>
    <w:rPr>
      <w:color w:val="0000FF"/>
      <w:u w:val="single"/>
    </w:rPr>
  </w:style>
  <w:style w:type="character" w:customStyle="1" w:styleId="il">
    <w:name w:val="il"/>
    <w:basedOn w:val="DefaultParagraphFont"/>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Calibri" w:hAnsi="Calibri" w:cs="Times New Roman"/>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4196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2633</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2015-03-09T17:31:19.6528343Z</dcterms:created>
  <dcterms:modified xsi:type="dcterms:W3CDTF">2015-03-09T17:31:19.6528343Z</dcterms:modified>
</cp:coreProperties>
</file>