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Times New Roman" w:hAnsi="Times New Roman" w:cs="Times New Roman"/>
          <w:b/>
          <w:sz w:val="24"/>
          <w:szCs w:val="24"/>
        </w:rPr>
      </w:pPr>
      <w:r>
        <w:rPr>
          <w:rFonts w:ascii="Times New Roman" w:hAnsi="Times New Roman" w:cs="Times New Roman"/>
          <w:b/>
          <w:sz w:val="24"/>
          <w:szCs w:val="24"/>
        </w:rPr>
        <w:t>WHITE PAPER</w:t>
      </w:r>
    </w:p>
    <w:p>
      <w:pPr>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r>
        <w:rPr>
          <w:rFonts w:ascii="Times New Roman" w:hAnsi="Times New Roman" w:cs="Times New Roman"/>
          <w:b/>
          <w:sz w:val="24"/>
          <w:szCs w:val="24"/>
        </w:rPr>
        <w:t>ASSIGNMENT OF POST-LOSS INSURANCE BENEFITS FOR</w:t>
      </w:r>
    </w:p>
    <w:p>
      <w:pPr>
        <w:spacing w:after="0"/>
        <w:jc w:val="center"/>
        <w:rPr>
          <w:rFonts w:ascii="Times New Roman" w:hAnsi="Times New Roman" w:cs="Times New Roman"/>
          <w:b/>
          <w:sz w:val="24"/>
          <w:szCs w:val="24"/>
        </w:rPr>
      </w:pPr>
      <w:r>
        <w:rPr>
          <w:rFonts w:ascii="Times New Roman" w:hAnsi="Times New Roman" w:cs="Times New Roman"/>
          <w:b/>
          <w:sz w:val="24"/>
          <w:szCs w:val="24"/>
        </w:rPr>
        <w:t>RESIDENTIAL PROPERTY REPAIRS OR REPLACEMENT</w:t>
      </w:r>
    </w:p>
    <w:p>
      <w:pPr>
        <w:pStyle w:val="Heading1"/>
        <w:spacing w:before="480"/>
        <w:rPr>
          <w:rFonts w:ascii="Times New Roman" w:hAnsi="Times New Roman" w:cs="Times New Roman"/>
          <w:b/>
          <w:color w:val="auto"/>
          <w:sz w:val="24"/>
          <w:szCs w:val="24"/>
        </w:rPr>
      </w:pPr>
      <w:r>
        <w:rPr>
          <w:rFonts w:ascii="Times New Roman" w:hAnsi="Times New Roman" w:cs="Times New Roman"/>
          <w:b/>
          <w:color w:val="auto"/>
          <w:sz w:val="24"/>
          <w:szCs w:val="24"/>
        </w:rPr>
        <w:t>SUMMARY</w:t>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Senate Bill 708 proposes several changes to Chapter 627 of the Florida Statutes dealing with first-party property insurance claims.  This White Paper addresses issues in the Bill related to revisions to Fla. Stat. § 627.422.  The Bill proposes to change Florida law allowing free assignment of insurance claims after a loss o</w:t>
      </w:r>
      <w:bookmarkStart w:id="0" w:name="_GoBack"/>
      <w:bookmarkEnd w:id="0"/>
      <w:r>
        <w:rPr>
          <w:rFonts w:ascii="Times New Roman" w:hAnsi="Times New Roman" w:cs="Times New Roman"/>
          <w:sz w:val="24"/>
          <w:szCs w:val="24"/>
        </w:rPr>
        <w:t>ccurs.  The Bill proposes that the assignee notify the insurance company within 48 hours of an assignment.  The Bill also proposes a series of limitations on the terms of the assignment and the contract entered into between the assignee (typically a contractor) and assignor (the policyholder).  Included within the limitations are that the assignment may not be greater in scope than the contracted work to be performed; is restricted to claims for damage to structures covered under the policy; specifies the estimated scope and price of the work before it is performed; prohibits the contractor from charging the policyholder more than the policy deductible; prohibits contractors from retaining insurance proceeds earmarked for subcontractor work; and requires the contractor to guarantee that the work performed conforms to the most recent, accepted industry standards.</w:t>
      </w:r>
    </w:p>
    <w:p>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CURRENT SITUATION</w:t>
      </w:r>
    </w:p>
    <w:p>
      <w:pPr>
        <w:spacing w:after="0" w:line="240" w:lineRule="auto"/>
        <w:rPr>
          <w:rFonts w:ascii="Times New Roman" w:hAnsi="Times New Roman" w:cs="Times New Roman"/>
          <w:sz w:val="24"/>
          <w:szCs w:val="24"/>
        </w:rPr>
      </w:pPr>
    </w:p>
    <w:p>
      <w:pPr>
        <w:rPr>
          <w:rFonts w:ascii="Times New Roman" w:hAnsi="Times New Roman" w:cs="Times New Roman"/>
          <w:i/>
          <w:sz w:val="24"/>
          <w:szCs w:val="24"/>
        </w:rPr>
      </w:pPr>
      <w:r>
        <w:rPr>
          <w:rFonts w:ascii="Times New Roman" w:hAnsi="Times New Roman" w:cs="Times New Roman"/>
          <w:sz w:val="24"/>
          <w:szCs w:val="24"/>
        </w:rPr>
        <w:t xml:space="preserve">Fla. Stat. § 627.422 currently provides, in relevant part, that an insurance policy “may be assignable, or not assignable, as provided by its terms.”  While most insurance policies contain anti-assignment clauses that prohibit pre-loss assignment of policy benefits and obligations, Florida law does not apply anti-assignment clauses to post-loss assignments.  Rather, current Florida law allows a policyholder to freely assign rights to insurance policy proceeds to any third party after a loss occurs.   </w:t>
      </w:r>
      <w:r>
        <w:rPr>
          <w:rFonts w:ascii="Times New Roman" w:hAnsi="Times New Roman" w:cs="Times New Roman"/>
          <w:i/>
          <w:sz w:val="24"/>
          <w:szCs w:val="24"/>
        </w:rPr>
        <w:t xml:space="preserve">See, e.g., West Florida Grocery Co. v. Teutonia Fire Ins. Co., </w:t>
      </w:r>
      <w:r>
        <w:rPr>
          <w:rFonts w:ascii="Times New Roman" w:hAnsi="Times New Roman" w:cs="Times New Roman"/>
          <w:sz w:val="24"/>
          <w:szCs w:val="24"/>
        </w:rPr>
        <w:t xml:space="preserve">77 So. 209, 210-11 (Fla. 1917); </w:t>
      </w:r>
      <w:r>
        <w:rPr>
          <w:rFonts w:ascii="Times New Roman" w:hAnsi="Times New Roman" w:cs="Times New Roman"/>
          <w:i/>
          <w:sz w:val="24"/>
          <w:szCs w:val="24"/>
        </w:rPr>
        <w:t>Continental Cas. Co. v. Ryan Inc. Eastern</w:t>
      </w:r>
      <w:r>
        <w:rPr>
          <w:rFonts w:ascii="Times New Roman" w:hAnsi="Times New Roman" w:cs="Times New Roman"/>
          <w:sz w:val="24"/>
          <w:szCs w:val="24"/>
        </w:rPr>
        <w:t>, 974 So. 2d 368 (Fla. 2008);</w:t>
      </w:r>
      <w:r>
        <w:rPr>
          <w:rFonts w:ascii="Times New Roman" w:hAnsi="Times New Roman" w:cs="Times New Roman"/>
          <w:i/>
          <w:sz w:val="24"/>
          <w:szCs w:val="24"/>
        </w:rPr>
        <w:t xml:space="preserve"> Citizens Prop. Ins. Corp. v. Ifergane</w:t>
      </w:r>
      <w:r>
        <w:rPr>
          <w:rFonts w:ascii="Times New Roman" w:hAnsi="Times New Roman" w:cs="Times New Roman"/>
          <w:sz w:val="24"/>
          <w:szCs w:val="24"/>
        </w:rPr>
        <w:t>, 114 So. 3d 190, 195 (Fla. 3d DCA 2012).</w:t>
      </w:r>
    </w:p>
    <w:p>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EFFECT OF PROPOSED CHANGES</w:t>
      </w:r>
    </w:p>
    <w:p>
      <w:pPr>
        <w:spacing w:after="0" w:line="240" w:lineRule="auto"/>
        <w:rPr>
          <w:rFonts w:ascii="Times New Roman" w:hAnsi="Times New Roman" w:cs="Times New Roman"/>
          <w:sz w:val="24"/>
          <w:szCs w:val="24"/>
        </w:rPr>
      </w:pPr>
    </w:p>
    <w:p>
      <w:pPr>
        <w:numPr>
          <w:ilvl w:val="1"/>
          <w:numId w:val="1"/>
        </w:numPr>
        <w:rPr>
          <w:rFonts w:ascii="Times New Roman" w:hAnsi="Times New Roman" w:cs="Times New Roman"/>
          <w:sz w:val="24"/>
          <w:szCs w:val="24"/>
          <w:u w:val="single"/>
        </w:rPr>
      </w:pPr>
      <w:r>
        <w:rPr>
          <w:rFonts w:ascii="Times New Roman" w:hAnsi="Times New Roman" w:cs="Times New Roman"/>
          <w:sz w:val="24"/>
          <w:szCs w:val="24"/>
          <w:u w:val="single"/>
        </w:rPr>
        <w:t>General Overview of Post-Loss Assignments</w:t>
      </w:r>
    </w:p>
    <w:p>
      <w:pPr>
        <w:rPr>
          <w:rFonts w:ascii="Times New Roman" w:hAnsi="Times New Roman" w:cs="Times New Roman"/>
          <w:sz w:val="24"/>
          <w:szCs w:val="24"/>
        </w:rPr>
      </w:pPr>
      <w:r>
        <w:rPr>
          <w:rFonts w:ascii="Times New Roman" w:hAnsi="Times New Roman" w:cs="Times New Roman"/>
          <w:sz w:val="24"/>
          <w:szCs w:val="24"/>
        </w:rPr>
        <w:t xml:space="preserve">During the adjustment of a non-disputed property insurance claim, the insurance company typically hires contractors, directs the repair work, and pays the contractors directly.  The policyholder is responsible to pay any applicable deductible, but does not contract with the contractors directly and is not obligated to pay such contractors.  A policyholder typically enters into an agreement to assign insurance policy proceeds to a contractor after the insurance company has denied the claim.  The policyholder wishes for the work to be performed but does </w:t>
      </w:r>
      <w:r>
        <w:rPr>
          <w:rFonts w:ascii="Times New Roman" w:hAnsi="Times New Roman" w:cs="Times New Roman"/>
          <w:sz w:val="24"/>
          <w:szCs w:val="24"/>
        </w:rPr>
        <w:lastRenderedPageBreak/>
        <w:t>not wish to pay out-of-pocket.  The contractor wishes to perform the work, and agrees to pursue the insurer for payment.  The typical assignment agreement states that the contractor will only look to the insurer, and not the policyholder, for payment.</w:t>
      </w:r>
    </w:p>
    <w:p>
      <w:pPr>
        <w:numPr>
          <w:ilvl w:val="1"/>
          <w:numId w:val="1"/>
        </w:numPr>
        <w:rPr>
          <w:rFonts w:ascii="Times New Roman" w:hAnsi="Times New Roman" w:cs="Times New Roman"/>
          <w:sz w:val="24"/>
          <w:szCs w:val="24"/>
          <w:u w:val="single"/>
        </w:rPr>
      </w:pPr>
      <w:r>
        <w:rPr>
          <w:rFonts w:ascii="Times New Roman" w:hAnsi="Times New Roman" w:cs="Times New Roman"/>
          <w:sz w:val="24"/>
          <w:szCs w:val="24"/>
          <w:u w:val="single"/>
        </w:rPr>
        <w:t>Analysis of Proposed Changes</w:t>
      </w:r>
    </w:p>
    <w:p>
      <w:pPr>
        <w:rPr>
          <w:rFonts w:ascii="Times New Roman" w:hAnsi="Times New Roman" w:cs="Times New Roman"/>
          <w:sz w:val="24"/>
          <w:szCs w:val="24"/>
        </w:rPr>
      </w:pPr>
      <w:r>
        <w:rPr>
          <w:rFonts w:ascii="Times New Roman" w:hAnsi="Times New Roman" w:cs="Times New Roman"/>
          <w:sz w:val="24"/>
          <w:szCs w:val="24"/>
        </w:rPr>
        <w:t xml:space="preserve">The proposed changes seek to restrict the ability of policyholders to assign insurance policy benefits to contractors.  The 48-hour rule would invalidate assignments if notice was not provided to the insurance company within 48 hours.  This would potentially lead to the forfeiture of policy benefits if the strict time limit is not met.  The limitations on the terms and scope of the assignment appear to be pro-consumer provisions.  However, by invalidating the assignment agreement between the contractor and policyholder, the proposed changes would eliminate the benefits to the policyholder of the assignment and leave the policyholder liable to pay for the repairs pursuant to a mechanic’s lien or under the theory of unjust enrichment.  Likewise, the price protection afforded to the policyholder under this proposed legislation would appear to be nullified by the invalidation of the assignment agreement.  </w:t>
      </w:r>
    </w:p>
    <w:p>
      <w:pPr>
        <w:rPr>
          <w:rFonts w:ascii="Times New Roman" w:hAnsi="Times New Roman" w:cs="Times New Roman"/>
          <w:sz w:val="24"/>
          <w:szCs w:val="24"/>
        </w:rPr>
      </w:pPr>
      <w:r>
        <w:rPr>
          <w:rFonts w:ascii="Times New Roman" w:hAnsi="Times New Roman" w:cs="Times New Roman"/>
          <w:sz w:val="24"/>
          <w:szCs w:val="24"/>
        </w:rPr>
        <w:t xml:space="preserve">The proposed changes also attempt to protect policyholders by requiring contractors to “guarantee that the work performed conforms to the most recent, accepted industry standards.”  There is no definition of “most recent, accepted industry standards”.  The Committee is unaware of any such standards that exist in the construction industry.  This vague language would undoubtedly create additional litigation seeking to clarify what is meant by “most recent, accepted industry standards”.  </w:t>
      </w:r>
    </w:p>
    <w:p>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FISCAL IMPACT ON STATE AND LOCAL GOVERNMENTS</w:t>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It is anticipated that this legislation will not have a significant fiscal impact on state and local governments.  However, the legislation may result in an increase in claims of liens or litigation which would further bog down our already overly-burdened clerks and courts. </w:t>
      </w:r>
    </w:p>
    <w:p>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DIRECT ECONOMIC IMPACT ON PRIVATE SECTOR</w:t>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It is anticipated that this legislation will not have a significant impact on the private sector.  However, the legislation may potentially affect the construction industry, and in particular smaller contractors, which may shy away from performing repair work under an assignment of rights due to increased risk of non-payment.</w:t>
      </w:r>
    </w:p>
    <w:p>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CONSTITUTIONAL ISSUES</w:t>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It is anticipated that this legislation will not raise constitutional issues.</w:t>
      </w:r>
    </w:p>
    <w:p>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OTHER INTERESTED PARTIES</w:t>
      </w:r>
    </w:p>
    <w:p>
      <w:pPr>
        <w:spacing w:after="0" w:line="240" w:lineRule="auto"/>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Other groups that will be interested in or affected by the proposed legislation include the insurance industry, construction industry, and public adjusters. </w:t>
      </w:r>
    </w:p>
    <w:sectPr>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i/>
      </w:rPr>
    </w:pPr>
    <w:r>
      <w:rPr>
        <w:i/>
      </w:rPr>
      <w:t>White Paper – Assignment of Post-Loss Insurance Benefits</w:t>
    </w:r>
    <w:r>
      <w:rPr>
        <w:i/>
      </w:rPr>
      <w:tab/>
      <w:t xml:space="preserve"> </w:t>
    </w:r>
    <w:r>
      <w:rPr>
        <w:i/>
      </w:rPr>
      <w:fldChar w:fldCharType="begin"/>
    </w:r>
    <w:r>
      <w:rPr>
        <w:i/>
      </w:rPr>
      <w:instrText xml:space="preserve"> PAGE   \* MERGEFORMAT </w:instrText>
    </w:r>
    <w:r>
      <w:rPr>
        <w:i/>
      </w:rPr>
      <w:fldChar w:fldCharType="separate"/>
    </w:r>
    <w:r>
      <w:rPr>
        <w:i/>
        <w:noProof/>
      </w:rPr>
      <w:t>1</w:t>
    </w:r>
    <w:r>
      <w:rPr>
        <w: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B5B3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4560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2014-03-10T15:02:00Z</cp:lastPrinted>
  <dcterms:created xsi:type="dcterms:W3CDTF">2014-03-16T02:35:00Z</dcterms:created>
  <dcterms:modified xsi:type="dcterms:W3CDTF">2014-03-16T02:35:00Z</dcterms:modified>
</cp:coreProperties>
</file>