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65" w:rsidRDefault="00830D4F" w:rsidP="00830D4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0D4F">
        <w:rPr>
          <w:rFonts w:ascii="Times New Roman" w:hAnsi="Times New Roman" w:cs="Times New Roman"/>
          <w:b/>
          <w:i/>
          <w:sz w:val="28"/>
          <w:szCs w:val="28"/>
          <w:u w:val="single"/>
        </w:rPr>
        <w:t>RPPTL Section: Insurance and Suretyship Committee</w:t>
      </w:r>
    </w:p>
    <w:p w:rsidR="00830D4F" w:rsidRPr="00830D4F" w:rsidRDefault="00830D4F" w:rsidP="0083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4F">
        <w:rPr>
          <w:rFonts w:ascii="Times New Roman" w:hAnsi="Times New Roman" w:cs="Times New Roman"/>
          <w:sz w:val="24"/>
          <w:szCs w:val="24"/>
        </w:rPr>
        <w:t>February 24, 2014</w:t>
      </w:r>
    </w:p>
    <w:p w:rsidR="00830D4F" w:rsidRPr="00830D4F" w:rsidRDefault="00113840" w:rsidP="0083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Selected </w:t>
      </w:r>
      <w:r w:rsidR="00830D4F" w:rsidRPr="00830D4F">
        <w:rPr>
          <w:rFonts w:ascii="Times New Roman" w:hAnsi="Times New Roman" w:cs="Times New Roman"/>
          <w:sz w:val="24"/>
          <w:szCs w:val="24"/>
        </w:rPr>
        <w:t>Insurance Bills Filed to date</w:t>
      </w:r>
    </w:p>
    <w:p w:rsidR="00830D4F" w:rsidRPr="00830D4F" w:rsidRDefault="00830D4F" w:rsidP="0083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4F">
        <w:rPr>
          <w:rFonts w:ascii="Times New Roman" w:hAnsi="Times New Roman" w:cs="Times New Roman"/>
          <w:sz w:val="24"/>
          <w:szCs w:val="24"/>
        </w:rPr>
        <w:t>Prepared and presented by Fred R. Dudley, Esq.</w:t>
      </w:r>
    </w:p>
    <w:p w:rsidR="00830D4F" w:rsidRPr="00830D4F" w:rsidRDefault="00830D4F" w:rsidP="0083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4F">
        <w:rPr>
          <w:rFonts w:ascii="Times New Roman" w:hAnsi="Times New Roman" w:cs="Times New Roman"/>
          <w:sz w:val="24"/>
          <w:szCs w:val="24"/>
        </w:rPr>
        <w:t>Dudley, Sellers &amp; Healy</w:t>
      </w:r>
    </w:p>
    <w:p w:rsidR="00830D4F" w:rsidRDefault="00830D4F" w:rsidP="00830D4F">
      <w:pPr>
        <w:rPr>
          <w:rFonts w:ascii="Times New Roman" w:hAnsi="Times New Roman" w:cs="Times New Roman"/>
          <w:sz w:val="28"/>
          <w:szCs w:val="28"/>
        </w:rPr>
      </w:pPr>
    </w:p>
    <w:p w:rsidR="006670A0" w:rsidRDefault="00AC757D" w:rsidP="00830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129</w:t>
      </w:r>
      <w:r w:rsidR="006670A0">
        <w:rPr>
          <w:rFonts w:ascii="Times New Roman" w:hAnsi="Times New Roman" w:cs="Times New Roman"/>
          <w:sz w:val="28"/>
          <w:szCs w:val="28"/>
        </w:rPr>
        <w:t xml:space="preserve"> (Raburn)</w:t>
      </w:r>
      <w:r>
        <w:rPr>
          <w:rFonts w:ascii="Times New Roman" w:hAnsi="Times New Roman" w:cs="Times New Roman"/>
          <w:sz w:val="28"/>
          <w:szCs w:val="28"/>
        </w:rPr>
        <w:t>: Related to SB 416 described below.</w:t>
      </w:r>
    </w:p>
    <w:p w:rsidR="00830D4F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187 (</w:t>
      </w:r>
      <w:r w:rsidR="00830D4F">
        <w:rPr>
          <w:rFonts w:ascii="Times New Roman" w:hAnsi="Times New Roman" w:cs="Times New Roman"/>
          <w:sz w:val="28"/>
          <w:szCs w:val="28"/>
        </w:rPr>
        <w:t xml:space="preserve">Passidomo): filed October 17, 20313, </w:t>
      </w:r>
      <w:r w:rsidR="005C20AD">
        <w:rPr>
          <w:rFonts w:ascii="Times New Roman" w:hAnsi="Times New Roman" w:cs="Times New Roman"/>
          <w:sz w:val="28"/>
          <w:szCs w:val="28"/>
        </w:rPr>
        <w:t xml:space="preserve">effective July 1, 2014, </w:t>
      </w:r>
      <w:r w:rsidR="00830D4F">
        <w:rPr>
          <w:rFonts w:ascii="Times New Roman" w:hAnsi="Times New Roman" w:cs="Times New Roman"/>
          <w:sz w:val="28"/>
          <w:szCs w:val="28"/>
        </w:rPr>
        <w:t>referred to:</w:t>
      </w:r>
      <w:r w:rsidR="005C20AD">
        <w:rPr>
          <w:rFonts w:ascii="Times New Roman" w:hAnsi="Times New Roman" w:cs="Times New Roman"/>
          <w:sz w:val="28"/>
          <w:szCs w:val="28"/>
        </w:rPr>
        <w:t xml:space="preserve"> </w:t>
      </w:r>
      <w:r w:rsidR="00830D4F">
        <w:rPr>
          <w:rFonts w:ascii="Times New Roman" w:hAnsi="Times New Roman" w:cs="Times New Roman"/>
          <w:sz w:val="28"/>
          <w:szCs w:val="28"/>
        </w:rPr>
        <w:t>Civil Justice Committee, Insurance &amp; Banking Subcommittee and Judiciary Committee. Adds subsection (1) to s. 624.155, to require as a condition precedent to an action for third party bad-faith failure that the insured or claimant provide the insurer with written notice of loss, and gives the insurer 45 days to offer</w:t>
      </w:r>
      <w:r w:rsidR="005C20AD">
        <w:rPr>
          <w:rFonts w:ascii="Times New Roman" w:hAnsi="Times New Roman" w:cs="Times New Roman"/>
          <w:sz w:val="28"/>
          <w:szCs w:val="28"/>
        </w:rPr>
        <w:t xml:space="preserve"> to pay the claim in exchange for a full release of liability.</w:t>
      </w: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255 (</w:t>
      </w:r>
      <w:r w:rsidR="00AC757D">
        <w:rPr>
          <w:rFonts w:ascii="Times New Roman" w:hAnsi="Times New Roman" w:cs="Times New Roman"/>
          <w:sz w:val="28"/>
          <w:szCs w:val="28"/>
        </w:rPr>
        <w:t xml:space="preserve">Insurance &amp; Banking and </w:t>
      </w:r>
      <w:r>
        <w:rPr>
          <w:rFonts w:ascii="Times New Roman" w:hAnsi="Times New Roman" w:cs="Times New Roman"/>
          <w:sz w:val="28"/>
          <w:szCs w:val="28"/>
        </w:rPr>
        <w:t>Gaetz)</w:t>
      </w:r>
      <w:r w:rsidR="00AC757D">
        <w:rPr>
          <w:rFonts w:ascii="Times New Roman" w:hAnsi="Times New Roman" w:cs="Times New Roman"/>
          <w:sz w:val="28"/>
          <w:szCs w:val="28"/>
        </w:rPr>
        <w:t>: Filed November 4, 2013, effective July 1, 2014, referred to Insurance &amp; Banking Subcommittee (Committee Substitute passed on February 4, 2014), Civil Justice Subcommittee Committee Substitute passed on February 19, 2014), and Regulatory Affairs; Section 626.9541 would prohibit discriminatory insurance practices on basis of gun ownership in personal lines property and personal lines automobile insurance.</w:t>
      </w: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Senate Bill 416 (Simpson): filed November 19, 2013, effective July 1, 2014, referred to Banking &amp; Insurance, Appropriations </w:t>
      </w:r>
      <w:r w:rsidR="00DF7897">
        <w:rPr>
          <w:rFonts w:ascii="Times New Roman" w:hAnsi="Times New Roman" w:cs="Times New Roman"/>
          <w:sz w:val="28"/>
          <w:szCs w:val="28"/>
        </w:rPr>
        <w:t>Subcommittee</w:t>
      </w:r>
      <w:r>
        <w:rPr>
          <w:rFonts w:ascii="Times New Roman" w:hAnsi="Times New Roman" w:cs="Times New Roman"/>
          <w:sz w:val="28"/>
          <w:szCs w:val="28"/>
        </w:rPr>
        <w:t xml:space="preserve"> on General Government, and </w:t>
      </w:r>
      <w:r w:rsidR="00DF7897">
        <w:rPr>
          <w:rFonts w:ascii="Times New Roman" w:hAnsi="Times New Roman" w:cs="Times New Roman"/>
          <w:sz w:val="28"/>
          <w:szCs w:val="28"/>
        </w:rPr>
        <w:t>Appropriations</w:t>
      </w:r>
      <w:r>
        <w:rPr>
          <w:rFonts w:ascii="Times New Roman" w:hAnsi="Times New Roman" w:cs="Times New Roman"/>
          <w:sz w:val="28"/>
          <w:szCs w:val="28"/>
        </w:rPr>
        <w:t xml:space="preserve">. CS passed Banking &amp; Insurance Committee 11-0 on February 4, 2014. Adds to s. 627.351 a requirement that Citizen Insurance Corporation submit a biannual report on the number of residential sinkhole policies requested, issued, and declined; prohibiting the corporation from requiring policyholder advance payment for stabilization repairs; providing requirements and </w:t>
      </w:r>
      <w:r w:rsidR="00AC757D">
        <w:rPr>
          <w:rFonts w:ascii="Times New Roman" w:hAnsi="Times New Roman" w:cs="Times New Roman"/>
          <w:sz w:val="28"/>
          <w:szCs w:val="28"/>
        </w:rPr>
        <w:t>procedures for selecting stabilization</w:t>
      </w:r>
      <w:r>
        <w:rPr>
          <w:rFonts w:ascii="Times New Roman" w:hAnsi="Times New Roman" w:cs="Times New Roman"/>
          <w:sz w:val="28"/>
          <w:szCs w:val="28"/>
        </w:rPr>
        <w:t xml:space="preserve"> repair contractor</w:t>
      </w:r>
      <w:r w:rsidR="00AC757D">
        <w:rPr>
          <w:rFonts w:ascii="Times New Roman" w:hAnsi="Times New Roman" w:cs="Times New Roman"/>
          <w:sz w:val="28"/>
          <w:szCs w:val="28"/>
        </w:rPr>
        <w:t>; and providing provision for resolving disputes.</w:t>
      </w: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Senate Bill 424 (Lee)</w:t>
      </w:r>
      <w:r w:rsidR="00AC757D">
        <w:rPr>
          <w:rFonts w:ascii="Times New Roman" w:hAnsi="Times New Roman" w:cs="Times New Roman"/>
          <w:sz w:val="28"/>
          <w:szCs w:val="28"/>
        </w:rPr>
        <w:t>: See House Bill 255 above.</w:t>
      </w: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0A0" w:rsidRDefault="006670A0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Senate Bill 542 (Brandes)</w:t>
      </w:r>
      <w:r w:rsidR="00CE3E99">
        <w:rPr>
          <w:rFonts w:ascii="Times New Roman" w:hAnsi="Times New Roman" w:cs="Times New Roman"/>
          <w:sz w:val="28"/>
          <w:szCs w:val="28"/>
        </w:rPr>
        <w:t>: filed December 17, 2013, effective __________, referred to Banking &amp; Insurance (CS), Appropriations Subcommittee on General Government (CS for CS) and Appropriations (passed February 20, 2014. Authorizes insurers to offer flood insurance.</w:t>
      </w:r>
    </w:p>
    <w:p w:rsidR="006670A0" w:rsidRDefault="00CE3E99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58</w:t>
      </w:r>
      <w:r w:rsidR="006670A0">
        <w:rPr>
          <w:rFonts w:ascii="Times New Roman" w:hAnsi="Times New Roman" w:cs="Times New Roman"/>
          <w:sz w:val="28"/>
          <w:szCs w:val="28"/>
        </w:rPr>
        <w:t>1 (Fitzenhagen)</w:t>
      </w:r>
      <w:r>
        <w:rPr>
          <w:rFonts w:ascii="Times New Roman" w:hAnsi="Times New Roman" w:cs="Times New Roman"/>
          <w:sz w:val="28"/>
          <w:szCs w:val="28"/>
        </w:rPr>
        <w:t>: Identical to Senate Bill 542 above (Flood Insurance)</w:t>
      </w:r>
    </w:p>
    <w:p w:rsidR="003122C5" w:rsidRDefault="003122C5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22C5" w:rsidRDefault="003122C5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Senate Bill 708 (Bean): Filed January 22, 2014, referred to Banking &amp; Insurance (Committee Substitute passed on Februar</w:t>
      </w:r>
      <w:r w:rsidR="00CE3E99">
        <w:rPr>
          <w:rFonts w:ascii="Times New Roman" w:hAnsi="Times New Roman" w:cs="Times New Roman"/>
          <w:sz w:val="28"/>
          <w:szCs w:val="28"/>
        </w:rPr>
        <w:t>y 11, 2014) and Appropriations, effective July 1, 2014, and includes the following provisions:</w:t>
      </w:r>
    </w:p>
    <w:p w:rsidR="00CE3E99" w:rsidRDefault="00CE3E99" w:rsidP="00CE3E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Amends s. 627.409(3), to prohibit</w:t>
      </w:r>
      <w:r w:rsidRPr="00CE3E99">
        <w:rPr>
          <w:rFonts w:ascii="Times New Roman" w:hAnsi="Times New Roman" w:cs="Times New Roman"/>
          <w:sz w:val="28"/>
          <w:szCs w:val="28"/>
        </w:rPr>
        <w:t xml:space="preserve"> denial of a claim based on credit information </w:t>
      </w:r>
      <w:r w:rsidR="00476145">
        <w:rPr>
          <w:rFonts w:ascii="Times New Roman" w:hAnsi="Times New Roman" w:cs="Times New Roman"/>
          <w:sz w:val="28"/>
          <w:szCs w:val="28"/>
        </w:rPr>
        <w:t xml:space="preserve">available in public records </w:t>
      </w:r>
      <w:r w:rsidRPr="00CE3E99">
        <w:rPr>
          <w:rFonts w:ascii="Times New Roman" w:hAnsi="Times New Roman" w:cs="Times New Roman"/>
          <w:sz w:val="28"/>
          <w:szCs w:val="28"/>
        </w:rPr>
        <w:t>for residential policies in effect for more than 90 days.</w:t>
      </w:r>
    </w:p>
    <w:p w:rsidR="00CE3E99" w:rsidRDefault="00CE3E99" w:rsidP="00CE3E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Amends s. 627.4133(2)4. </w:t>
      </w:r>
      <w:r>
        <w:rPr>
          <w:rFonts w:ascii="Times New Roman" w:hAnsi="Times New Roman" w:cs="Times New Roman"/>
          <w:sz w:val="28"/>
          <w:szCs w:val="28"/>
        </w:rPr>
        <w:t>to prohibit</w:t>
      </w:r>
      <w:r w:rsidRPr="00CE3E99">
        <w:rPr>
          <w:rFonts w:ascii="Times New Roman" w:hAnsi="Times New Roman" w:cs="Times New Roman"/>
          <w:sz w:val="28"/>
          <w:szCs w:val="28"/>
        </w:rPr>
        <w:t xml:space="preserve"> denial of a claim based on credit information </w:t>
      </w:r>
      <w:r w:rsidR="00476145">
        <w:rPr>
          <w:rFonts w:ascii="Times New Roman" w:hAnsi="Times New Roman" w:cs="Times New Roman"/>
          <w:sz w:val="28"/>
          <w:szCs w:val="28"/>
        </w:rPr>
        <w:t xml:space="preserve">available in public records for </w:t>
      </w:r>
      <w:r w:rsidRPr="00CE3E99">
        <w:rPr>
          <w:rFonts w:ascii="Times New Roman" w:hAnsi="Times New Roman" w:cs="Times New Roman"/>
          <w:sz w:val="28"/>
          <w:szCs w:val="28"/>
        </w:rPr>
        <w:t>policies in effect for more than 90 days.</w:t>
      </w:r>
    </w:p>
    <w:p w:rsidR="00476145" w:rsidRDefault="00476145" w:rsidP="00CE3E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Amends s. 627.422 to create subsection (2) regarding residential property insurance policies to allow post-loss benefits for repairs or replacement ONLY if:</w:t>
      </w:r>
    </w:p>
    <w:p w:rsidR="00DF7897" w:rsidRDefault="00476145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Assignee notifies insurance</w:t>
      </w:r>
      <w:r w:rsidR="00EE2DD7" w:rsidRPr="00DF7897">
        <w:rPr>
          <w:rFonts w:ascii="Times New Roman" w:hAnsi="Times New Roman" w:cs="Times New Roman"/>
          <w:sz w:val="28"/>
          <w:szCs w:val="28"/>
        </w:rPr>
        <w:t xml:space="preserve"> company within 48 hours of the </w:t>
      </w:r>
      <w:r w:rsidRPr="00DF7897">
        <w:rPr>
          <w:rFonts w:ascii="Times New Roman" w:hAnsi="Times New Roman" w:cs="Times New Roman"/>
          <w:sz w:val="28"/>
          <w:szCs w:val="28"/>
        </w:rPr>
        <w:t>assignment;</w:t>
      </w:r>
    </w:p>
    <w:p w:rsid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Limits the assignment t</w:t>
      </w:r>
      <w:r w:rsidRPr="00DF7897">
        <w:rPr>
          <w:rFonts w:ascii="Times New Roman" w:hAnsi="Times New Roman" w:cs="Times New Roman"/>
          <w:sz w:val="28"/>
          <w:szCs w:val="28"/>
        </w:rPr>
        <w:t xml:space="preserve">o the contracted work to be </w:t>
      </w:r>
      <w:r w:rsidRPr="00DF7897">
        <w:rPr>
          <w:rFonts w:ascii="Times New Roman" w:hAnsi="Times New Roman" w:cs="Times New Roman"/>
          <w:sz w:val="28"/>
          <w:szCs w:val="28"/>
        </w:rPr>
        <w:t>performed and is restricted to cl</w:t>
      </w:r>
      <w:r w:rsidRPr="00DF7897">
        <w:rPr>
          <w:rFonts w:ascii="Times New Roman" w:hAnsi="Times New Roman" w:cs="Times New Roman"/>
          <w:sz w:val="28"/>
          <w:szCs w:val="28"/>
        </w:rPr>
        <w:t>aims for damage to structures covered under the policy;</w:t>
      </w:r>
    </w:p>
    <w:p w:rsid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 xml:space="preserve"> Specifies the estimated </w:t>
      </w:r>
      <w:r w:rsidRPr="00DF7897">
        <w:rPr>
          <w:rFonts w:ascii="Times New Roman" w:hAnsi="Times New Roman" w:cs="Times New Roman"/>
          <w:sz w:val="28"/>
          <w:szCs w:val="28"/>
        </w:rPr>
        <w:t xml:space="preserve">scope and price of the work before it is performed; </w:t>
      </w:r>
    </w:p>
    <w:p w:rsid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Prohibits the assignee f</w:t>
      </w:r>
      <w:r w:rsidRPr="00DF7897">
        <w:rPr>
          <w:rFonts w:ascii="Times New Roman" w:hAnsi="Times New Roman" w:cs="Times New Roman"/>
          <w:sz w:val="28"/>
          <w:szCs w:val="28"/>
        </w:rPr>
        <w:t>rom charging the policyowner</w:t>
      </w:r>
      <w:r w:rsidRPr="00DF7897">
        <w:rPr>
          <w:rFonts w:ascii="Times New Roman" w:hAnsi="Times New Roman" w:cs="Times New Roman"/>
          <w:sz w:val="28"/>
          <w:szCs w:val="28"/>
        </w:rPr>
        <w:t xml:space="preserve"> for any portion of the repa</w:t>
      </w:r>
      <w:r w:rsidRPr="00DF7897">
        <w:rPr>
          <w:rFonts w:ascii="Times New Roman" w:hAnsi="Times New Roman" w:cs="Times New Roman"/>
          <w:sz w:val="28"/>
          <w:szCs w:val="28"/>
        </w:rPr>
        <w:t>ir or replacement beyond the</w:t>
      </w:r>
      <w:r w:rsidRPr="00DF7897">
        <w:rPr>
          <w:rFonts w:ascii="Times New Roman" w:hAnsi="Times New Roman" w:cs="Times New Roman"/>
          <w:sz w:val="28"/>
          <w:szCs w:val="28"/>
        </w:rPr>
        <w:t xml:space="preserve"> applicable deductible contained in the insuran</w:t>
      </w:r>
      <w:r w:rsidRPr="00DF7897">
        <w:rPr>
          <w:rFonts w:ascii="Times New Roman" w:hAnsi="Times New Roman" w:cs="Times New Roman"/>
          <w:sz w:val="28"/>
          <w:szCs w:val="28"/>
        </w:rPr>
        <w:t xml:space="preserve">ce policy; </w:t>
      </w:r>
    </w:p>
    <w:p w:rsid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Prohibits a person performin</w:t>
      </w:r>
      <w:r w:rsidRPr="00DF7897">
        <w:rPr>
          <w:rFonts w:ascii="Times New Roman" w:hAnsi="Times New Roman" w:cs="Times New Roman"/>
          <w:sz w:val="28"/>
          <w:szCs w:val="28"/>
        </w:rPr>
        <w:t xml:space="preserve">g any portion of the repair </w:t>
      </w:r>
      <w:r w:rsidRPr="00DF7897">
        <w:rPr>
          <w:rFonts w:ascii="Times New Roman" w:hAnsi="Times New Roman" w:cs="Times New Roman"/>
          <w:sz w:val="28"/>
          <w:szCs w:val="28"/>
        </w:rPr>
        <w:t>or replacement on behalf of th</w:t>
      </w:r>
      <w:r w:rsidRPr="00DF7897">
        <w:rPr>
          <w:rFonts w:ascii="Times New Roman" w:hAnsi="Times New Roman" w:cs="Times New Roman"/>
          <w:sz w:val="28"/>
          <w:szCs w:val="28"/>
        </w:rPr>
        <w:t>e assignee from chargi</w:t>
      </w:r>
      <w:r w:rsidR="00DF7897">
        <w:rPr>
          <w:rFonts w:ascii="Times New Roman" w:hAnsi="Times New Roman" w:cs="Times New Roman"/>
          <w:sz w:val="28"/>
          <w:szCs w:val="28"/>
        </w:rPr>
        <w:t>ng the policyowner;</w:t>
      </w:r>
    </w:p>
    <w:p w:rsid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Prohibits the assign</w:t>
      </w:r>
      <w:r w:rsidRPr="00DF7897">
        <w:rPr>
          <w:rFonts w:ascii="Times New Roman" w:hAnsi="Times New Roman" w:cs="Times New Roman"/>
          <w:sz w:val="28"/>
          <w:szCs w:val="28"/>
        </w:rPr>
        <w:t xml:space="preserve">ee from retaining insurance </w:t>
      </w:r>
      <w:r w:rsidRPr="00DF7897">
        <w:rPr>
          <w:rFonts w:ascii="Times New Roman" w:hAnsi="Times New Roman" w:cs="Times New Roman"/>
          <w:sz w:val="28"/>
          <w:szCs w:val="28"/>
        </w:rPr>
        <w:t>proceeds that are earmarked by the insu</w:t>
      </w:r>
      <w:r w:rsidRPr="00DF7897">
        <w:rPr>
          <w:rFonts w:ascii="Times New Roman" w:hAnsi="Times New Roman" w:cs="Times New Roman"/>
          <w:sz w:val="28"/>
          <w:szCs w:val="28"/>
        </w:rPr>
        <w:t xml:space="preserve">rer for payment of work </w:t>
      </w:r>
      <w:r w:rsidRPr="00DF7897">
        <w:rPr>
          <w:rFonts w:ascii="Times New Roman" w:hAnsi="Times New Roman" w:cs="Times New Roman"/>
          <w:sz w:val="28"/>
          <w:szCs w:val="28"/>
        </w:rPr>
        <w:t>to be performed by vendors o</w:t>
      </w:r>
      <w:r w:rsidRPr="00DF7897">
        <w:rPr>
          <w:rFonts w:ascii="Times New Roman" w:hAnsi="Times New Roman" w:cs="Times New Roman"/>
          <w:sz w:val="28"/>
          <w:szCs w:val="28"/>
        </w:rPr>
        <w:t xml:space="preserve">ther than the assignee; and </w:t>
      </w:r>
    </w:p>
    <w:p w:rsidR="00476145" w:rsidRPr="00DF7897" w:rsidRDefault="00EE2DD7" w:rsidP="00DF78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Requires the assigne</w:t>
      </w:r>
      <w:r w:rsidRPr="00DF7897">
        <w:rPr>
          <w:rFonts w:ascii="Times New Roman" w:hAnsi="Times New Roman" w:cs="Times New Roman"/>
          <w:sz w:val="28"/>
          <w:szCs w:val="28"/>
        </w:rPr>
        <w:t>e to guarantee that the work</w:t>
      </w:r>
      <w:r w:rsidRPr="00DF7897">
        <w:rPr>
          <w:rFonts w:ascii="Times New Roman" w:hAnsi="Times New Roman" w:cs="Times New Roman"/>
          <w:sz w:val="28"/>
          <w:szCs w:val="28"/>
        </w:rPr>
        <w:t xml:space="preserve"> </w:t>
      </w:r>
      <w:r w:rsidR="00DF7897" w:rsidRPr="00DF7897">
        <w:rPr>
          <w:rFonts w:ascii="Times New Roman" w:hAnsi="Times New Roman" w:cs="Times New Roman"/>
          <w:sz w:val="28"/>
          <w:szCs w:val="28"/>
        </w:rPr>
        <w:t>performed for</w:t>
      </w:r>
      <w:r w:rsidRPr="00DF7897">
        <w:rPr>
          <w:rFonts w:ascii="Times New Roman" w:hAnsi="Times New Roman" w:cs="Times New Roman"/>
          <w:sz w:val="28"/>
          <w:szCs w:val="28"/>
        </w:rPr>
        <w:t xml:space="preserve"> the loss event c</w:t>
      </w:r>
      <w:r w:rsidRPr="00DF7897">
        <w:rPr>
          <w:rFonts w:ascii="Times New Roman" w:hAnsi="Times New Roman" w:cs="Times New Roman"/>
          <w:sz w:val="28"/>
          <w:szCs w:val="28"/>
        </w:rPr>
        <w:t>onforms to the most recent, accepted industry standards.</w:t>
      </w:r>
    </w:p>
    <w:p w:rsidR="00D00512" w:rsidRPr="00DF7897" w:rsidRDefault="00D00512" w:rsidP="00DF78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Creates s. 627.70151 to set forth a “conflicts of interest”</w:t>
      </w:r>
      <w:r w:rsidR="00DF7897" w:rsidRPr="00DF7897">
        <w:rPr>
          <w:rFonts w:ascii="Times New Roman" w:hAnsi="Times New Roman" w:cs="Times New Roman"/>
          <w:sz w:val="28"/>
          <w:szCs w:val="28"/>
        </w:rPr>
        <w:t xml:space="preserve"> for impartial umpires to estimate or evaluate the amount of loss by allowing such umpires</w:t>
      </w:r>
      <w:r w:rsidRPr="00DF7897">
        <w:rPr>
          <w:rFonts w:ascii="Times New Roman" w:hAnsi="Times New Roman" w:cs="Times New Roman"/>
          <w:sz w:val="28"/>
          <w:szCs w:val="28"/>
        </w:rPr>
        <w:t xml:space="preserve"> to be challenged only if:</w:t>
      </w:r>
    </w:p>
    <w:p w:rsidR="00DF7897" w:rsidRPr="00DF7897" w:rsidRDefault="00DF7897" w:rsidP="00DF7897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 xml:space="preserve">(1) A familial relationship within the third degree exists 313 between the umpire and a party or a representative of a party; 314 </w:t>
      </w:r>
    </w:p>
    <w:p w:rsidR="00DF7897" w:rsidRPr="00DF7897" w:rsidRDefault="00DF7897" w:rsidP="00DF7897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 xml:space="preserve">(2) The umpire has previously represented a party or a 315 representative of a party in a professional capacity in the same 316 or a substantially related matter; 317 </w:t>
      </w:r>
    </w:p>
    <w:p w:rsidR="00DF7897" w:rsidRPr="00DF7897" w:rsidRDefault="00DF7897" w:rsidP="00DF7897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(3) The umpire has represented another person in a 318 professional capacity on the same or a substantially related</w:t>
      </w:r>
      <w:r w:rsidRPr="00DF7897">
        <w:rPr>
          <w:rFonts w:ascii="Times New Roman" w:hAnsi="Times New Roman" w:cs="Times New Roman"/>
          <w:sz w:val="28"/>
          <w:szCs w:val="28"/>
        </w:rPr>
        <w:t xml:space="preserve"> </w:t>
      </w:r>
      <w:r w:rsidRPr="00DF7897">
        <w:rPr>
          <w:rFonts w:ascii="Times New Roman" w:hAnsi="Times New Roman" w:cs="Times New Roman"/>
          <w:sz w:val="28"/>
          <w:szCs w:val="28"/>
        </w:rPr>
        <w:t xml:space="preserve">matter that includes the claim or the same property, and the 320 other person’s interests are materially adverse to the interests 321 of a party; or 322 </w:t>
      </w:r>
    </w:p>
    <w:p w:rsidR="00CE3E99" w:rsidRPr="00DF7897" w:rsidRDefault="00DF7897" w:rsidP="00DF7897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F7897">
        <w:rPr>
          <w:rFonts w:ascii="Times New Roman" w:hAnsi="Times New Roman" w:cs="Times New Roman"/>
          <w:sz w:val="28"/>
          <w:szCs w:val="28"/>
        </w:rPr>
        <w:t>(4) The umpire has worked as an employer or employee of a 323 party within the preceding 5 years.</w:t>
      </w:r>
    </w:p>
    <w:p w:rsidR="003122C5" w:rsidRDefault="003122C5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22C5" w:rsidRDefault="003122C5" w:rsidP="005C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759 (Moraitis and Steube): Similar to Senate Bill 708 above.</w:t>
      </w:r>
    </w:p>
    <w:p w:rsidR="00830D4F" w:rsidRPr="00830D4F" w:rsidRDefault="00830D4F" w:rsidP="00EE2D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0D4F" w:rsidRPr="0083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1F0"/>
    <w:multiLevelType w:val="hybridMultilevel"/>
    <w:tmpl w:val="8BB88244"/>
    <w:lvl w:ilvl="0" w:tplc="4F746C26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5F85A4B"/>
    <w:multiLevelType w:val="hybridMultilevel"/>
    <w:tmpl w:val="BD6A1D12"/>
    <w:lvl w:ilvl="0" w:tplc="F656C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7F44CE"/>
    <w:multiLevelType w:val="hybridMultilevel"/>
    <w:tmpl w:val="62468966"/>
    <w:lvl w:ilvl="0" w:tplc="052CE7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4E379F"/>
    <w:multiLevelType w:val="hybridMultilevel"/>
    <w:tmpl w:val="EB9077F6"/>
    <w:lvl w:ilvl="0" w:tplc="E1DC731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4F"/>
    <w:rsid w:val="00113840"/>
    <w:rsid w:val="003122C5"/>
    <w:rsid w:val="00476145"/>
    <w:rsid w:val="005C20AD"/>
    <w:rsid w:val="006670A0"/>
    <w:rsid w:val="00830D4F"/>
    <w:rsid w:val="00A0328A"/>
    <w:rsid w:val="00AC757D"/>
    <w:rsid w:val="00CE3E99"/>
    <w:rsid w:val="00D00512"/>
    <w:rsid w:val="00DF7897"/>
    <w:rsid w:val="00ED6D65"/>
    <w:rsid w:val="00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18DC6-2124-4D41-9C49-18ED259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E99"/>
    <w:pPr>
      <w:ind w:left="720"/>
      <w:contextualSpacing/>
    </w:pPr>
  </w:style>
  <w:style w:type="paragraph" w:customStyle="1" w:styleId="Default">
    <w:name w:val="Default"/>
    <w:rsid w:val="00EE2D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7</cp:revision>
  <cp:lastPrinted>2014-02-23T22:26:00Z</cp:lastPrinted>
  <dcterms:created xsi:type="dcterms:W3CDTF">2014-02-23T14:50:00Z</dcterms:created>
  <dcterms:modified xsi:type="dcterms:W3CDTF">2014-02-23T22:25:00Z</dcterms:modified>
</cp:coreProperties>
</file>