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C0F8" w14:textId="21197C12" w:rsidR="00FE15C0" w:rsidRPr="007C75E8" w:rsidRDefault="00856BD8" w:rsidP="007C75E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Florida </w:t>
      </w:r>
      <w:r w:rsidR="00FE15C0" w:rsidRPr="007C75E8">
        <w:rPr>
          <w:b/>
          <w:bCs/>
          <w:sz w:val="24"/>
          <w:szCs w:val="24"/>
        </w:rPr>
        <w:t xml:space="preserve">Real Property </w:t>
      </w:r>
      <w:r w:rsidR="00535FE8">
        <w:rPr>
          <w:b/>
          <w:bCs/>
          <w:sz w:val="24"/>
          <w:szCs w:val="24"/>
        </w:rPr>
        <w:t>and</w:t>
      </w:r>
      <w:r w:rsidR="00FE15C0" w:rsidRPr="007C75E8">
        <w:rPr>
          <w:b/>
          <w:bCs/>
          <w:sz w:val="24"/>
          <w:szCs w:val="24"/>
        </w:rPr>
        <w:t xml:space="preserve"> </w:t>
      </w:r>
      <w:r w:rsidR="00DC1D8B" w:rsidRPr="007C75E8">
        <w:rPr>
          <w:b/>
          <w:bCs/>
          <w:sz w:val="24"/>
          <w:szCs w:val="24"/>
        </w:rPr>
        <w:t>Business</w:t>
      </w:r>
      <w:r w:rsidR="00FE15C0" w:rsidRPr="007C75E8">
        <w:rPr>
          <w:b/>
          <w:bCs/>
          <w:sz w:val="24"/>
          <w:szCs w:val="24"/>
        </w:rPr>
        <w:t xml:space="preserve"> L</w:t>
      </w:r>
      <w:r w:rsidR="000F1EB5">
        <w:rPr>
          <w:b/>
          <w:bCs/>
          <w:sz w:val="24"/>
          <w:szCs w:val="24"/>
        </w:rPr>
        <w:t>i</w:t>
      </w:r>
      <w:r w:rsidR="00FE15C0" w:rsidRPr="007C75E8">
        <w:rPr>
          <w:b/>
          <w:bCs/>
          <w:sz w:val="24"/>
          <w:szCs w:val="24"/>
        </w:rPr>
        <w:t>tigation Report</w:t>
      </w:r>
    </w:p>
    <w:p w14:paraId="682AB24D" w14:textId="5718FD9D" w:rsidR="00A90251" w:rsidRDefault="00FE15C0" w:rsidP="007C75E8">
      <w:pPr>
        <w:pStyle w:val="NoSpacing"/>
        <w:jc w:val="center"/>
        <w:rPr>
          <w:b/>
          <w:bCs/>
          <w:sz w:val="24"/>
          <w:szCs w:val="24"/>
        </w:rPr>
      </w:pPr>
      <w:r w:rsidRPr="007C75E8">
        <w:rPr>
          <w:b/>
          <w:bCs/>
          <w:sz w:val="24"/>
          <w:szCs w:val="24"/>
        </w:rPr>
        <w:t xml:space="preserve">Volume </w:t>
      </w:r>
      <w:r w:rsidR="0088469F">
        <w:rPr>
          <w:b/>
          <w:bCs/>
          <w:sz w:val="24"/>
          <w:szCs w:val="24"/>
        </w:rPr>
        <w:t>X</w:t>
      </w:r>
      <w:r w:rsidR="000B1F4B">
        <w:rPr>
          <w:b/>
          <w:bCs/>
          <w:sz w:val="24"/>
          <w:szCs w:val="24"/>
        </w:rPr>
        <w:t>V</w:t>
      </w:r>
      <w:r w:rsidR="008938EA">
        <w:rPr>
          <w:b/>
          <w:bCs/>
          <w:sz w:val="24"/>
          <w:szCs w:val="24"/>
        </w:rPr>
        <w:t>I</w:t>
      </w:r>
      <w:r w:rsidR="001A376D">
        <w:rPr>
          <w:b/>
          <w:bCs/>
          <w:sz w:val="24"/>
          <w:szCs w:val="24"/>
        </w:rPr>
        <w:t>I</w:t>
      </w:r>
      <w:r w:rsidRPr="007C75E8">
        <w:rPr>
          <w:b/>
          <w:bCs/>
          <w:sz w:val="24"/>
          <w:szCs w:val="24"/>
        </w:rPr>
        <w:t>, Issue</w:t>
      </w:r>
      <w:r w:rsidR="00C9544F">
        <w:rPr>
          <w:b/>
          <w:bCs/>
          <w:sz w:val="24"/>
          <w:szCs w:val="24"/>
        </w:rPr>
        <w:t xml:space="preserve"> </w:t>
      </w:r>
      <w:r w:rsidR="00C90D9F">
        <w:rPr>
          <w:b/>
          <w:bCs/>
          <w:sz w:val="24"/>
          <w:szCs w:val="24"/>
        </w:rPr>
        <w:t>4</w:t>
      </w:r>
      <w:r w:rsidR="00AD43FB">
        <w:rPr>
          <w:b/>
          <w:bCs/>
          <w:sz w:val="24"/>
          <w:szCs w:val="24"/>
        </w:rPr>
        <w:t>4</w:t>
      </w:r>
    </w:p>
    <w:p w14:paraId="4588FF30" w14:textId="6C5A9C53" w:rsidR="00FE15C0" w:rsidRPr="007C75E8" w:rsidRDefault="00AD43FB" w:rsidP="007C75E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2</w:t>
      </w:r>
      <w:r w:rsidR="0088469F">
        <w:rPr>
          <w:b/>
          <w:bCs/>
          <w:sz w:val="24"/>
          <w:szCs w:val="24"/>
        </w:rPr>
        <w:t>,</w:t>
      </w:r>
      <w:r w:rsidR="00DC078A">
        <w:rPr>
          <w:b/>
          <w:bCs/>
          <w:sz w:val="24"/>
          <w:szCs w:val="24"/>
        </w:rPr>
        <w:t xml:space="preserve"> </w:t>
      </w:r>
      <w:r w:rsidR="008938EA">
        <w:rPr>
          <w:b/>
          <w:bCs/>
          <w:sz w:val="24"/>
          <w:szCs w:val="24"/>
        </w:rPr>
        <w:t>202</w:t>
      </w:r>
      <w:r w:rsidR="00AE1F10">
        <w:rPr>
          <w:b/>
          <w:bCs/>
          <w:sz w:val="24"/>
          <w:szCs w:val="24"/>
        </w:rPr>
        <w:t>4</w:t>
      </w:r>
    </w:p>
    <w:p w14:paraId="7389D193" w14:textId="2758603F" w:rsidR="00C736BF" w:rsidRDefault="00FE15C0" w:rsidP="001738C8">
      <w:pPr>
        <w:pStyle w:val="NoSpacing"/>
        <w:jc w:val="center"/>
        <w:rPr>
          <w:b/>
          <w:bCs/>
          <w:sz w:val="24"/>
          <w:szCs w:val="24"/>
        </w:rPr>
      </w:pPr>
      <w:r w:rsidRPr="0082442A">
        <w:rPr>
          <w:b/>
          <w:bCs/>
          <w:sz w:val="24"/>
          <w:szCs w:val="24"/>
        </w:rPr>
        <w:t>Manuel</w:t>
      </w:r>
      <w:r w:rsidR="000F6F0E" w:rsidRPr="0082442A">
        <w:rPr>
          <w:b/>
          <w:bCs/>
          <w:sz w:val="24"/>
          <w:szCs w:val="24"/>
        </w:rPr>
        <w:t xml:space="preserve"> </w:t>
      </w:r>
      <w:r w:rsidR="00A40181">
        <w:rPr>
          <w:b/>
          <w:bCs/>
          <w:sz w:val="24"/>
          <w:szCs w:val="24"/>
        </w:rPr>
        <w:t>Farach</w:t>
      </w:r>
    </w:p>
    <w:p w14:paraId="52E5897B" w14:textId="77777777" w:rsidR="00A90251" w:rsidRDefault="00A90251" w:rsidP="00A90251">
      <w:pPr>
        <w:pStyle w:val="NoSpacing"/>
        <w:jc w:val="both"/>
        <w:rPr>
          <w:b/>
          <w:bCs/>
          <w:sz w:val="24"/>
          <w:szCs w:val="24"/>
        </w:rPr>
      </w:pPr>
    </w:p>
    <w:p w14:paraId="3E07FCC0" w14:textId="3934BE6E" w:rsidR="00AD43FB" w:rsidRDefault="00AD43FB" w:rsidP="00AD43FB">
      <w:pPr>
        <w:pStyle w:val="NoSpacing"/>
        <w:jc w:val="both"/>
        <w:rPr>
          <w:sz w:val="24"/>
          <w:szCs w:val="24"/>
        </w:rPr>
      </w:pPr>
      <w:r w:rsidRPr="00AD43FB">
        <w:rPr>
          <w:b/>
          <w:bCs/>
          <w:sz w:val="24"/>
          <w:szCs w:val="24"/>
        </w:rPr>
        <w:t xml:space="preserve">VFS </w:t>
      </w:r>
      <w:r w:rsidRPr="00AD43FB">
        <w:rPr>
          <w:b/>
          <w:bCs/>
          <w:sz w:val="24"/>
          <w:szCs w:val="24"/>
        </w:rPr>
        <w:t>Leasing Co</w:t>
      </w:r>
      <w:r>
        <w:rPr>
          <w:b/>
          <w:bCs/>
          <w:sz w:val="24"/>
          <w:szCs w:val="24"/>
        </w:rPr>
        <w:t xml:space="preserve">. v. </w:t>
      </w:r>
      <w:r w:rsidRPr="00AD43FB">
        <w:rPr>
          <w:b/>
          <w:bCs/>
          <w:sz w:val="24"/>
          <w:szCs w:val="24"/>
        </w:rPr>
        <w:t>Markel Insurance Compan</w:t>
      </w:r>
      <w:r>
        <w:rPr>
          <w:b/>
          <w:bCs/>
          <w:sz w:val="24"/>
          <w:szCs w:val="24"/>
        </w:rPr>
        <w:t>y</w:t>
      </w:r>
      <w:r>
        <w:rPr>
          <w:sz w:val="24"/>
          <w:szCs w:val="24"/>
        </w:rPr>
        <w:t xml:space="preserve">, Case </w:t>
      </w:r>
      <w:r w:rsidRPr="00AD43FB">
        <w:rPr>
          <w:sz w:val="24"/>
          <w:szCs w:val="24"/>
        </w:rPr>
        <w:t>No. 22-13338</w:t>
      </w:r>
      <w:r>
        <w:rPr>
          <w:sz w:val="24"/>
          <w:szCs w:val="24"/>
        </w:rPr>
        <w:t xml:space="preserve"> (11th Cir. 2024).</w:t>
      </w:r>
    </w:p>
    <w:p w14:paraId="6C73F564" w14:textId="20F03C00" w:rsidR="00AD43FB" w:rsidRDefault="0081419D" w:rsidP="00AD43F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7" w:history="1">
        <w:r w:rsidRPr="00CC3627">
          <w:rPr>
            <w:rStyle w:val="Hyperlink"/>
            <w:sz w:val="24"/>
            <w:szCs w:val="24"/>
          </w:rPr>
          <w:t>https://media.ca11.uscourts.gov/opinions/pub/files/202213338.pdf</w:t>
        </w:r>
      </w:hyperlink>
      <w:r>
        <w:rPr>
          <w:sz w:val="24"/>
          <w:szCs w:val="24"/>
        </w:rPr>
        <w:t>)</w:t>
      </w:r>
    </w:p>
    <w:p w14:paraId="24651413" w14:textId="59B31BEF" w:rsidR="0081419D" w:rsidRDefault="0081419D" w:rsidP="0081419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Pursuant to </w:t>
      </w:r>
      <w:r w:rsidRPr="0081419D">
        <w:rPr>
          <w:sz w:val="24"/>
          <w:szCs w:val="24"/>
        </w:rPr>
        <w:t xml:space="preserve">Florida Statute </w:t>
      </w:r>
      <w:r>
        <w:rPr>
          <w:sz w:val="24"/>
          <w:szCs w:val="24"/>
        </w:rPr>
        <w:t>section</w:t>
      </w:r>
      <w:r w:rsidRPr="0081419D">
        <w:rPr>
          <w:sz w:val="24"/>
          <w:szCs w:val="24"/>
        </w:rPr>
        <w:t xml:space="preserve"> 673.4141(3), a drawer is discharged of its payment obligation when a jointly issued check is</w:t>
      </w:r>
      <w:r>
        <w:rPr>
          <w:sz w:val="24"/>
          <w:szCs w:val="24"/>
        </w:rPr>
        <w:t xml:space="preserve"> </w:t>
      </w:r>
      <w:r w:rsidRPr="0081419D">
        <w:rPr>
          <w:sz w:val="24"/>
          <w:szCs w:val="24"/>
        </w:rPr>
        <w:t>accepted by a drawee bank.</w:t>
      </w:r>
    </w:p>
    <w:p w14:paraId="02AABFEB" w14:textId="77777777" w:rsidR="0081419D" w:rsidRDefault="0081419D" w:rsidP="0081419D">
      <w:pPr>
        <w:pStyle w:val="NoSpacing"/>
        <w:jc w:val="both"/>
        <w:rPr>
          <w:sz w:val="24"/>
          <w:szCs w:val="24"/>
        </w:rPr>
      </w:pPr>
    </w:p>
    <w:p w14:paraId="2B6A05CE" w14:textId="06AFFB69" w:rsidR="0081419D" w:rsidRDefault="0081419D" w:rsidP="0081419D">
      <w:pPr>
        <w:pStyle w:val="NoSpacing"/>
        <w:jc w:val="both"/>
        <w:rPr>
          <w:sz w:val="24"/>
          <w:szCs w:val="24"/>
        </w:rPr>
      </w:pPr>
      <w:r w:rsidRPr="0081419D">
        <w:rPr>
          <w:b/>
          <w:bCs/>
          <w:sz w:val="24"/>
          <w:szCs w:val="24"/>
        </w:rPr>
        <w:t>In Re: Amendments To The Florida Rules For Court</w:t>
      </w:r>
      <w:r>
        <w:rPr>
          <w:b/>
          <w:bCs/>
          <w:sz w:val="24"/>
          <w:szCs w:val="24"/>
        </w:rPr>
        <w:t xml:space="preserve"> A</w:t>
      </w:r>
      <w:r w:rsidRPr="0081419D">
        <w:rPr>
          <w:b/>
          <w:bCs/>
          <w:sz w:val="24"/>
          <w:szCs w:val="24"/>
        </w:rPr>
        <w:t>ppointed Arbitrators</w:t>
      </w:r>
      <w:r>
        <w:rPr>
          <w:sz w:val="24"/>
          <w:szCs w:val="24"/>
        </w:rPr>
        <w:t xml:space="preserve">, Case </w:t>
      </w:r>
      <w:r w:rsidRPr="0081419D">
        <w:rPr>
          <w:sz w:val="24"/>
          <w:szCs w:val="24"/>
        </w:rPr>
        <w:t>No. SC2024-0442</w:t>
      </w:r>
      <w:r>
        <w:rPr>
          <w:sz w:val="24"/>
          <w:szCs w:val="24"/>
        </w:rPr>
        <w:t xml:space="preserve"> (Fla. 2024).</w:t>
      </w:r>
    </w:p>
    <w:p w14:paraId="728783E8" w14:textId="6491C9F9" w:rsidR="0081419D" w:rsidRDefault="0081419D" w:rsidP="0081419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8" w:history="1">
        <w:r w:rsidRPr="00CC3627">
          <w:rPr>
            <w:rStyle w:val="Hyperlink"/>
            <w:sz w:val="24"/>
            <w:szCs w:val="24"/>
          </w:rPr>
          <w:t>https://supremecourt.flcourts.gov/content/download/2442769/opinion/Opinion_SC2024-0442.pdf</w:t>
        </w:r>
      </w:hyperlink>
      <w:r>
        <w:rPr>
          <w:sz w:val="24"/>
          <w:szCs w:val="24"/>
        </w:rPr>
        <w:t>)</w:t>
      </w:r>
    </w:p>
    <w:p w14:paraId="49F8A26D" w14:textId="434E6923" w:rsidR="0081419D" w:rsidRDefault="0081419D" w:rsidP="0081419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Florida Rule for </w:t>
      </w:r>
      <w:r w:rsidR="007822D4">
        <w:rPr>
          <w:sz w:val="24"/>
          <w:szCs w:val="24"/>
        </w:rPr>
        <w:t xml:space="preserve">Court-Appointed </w:t>
      </w:r>
      <w:r>
        <w:rPr>
          <w:sz w:val="24"/>
          <w:szCs w:val="24"/>
        </w:rPr>
        <w:t xml:space="preserve">Arbitrators 11.010 is amended to clarify that  </w:t>
      </w:r>
      <w:r w:rsidRPr="0081419D">
        <w:rPr>
          <w:sz w:val="24"/>
          <w:szCs w:val="24"/>
        </w:rPr>
        <w:t>sole or chief court-appointed arbitrator must be a member in good</w:t>
      </w:r>
      <w:r>
        <w:rPr>
          <w:sz w:val="24"/>
          <w:szCs w:val="24"/>
        </w:rPr>
        <w:t xml:space="preserve"> </w:t>
      </w:r>
      <w:r w:rsidRPr="0081419D">
        <w:rPr>
          <w:sz w:val="24"/>
          <w:szCs w:val="24"/>
        </w:rPr>
        <w:t>standing of The Florida Bar for the preceding five years unless the</w:t>
      </w:r>
      <w:r>
        <w:rPr>
          <w:sz w:val="24"/>
          <w:szCs w:val="24"/>
        </w:rPr>
        <w:t xml:space="preserve"> </w:t>
      </w:r>
      <w:r w:rsidRPr="0081419D">
        <w:rPr>
          <w:sz w:val="24"/>
          <w:szCs w:val="24"/>
        </w:rPr>
        <w:t>parties agree in writing that the sole or chief court-appointed</w:t>
      </w:r>
      <w:r>
        <w:rPr>
          <w:sz w:val="24"/>
          <w:szCs w:val="24"/>
        </w:rPr>
        <w:t xml:space="preserve"> </w:t>
      </w:r>
      <w:r w:rsidRPr="0081419D">
        <w:rPr>
          <w:sz w:val="24"/>
          <w:szCs w:val="24"/>
        </w:rPr>
        <w:t>arbitrator may be an individual who has been for the preceding five</w:t>
      </w:r>
      <w:r>
        <w:rPr>
          <w:sz w:val="24"/>
          <w:szCs w:val="24"/>
        </w:rPr>
        <w:t xml:space="preserve"> </w:t>
      </w:r>
      <w:r w:rsidRPr="0081419D">
        <w:rPr>
          <w:sz w:val="24"/>
          <w:szCs w:val="24"/>
        </w:rPr>
        <w:t>years a member in good standing and eligible to practice law in any</w:t>
      </w:r>
      <w:r>
        <w:rPr>
          <w:sz w:val="24"/>
          <w:szCs w:val="24"/>
        </w:rPr>
        <w:t xml:space="preserve"> </w:t>
      </w:r>
      <w:r w:rsidRPr="0081419D">
        <w:rPr>
          <w:sz w:val="24"/>
          <w:szCs w:val="24"/>
        </w:rPr>
        <w:t xml:space="preserve">United States jurisdiction, </w:t>
      </w:r>
      <w:r>
        <w:rPr>
          <w:sz w:val="24"/>
          <w:szCs w:val="24"/>
        </w:rPr>
        <w:t xml:space="preserve">and </w:t>
      </w:r>
      <w:r w:rsidRPr="0081419D">
        <w:rPr>
          <w:sz w:val="24"/>
          <w:szCs w:val="24"/>
        </w:rPr>
        <w:t>a non</w:t>
      </w:r>
      <w:r>
        <w:rPr>
          <w:sz w:val="24"/>
          <w:szCs w:val="24"/>
        </w:rPr>
        <w:t>-</w:t>
      </w:r>
      <w:r w:rsidRPr="0081419D">
        <w:rPr>
          <w:sz w:val="24"/>
          <w:szCs w:val="24"/>
        </w:rPr>
        <w:t>licensed individual who is not currently disbarred or suspended</w:t>
      </w:r>
      <w:r>
        <w:rPr>
          <w:sz w:val="24"/>
          <w:szCs w:val="24"/>
        </w:rPr>
        <w:t xml:space="preserve"> </w:t>
      </w:r>
      <w:r w:rsidRPr="0081419D">
        <w:rPr>
          <w:sz w:val="24"/>
          <w:szCs w:val="24"/>
        </w:rPr>
        <w:t>from practice in any jurisdiction may serve as a non-chair arbitrator</w:t>
      </w:r>
      <w:r>
        <w:rPr>
          <w:sz w:val="24"/>
          <w:szCs w:val="24"/>
        </w:rPr>
        <w:t xml:space="preserve"> </w:t>
      </w:r>
      <w:r w:rsidRPr="0081419D">
        <w:rPr>
          <w:sz w:val="24"/>
          <w:szCs w:val="24"/>
        </w:rPr>
        <w:t>on an arbitration panel with the written agreement of all parties.</w:t>
      </w:r>
    </w:p>
    <w:p w14:paraId="32436ECE" w14:textId="77777777" w:rsidR="007822D4" w:rsidRDefault="007822D4" w:rsidP="0081419D">
      <w:pPr>
        <w:pStyle w:val="NoSpacing"/>
        <w:jc w:val="both"/>
        <w:rPr>
          <w:sz w:val="24"/>
          <w:szCs w:val="24"/>
        </w:rPr>
      </w:pPr>
    </w:p>
    <w:p w14:paraId="1074483E" w14:textId="2CD0EEEF" w:rsidR="007822D4" w:rsidRDefault="007822D4" w:rsidP="007822D4">
      <w:pPr>
        <w:pStyle w:val="NoSpacing"/>
        <w:jc w:val="both"/>
        <w:rPr>
          <w:sz w:val="24"/>
          <w:szCs w:val="24"/>
        </w:rPr>
      </w:pPr>
      <w:r w:rsidRPr="007822D4">
        <w:rPr>
          <w:b/>
          <w:bCs/>
          <w:sz w:val="24"/>
          <w:szCs w:val="24"/>
        </w:rPr>
        <w:t>In Re: Amendments To Rules Regulating The Florida Bar – Rule 6-10.3</w:t>
      </w:r>
      <w:r>
        <w:rPr>
          <w:sz w:val="24"/>
          <w:szCs w:val="24"/>
        </w:rPr>
        <w:t xml:space="preserve">, Case </w:t>
      </w:r>
      <w:r w:rsidRPr="007822D4">
        <w:rPr>
          <w:sz w:val="24"/>
          <w:szCs w:val="24"/>
        </w:rPr>
        <w:t>No. SC2024-0964</w:t>
      </w:r>
      <w:r>
        <w:rPr>
          <w:sz w:val="24"/>
          <w:szCs w:val="24"/>
        </w:rPr>
        <w:t xml:space="preserve"> (Fla. 2024).</w:t>
      </w:r>
    </w:p>
    <w:p w14:paraId="34A064A6" w14:textId="253B87A8" w:rsidR="007822D4" w:rsidRDefault="007822D4" w:rsidP="007822D4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9" w:history="1">
        <w:r w:rsidRPr="00CC3627">
          <w:rPr>
            <w:rStyle w:val="Hyperlink"/>
            <w:sz w:val="24"/>
            <w:szCs w:val="24"/>
          </w:rPr>
          <w:t>https://supremecourt.flcourts.gov/content/download/2442770/opinion/Opinion_SC2024-0964.pdf</w:t>
        </w:r>
      </w:hyperlink>
      <w:r>
        <w:rPr>
          <w:sz w:val="24"/>
          <w:szCs w:val="24"/>
        </w:rPr>
        <w:t>)</w:t>
      </w:r>
    </w:p>
    <w:p w14:paraId="32C353C2" w14:textId="5750E7DE" w:rsidR="007822D4" w:rsidRDefault="007822D4" w:rsidP="007822D4">
      <w:pPr>
        <w:pStyle w:val="NoSpacing"/>
        <w:jc w:val="both"/>
        <w:rPr>
          <w:sz w:val="24"/>
          <w:szCs w:val="24"/>
        </w:rPr>
      </w:pPr>
      <w:r w:rsidRPr="007822D4">
        <w:rPr>
          <w:sz w:val="24"/>
          <w:szCs w:val="24"/>
        </w:rPr>
        <w:t xml:space="preserve">The Florida Supreme Court </w:t>
      </w:r>
      <w:r>
        <w:rPr>
          <w:sz w:val="24"/>
          <w:szCs w:val="24"/>
        </w:rPr>
        <w:t>approves</w:t>
      </w:r>
      <w:r w:rsidRPr="007822D4">
        <w:rPr>
          <w:sz w:val="24"/>
          <w:szCs w:val="24"/>
        </w:rPr>
        <w:t xml:space="preserve"> minor </w:t>
      </w:r>
      <w:r w:rsidR="001C6F1F" w:rsidRPr="007822D4">
        <w:rPr>
          <w:sz w:val="24"/>
          <w:szCs w:val="24"/>
        </w:rPr>
        <w:t>revisions of</w:t>
      </w:r>
      <w:r w:rsidRPr="007822D4">
        <w:rPr>
          <w:sz w:val="24"/>
          <w:szCs w:val="24"/>
        </w:rPr>
        <w:t xml:space="preserve"> the Bar's proposal for pro bono credit</w:t>
      </w:r>
      <w:r>
        <w:rPr>
          <w:sz w:val="24"/>
          <w:szCs w:val="24"/>
        </w:rPr>
        <w:t xml:space="preserve"> and holds that Florida Bar members can earn up to one hour of general credit hour for </w:t>
      </w:r>
      <w:r w:rsidRPr="007822D4">
        <w:rPr>
          <w:sz w:val="24"/>
          <w:szCs w:val="24"/>
        </w:rPr>
        <w:t>every hour of pro bono service</w:t>
      </w:r>
      <w:r>
        <w:rPr>
          <w:sz w:val="24"/>
          <w:szCs w:val="24"/>
        </w:rPr>
        <w:t xml:space="preserve"> up to a total of </w:t>
      </w:r>
      <w:r w:rsidRPr="007822D4">
        <w:rPr>
          <w:sz w:val="24"/>
          <w:szCs w:val="24"/>
        </w:rPr>
        <w:t xml:space="preserve">5 credits per 3-year cycle. </w:t>
      </w:r>
    </w:p>
    <w:p w14:paraId="059B3B98" w14:textId="77777777" w:rsidR="007822D4" w:rsidRDefault="007822D4" w:rsidP="007822D4">
      <w:pPr>
        <w:pStyle w:val="NoSpacing"/>
        <w:jc w:val="both"/>
        <w:rPr>
          <w:sz w:val="24"/>
          <w:szCs w:val="24"/>
        </w:rPr>
      </w:pPr>
    </w:p>
    <w:p w14:paraId="42017E8D" w14:textId="3FE9750D" w:rsidR="007822D4" w:rsidRDefault="007822D4" w:rsidP="007822D4">
      <w:pPr>
        <w:pStyle w:val="NoSpacing"/>
        <w:jc w:val="both"/>
        <w:rPr>
          <w:sz w:val="24"/>
          <w:szCs w:val="24"/>
        </w:rPr>
      </w:pPr>
      <w:r w:rsidRPr="007822D4">
        <w:rPr>
          <w:b/>
          <w:bCs/>
          <w:sz w:val="24"/>
          <w:szCs w:val="24"/>
        </w:rPr>
        <w:t>KAC 2021-1, LLC</w:t>
      </w:r>
      <w:r w:rsidRPr="007822D4">
        <w:rPr>
          <w:b/>
          <w:bCs/>
          <w:sz w:val="24"/>
          <w:szCs w:val="24"/>
        </w:rPr>
        <w:t xml:space="preserve"> v. American Homes 4 Rent Properties One</w:t>
      </w:r>
      <w:r w:rsidRPr="007822D4">
        <w:rPr>
          <w:b/>
          <w:bCs/>
          <w:sz w:val="24"/>
          <w:szCs w:val="24"/>
        </w:rPr>
        <w:t>, LLC</w:t>
      </w:r>
      <w:r w:rsidRPr="007822D4">
        <w:rPr>
          <w:sz w:val="24"/>
          <w:szCs w:val="24"/>
        </w:rPr>
        <w:t>,</w:t>
      </w:r>
      <w:r>
        <w:rPr>
          <w:sz w:val="24"/>
          <w:szCs w:val="24"/>
        </w:rPr>
        <w:t xml:space="preserve"> Case No. </w:t>
      </w:r>
      <w:r w:rsidRPr="007822D4">
        <w:rPr>
          <w:sz w:val="24"/>
          <w:szCs w:val="24"/>
        </w:rPr>
        <w:t>2D2023-1384</w:t>
      </w:r>
      <w:r>
        <w:rPr>
          <w:sz w:val="24"/>
          <w:szCs w:val="24"/>
        </w:rPr>
        <w:t xml:space="preserve"> (Fla. 2d DCA 2024).</w:t>
      </w:r>
    </w:p>
    <w:p w14:paraId="3A98A773" w14:textId="034D2508" w:rsidR="00AD43FB" w:rsidRDefault="007822D4" w:rsidP="00AD43F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0" w:history="1">
        <w:r w:rsidRPr="00CC3627">
          <w:rPr>
            <w:rStyle w:val="Hyperlink"/>
            <w:sz w:val="24"/>
            <w:szCs w:val="24"/>
          </w:rPr>
          <w:t>https://2dca.flcourts.gov/content/download/2442653/opinion/Opinion_2023-1384.pdf</w:t>
        </w:r>
      </w:hyperlink>
      <w:r>
        <w:rPr>
          <w:sz w:val="24"/>
          <w:szCs w:val="24"/>
        </w:rPr>
        <w:t>)</w:t>
      </w:r>
    </w:p>
    <w:p w14:paraId="1BF25BD1" w14:textId="1ECCE7DD" w:rsidR="007277DD" w:rsidRDefault="007822D4" w:rsidP="007277D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posting of a Three Day Notice under Florida Statutes Chapter </w:t>
      </w:r>
      <w:r w:rsidR="007277DD">
        <w:rPr>
          <w:sz w:val="24"/>
          <w:szCs w:val="24"/>
        </w:rPr>
        <w:t>83 is protected by the litigation privilege and thus the posting of the notice – face out – for nonpayment rent does not violate the section 559.72 of Florida Consumer Collection Practices Act.</w:t>
      </w:r>
    </w:p>
    <w:p w14:paraId="19F5EBD6" w14:textId="77777777" w:rsidR="007277DD" w:rsidRDefault="007277DD" w:rsidP="007277DD">
      <w:pPr>
        <w:pStyle w:val="NoSpacing"/>
        <w:jc w:val="both"/>
        <w:rPr>
          <w:sz w:val="24"/>
          <w:szCs w:val="24"/>
        </w:rPr>
      </w:pPr>
    </w:p>
    <w:p w14:paraId="3C2CE902" w14:textId="0D04CECC" w:rsidR="007277DD" w:rsidRDefault="007277DD" w:rsidP="007277DD">
      <w:pPr>
        <w:pStyle w:val="NoSpacing"/>
        <w:jc w:val="both"/>
        <w:rPr>
          <w:sz w:val="24"/>
          <w:szCs w:val="24"/>
        </w:rPr>
      </w:pPr>
      <w:r w:rsidRPr="007277DD">
        <w:rPr>
          <w:b/>
          <w:bCs/>
          <w:sz w:val="24"/>
          <w:szCs w:val="24"/>
        </w:rPr>
        <w:t>Lent</w:t>
      </w:r>
      <w:r w:rsidRPr="007277DD">
        <w:rPr>
          <w:b/>
          <w:bCs/>
          <w:sz w:val="24"/>
          <w:szCs w:val="24"/>
        </w:rPr>
        <w:t xml:space="preserve"> v. </w:t>
      </w:r>
      <w:r w:rsidRPr="007277DD">
        <w:rPr>
          <w:b/>
          <w:bCs/>
          <w:sz w:val="24"/>
          <w:szCs w:val="24"/>
        </w:rPr>
        <w:t>The Everglades Foundation, Inc.</w:t>
      </w:r>
      <w:r w:rsidRPr="007277DD">
        <w:rPr>
          <w:sz w:val="24"/>
          <w:szCs w:val="24"/>
        </w:rPr>
        <w:t>,</w:t>
      </w:r>
      <w:r>
        <w:rPr>
          <w:sz w:val="24"/>
          <w:szCs w:val="24"/>
        </w:rPr>
        <w:t xml:space="preserve"> Case </w:t>
      </w:r>
      <w:r w:rsidRPr="007277DD">
        <w:rPr>
          <w:sz w:val="24"/>
          <w:szCs w:val="24"/>
        </w:rPr>
        <w:t>No. 3D23-1135</w:t>
      </w:r>
      <w:r>
        <w:rPr>
          <w:sz w:val="24"/>
          <w:szCs w:val="24"/>
        </w:rPr>
        <w:t xml:space="preserve"> (Fla. 3d DCA 2024).</w:t>
      </w:r>
    </w:p>
    <w:p w14:paraId="5D4E3727" w14:textId="4A6781DD" w:rsidR="007277DD" w:rsidRDefault="007277DD" w:rsidP="007277D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1" w:history="1">
        <w:r w:rsidRPr="00CC3627">
          <w:rPr>
            <w:rStyle w:val="Hyperlink"/>
            <w:sz w:val="24"/>
            <w:szCs w:val="24"/>
          </w:rPr>
          <w:t>https://3dca.flcourts.gov/content/download/2442715/opinion/Opinion_2023-1135.pdf</w:t>
        </w:r>
      </w:hyperlink>
      <w:r>
        <w:rPr>
          <w:sz w:val="24"/>
          <w:szCs w:val="24"/>
        </w:rPr>
        <w:t>)</w:t>
      </w:r>
    </w:p>
    <w:p w14:paraId="4631511E" w14:textId="603F0E9B" w:rsidR="007277DD" w:rsidRDefault="007277DD" w:rsidP="007277D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Violation of a temporary injunction, in this case to prohibit </w:t>
      </w:r>
      <w:r w:rsidRPr="007277DD">
        <w:rPr>
          <w:sz w:val="24"/>
          <w:szCs w:val="24"/>
        </w:rPr>
        <w:t>destroying, copying and/or disseminating</w:t>
      </w:r>
      <w:r>
        <w:rPr>
          <w:sz w:val="24"/>
          <w:szCs w:val="24"/>
        </w:rPr>
        <w:t xml:space="preserve"> </w:t>
      </w:r>
      <w:r w:rsidRPr="007277DD">
        <w:rPr>
          <w:sz w:val="24"/>
          <w:szCs w:val="24"/>
        </w:rPr>
        <w:t>any materials or confidential information</w:t>
      </w:r>
      <w:r>
        <w:rPr>
          <w:sz w:val="24"/>
          <w:szCs w:val="24"/>
        </w:rPr>
        <w:t xml:space="preserve"> of movant, can result in an order of indirect criminal contempt </w:t>
      </w:r>
      <w:r w:rsidR="00C40052">
        <w:rPr>
          <w:sz w:val="24"/>
          <w:szCs w:val="24"/>
        </w:rPr>
        <w:t>under Rule of Criminal Procedure 3.840.</w:t>
      </w:r>
    </w:p>
    <w:p w14:paraId="661721C8" w14:textId="77777777" w:rsidR="00C40052" w:rsidRDefault="00C40052" w:rsidP="007277DD">
      <w:pPr>
        <w:pStyle w:val="NoSpacing"/>
        <w:jc w:val="both"/>
        <w:rPr>
          <w:sz w:val="24"/>
          <w:szCs w:val="24"/>
        </w:rPr>
      </w:pPr>
    </w:p>
    <w:p w14:paraId="447F482D" w14:textId="77777777" w:rsidR="00C40052" w:rsidRDefault="00C40052" w:rsidP="00C40052">
      <w:pPr>
        <w:pStyle w:val="NoSpacing"/>
        <w:jc w:val="both"/>
        <w:rPr>
          <w:b/>
          <w:bCs/>
          <w:sz w:val="24"/>
          <w:szCs w:val="24"/>
        </w:rPr>
      </w:pPr>
    </w:p>
    <w:p w14:paraId="117C76BD" w14:textId="48642229" w:rsidR="00C40052" w:rsidRDefault="00C40052" w:rsidP="00C40052">
      <w:pPr>
        <w:pStyle w:val="NoSpacing"/>
        <w:jc w:val="both"/>
        <w:rPr>
          <w:sz w:val="24"/>
          <w:szCs w:val="24"/>
        </w:rPr>
      </w:pPr>
      <w:r w:rsidRPr="00C40052">
        <w:rPr>
          <w:b/>
          <w:bCs/>
          <w:sz w:val="24"/>
          <w:szCs w:val="24"/>
        </w:rPr>
        <w:lastRenderedPageBreak/>
        <w:t>The River Front Master Association, Inc.</w:t>
      </w:r>
      <w:r w:rsidRPr="00C40052">
        <w:rPr>
          <w:b/>
          <w:bCs/>
          <w:sz w:val="24"/>
          <w:szCs w:val="24"/>
        </w:rPr>
        <w:t xml:space="preserve"> v. </w:t>
      </w:r>
      <w:r w:rsidRPr="00C40052">
        <w:rPr>
          <w:b/>
          <w:bCs/>
          <w:sz w:val="24"/>
          <w:szCs w:val="24"/>
        </w:rPr>
        <w:t>North Investment Group, LLC</w:t>
      </w:r>
      <w:r w:rsidRPr="00C4005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Case </w:t>
      </w:r>
      <w:r w:rsidRPr="00C40052">
        <w:rPr>
          <w:sz w:val="24"/>
          <w:szCs w:val="24"/>
        </w:rPr>
        <w:t>No. 3D23-1472</w:t>
      </w:r>
      <w:r>
        <w:rPr>
          <w:sz w:val="24"/>
          <w:szCs w:val="24"/>
        </w:rPr>
        <w:t xml:space="preserve"> (Fla. 3d DCA 2024).</w:t>
      </w:r>
    </w:p>
    <w:p w14:paraId="6EE3DB5E" w14:textId="533052BC" w:rsidR="00C40052" w:rsidRDefault="00C40052" w:rsidP="00C4005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2" w:history="1">
        <w:r w:rsidRPr="00CC3627">
          <w:rPr>
            <w:rStyle w:val="Hyperlink"/>
            <w:sz w:val="24"/>
            <w:szCs w:val="24"/>
          </w:rPr>
          <w:t>https://3dca.flcourts.gov/content/download/2442717/opinion/Opinion_2023-1472.pdf</w:t>
        </w:r>
      </w:hyperlink>
      <w:r>
        <w:rPr>
          <w:sz w:val="24"/>
          <w:szCs w:val="24"/>
        </w:rPr>
        <w:t>)</w:t>
      </w:r>
    </w:p>
    <w:p w14:paraId="47D95918" w14:textId="0E36EC98" w:rsidR="00C40052" w:rsidRDefault="00C40052" w:rsidP="00C4005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Removing a tenant’s advertising signs and tinting the tenant’s windows to avoid further window advertising – both without consent – do not sufficiently shock the conscience to permit an award of punitive damages.</w:t>
      </w:r>
    </w:p>
    <w:p w14:paraId="05B88E5F" w14:textId="77777777" w:rsidR="00C40052" w:rsidRDefault="00C40052" w:rsidP="00C40052">
      <w:pPr>
        <w:pStyle w:val="NoSpacing"/>
        <w:jc w:val="both"/>
        <w:rPr>
          <w:sz w:val="24"/>
          <w:szCs w:val="24"/>
        </w:rPr>
      </w:pPr>
    </w:p>
    <w:p w14:paraId="2671F2B8" w14:textId="4B66AD79" w:rsidR="00C40052" w:rsidRDefault="00275663" w:rsidP="00275663">
      <w:pPr>
        <w:pStyle w:val="NoSpacing"/>
        <w:jc w:val="both"/>
        <w:rPr>
          <w:sz w:val="24"/>
          <w:szCs w:val="24"/>
        </w:rPr>
      </w:pPr>
      <w:r w:rsidRPr="00275663">
        <w:rPr>
          <w:b/>
          <w:bCs/>
          <w:sz w:val="24"/>
          <w:szCs w:val="24"/>
        </w:rPr>
        <w:t>Wells Fargo Bank</w:t>
      </w:r>
      <w:r w:rsidRPr="00275663">
        <w:rPr>
          <w:b/>
          <w:bCs/>
          <w:sz w:val="24"/>
          <w:szCs w:val="24"/>
        </w:rPr>
        <w:t>, N.A</w:t>
      </w:r>
      <w:r w:rsidRPr="00275663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v. </w:t>
      </w:r>
      <w:r w:rsidRPr="00275663">
        <w:rPr>
          <w:b/>
          <w:bCs/>
          <w:sz w:val="24"/>
          <w:szCs w:val="24"/>
        </w:rPr>
        <w:t>Gopher</w:t>
      </w:r>
      <w:r>
        <w:rPr>
          <w:sz w:val="24"/>
          <w:szCs w:val="24"/>
        </w:rPr>
        <w:t xml:space="preserve">, Case </w:t>
      </w:r>
      <w:r w:rsidRPr="00275663">
        <w:rPr>
          <w:sz w:val="24"/>
          <w:szCs w:val="24"/>
        </w:rPr>
        <w:t>No. 4D2023-2442</w:t>
      </w:r>
      <w:r>
        <w:rPr>
          <w:sz w:val="24"/>
          <w:szCs w:val="24"/>
        </w:rPr>
        <w:t xml:space="preserve"> (Fla. 4th DCA 2024).</w:t>
      </w:r>
    </w:p>
    <w:p w14:paraId="25FC45A4" w14:textId="310C5C67" w:rsidR="00275663" w:rsidRDefault="00275663" w:rsidP="0027566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3" w:history="1">
        <w:r w:rsidRPr="00CC3627">
          <w:rPr>
            <w:rStyle w:val="Hyperlink"/>
            <w:sz w:val="24"/>
            <w:szCs w:val="24"/>
          </w:rPr>
          <w:t>https://4dca.flcourts.gov/content/download/2442685/opinion/Opinion_2023-2442.pdf</w:t>
        </w:r>
      </w:hyperlink>
      <w:r>
        <w:rPr>
          <w:sz w:val="24"/>
          <w:szCs w:val="24"/>
        </w:rPr>
        <w:t>)</w:t>
      </w:r>
    </w:p>
    <w:p w14:paraId="30805CDE" w14:textId="149FAB93" w:rsidR="00275663" w:rsidRDefault="00275663" w:rsidP="0027566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Breach of a fiduciary duty, standing alone and without additional acts such as </w:t>
      </w:r>
      <w:r w:rsidRPr="00275663">
        <w:rPr>
          <w:sz w:val="24"/>
          <w:szCs w:val="24"/>
        </w:rPr>
        <w:t>fraud, malice, or other</w:t>
      </w:r>
      <w:r>
        <w:rPr>
          <w:sz w:val="24"/>
          <w:szCs w:val="24"/>
        </w:rPr>
        <w:t xml:space="preserve"> </w:t>
      </w:r>
      <w:r w:rsidRPr="00275663">
        <w:rPr>
          <w:sz w:val="24"/>
          <w:szCs w:val="24"/>
        </w:rPr>
        <w:t>misconduct</w:t>
      </w:r>
      <w:r>
        <w:rPr>
          <w:sz w:val="24"/>
          <w:szCs w:val="24"/>
        </w:rPr>
        <w:t>, is not sufficient to award punitive damages.</w:t>
      </w:r>
    </w:p>
    <w:p w14:paraId="48B07FA1" w14:textId="77777777" w:rsidR="00275663" w:rsidRDefault="00275663" w:rsidP="00275663">
      <w:pPr>
        <w:pStyle w:val="NoSpacing"/>
        <w:jc w:val="both"/>
        <w:rPr>
          <w:sz w:val="24"/>
          <w:szCs w:val="24"/>
        </w:rPr>
      </w:pPr>
    </w:p>
    <w:p w14:paraId="1867D541" w14:textId="77777777" w:rsidR="00275663" w:rsidRPr="00C40052" w:rsidRDefault="00275663" w:rsidP="00275663">
      <w:pPr>
        <w:pStyle w:val="NoSpacing"/>
        <w:jc w:val="both"/>
        <w:rPr>
          <w:sz w:val="24"/>
          <w:szCs w:val="24"/>
        </w:rPr>
      </w:pPr>
    </w:p>
    <w:p w14:paraId="6844A652" w14:textId="21F3D6BB" w:rsidR="007277DD" w:rsidRPr="00AD43FB" w:rsidRDefault="007277DD" w:rsidP="007277DD">
      <w:pPr>
        <w:pStyle w:val="NoSpacing"/>
        <w:jc w:val="both"/>
        <w:rPr>
          <w:sz w:val="24"/>
          <w:szCs w:val="24"/>
        </w:rPr>
      </w:pPr>
    </w:p>
    <w:sectPr w:rsidR="007277DD" w:rsidRPr="00AD43F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CC36" w14:textId="77777777" w:rsidR="00B45FFA" w:rsidRDefault="00B45FFA" w:rsidP="008938EA">
      <w:pPr>
        <w:spacing w:after="0" w:line="240" w:lineRule="auto"/>
      </w:pPr>
      <w:r>
        <w:separator/>
      </w:r>
    </w:p>
  </w:endnote>
  <w:endnote w:type="continuationSeparator" w:id="0">
    <w:p w14:paraId="43E92E22" w14:textId="77777777" w:rsidR="00B45FFA" w:rsidRDefault="00B45FFA" w:rsidP="0089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te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94FF9" w14:textId="65AE4281" w:rsidR="008938EA" w:rsidRPr="00516DCB" w:rsidRDefault="00516DCB" w:rsidP="00516DCB">
    <w:pPr>
      <w:pStyle w:val="Footer"/>
    </w:pPr>
    <w:r>
      <w:rPr>
        <w:rFonts w:cs="Arial"/>
      </w:rPr>
      <w:t>©</w:t>
    </w:r>
    <w:r>
      <w:t xml:space="preserve"> Manuel Farach 202</w:t>
    </w:r>
    <w:r w:rsidR="0068790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DAAD3" w14:textId="77777777" w:rsidR="00B45FFA" w:rsidRDefault="00B45FFA" w:rsidP="008938EA">
      <w:pPr>
        <w:spacing w:after="0" w:line="240" w:lineRule="auto"/>
      </w:pPr>
      <w:r>
        <w:separator/>
      </w:r>
    </w:p>
  </w:footnote>
  <w:footnote w:type="continuationSeparator" w:id="0">
    <w:p w14:paraId="72538961" w14:textId="77777777" w:rsidR="00B45FFA" w:rsidRDefault="00B45FFA" w:rsidP="00893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C0"/>
    <w:rsid w:val="0001614D"/>
    <w:rsid w:val="0002160E"/>
    <w:rsid w:val="00024BD0"/>
    <w:rsid w:val="00034F32"/>
    <w:rsid w:val="00035332"/>
    <w:rsid w:val="000354D2"/>
    <w:rsid w:val="00043D7E"/>
    <w:rsid w:val="000538DF"/>
    <w:rsid w:val="0005580E"/>
    <w:rsid w:val="000572DC"/>
    <w:rsid w:val="00057EFE"/>
    <w:rsid w:val="000626C1"/>
    <w:rsid w:val="0007234E"/>
    <w:rsid w:val="00072441"/>
    <w:rsid w:val="00072BDE"/>
    <w:rsid w:val="0007352F"/>
    <w:rsid w:val="00080FB2"/>
    <w:rsid w:val="00085F8E"/>
    <w:rsid w:val="000928F9"/>
    <w:rsid w:val="00094D0E"/>
    <w:rsid w:val="00096349"/>
    <w:rsid w:val="000A23AC"/>
    <w:rsid w:val="000A3174"/>
    <w:rsid w:val="000B0367"/>
    <w:rsid w:val="000B1F4B"/>
    <w:rsid w:val="000B57F1"/>
    <w:rsid w:val="000B63AB"/>
    <w:rsid w:val="000C08A9"/>
    <w:rsid w:val="000C0A0A"/>
    <w:rsid w:val="000D4DED"/>
    <w:rsid w:val="000D7940"/>
    <w:rsid w:val="000E02EB"/>
    <w:rsid w:val="000E4E1E"/>
    <w:rsid w:val="000F1EB5"/>
    <w:rsid w:val="000F4C3D"/>
    <w:rsid w:val="000F4C45"/>
    <w:rsid w:val="000F4CEB"/>
    <w:rsid w:val="000F6F0E"/>
    <w:rsid w:val="001009E8"/>
    <w:rsid w:val="001051EC"/>
    <w:rsid w:val="00105A29"/>
    <w:rsid w:val="00106221"/>
    <w:rsid w:val="00106C5D"/>
    <w:rsid w:val="001072D1"/>
    <w:rsid w:val="00111AE7"/>
    <w:rsid w:val="001128B7"/>
    <w:rsid w:val="001201D9"/>
    <w:rsid w:val="001220E5"/>
    <w:rsid w:val="00124FF1"/>
    <w:rsid w:val="0013173C"/>
    <w:rsid w:val="001332F3"/>
    <w:rsid w:val="0013404C"/>
    <w:rsid w:val="00141E75"/>
    <w:rsid w:val="001428C0"/>
    <w:rsid w:val="00144355"/>
    <w:rsid w:val="00144D9C"/>
    <w:rsid w:val="00146375"/>
    <w:rsid w:val="001533E6"/>
    <w:rsid w:val="00155523"/>
    <w:rsid w:val="001601B9"/>
    <w:rsid w:val="00160A40"/>
    <w:rsid w:val="00162D02"/>
    <w:rsid w:val="00163DC0"/>
    <w:rsid w:val="00163F2D"/>
    <w:rsid w:val="001646BB"/>
    <w:rsid w:val="00165807"/>
    <w:rsid w:val="0016651B"/>
    <w:rsid w:val="00166CDE"/>
    <w:rsid w:val="001738C8"/>
    <w:rsid w:val="00174288"/>
    <w:rsid w:val="001750DC"/>
    <w:rsid w:val="00187CF0"/>
    <w:rsid w:val="001A376D"/>
    <w:rsid w:val="001B16BB"/>
    <w:rsid w:val="001B40FC"/>
    <w:rsid w:val="001C1CDE"/>
    <w:rsid w:val="001C2E26"/>
    <w:rsid w:val="001C54D9"/>
    <w:rsid w:val="001C6F1F"/>
    <w:rsid w:val="001D62B6"/>
    <w:rsid w:val="001D678A"/>
    <w:rsid w:val="001D732C"/>
    <w:rsid w:val="001E76B3"/>
    <w:rsid w:val="001F0238"/>
    <w:rsid w:val="001F1442"/>
    <w:rsid w:val="001F3E5E"/>
    <w:rsid w:val="001F4892"/>
    <w:rsid w:val="001F6813"/>
    <w:rsid w:val="001F7215"/>
    <w:rsid w:val="0020193C"/>
    <w:rsid w:val="0020204D"/>
    <w:rsid w:val="002129A0"/>
    <w:rsid w:val="00213B6E"/>
    <w:rsid w:val="00215673"/>
    <w:rsid w:val="00221C8E"/>
    <w:rsid w:val="00226D8F"/>
    <w:rsid w:val="00227D81"/>
    <w:rsid w:val="002334DB"/>
    <w:rsid w:val="00235DD3"/>
    <w:rsid w:val="0023640D"/>
    <w:rsid w:val="002410E9"/>
    <w:rsid w:val="00242F65"/>
    <w:rsid w:val="00242F98"/>
    <w:rsid w:val="002441FE"/>
    <w:rsid w:val="002457A7"/>
    <w:rsid w:val="0024781F"/>
    <w:rsid w:val="00250CC9"/>
    <w:rsid w:val="00250CF9"/>
    <w:rsid w:val="002515F0"/>
    <w:rsid w:val="00251B61"/>
    <w:rsid w:val="00251E83"/>
    <w:rsid w:val="00252710"/>
    <w:rsid w:val="00252DEF"/>
    <w:rsid w:val="002569EB"/>
    <w:rsid w:val="00261113"/>
    <w:rsid w:val="00265EC5"/>
    <w:rsid w:val="00267B93"/>
    <w:rsid w:val="00275663"/>
    <w:rsid w:val="002764C2"/>
    <w:rsid w:val="00280BF1"/>
    <w:rsid w:val="002813BC"/>
    <w:rsid w:val="00283279"/>
    <w:rsid w:val="002834F4"/>
    <w:rsid w:val="00285EA7"/>
    <w:rsid w:val="002945AE"/>
    <w:rsid w:val="0029688F"/>
    <w:rsid w:val="0029756A"/>
    <w:rsid w:val="00297D96"/>
    <w:rsid w:val="002A08E2"/>
    <w:rsid w:val="002A221F"/>
    <w:rsid w:val="002A4356"/>
    <w:rsid w:val="002A4372"/>
    <w:rsid w:val="002B5151"/>
    <w:rsid w:val="002C2C0C"/>
    <w:rsid w:val="002C5267"/>
    <w:rsid w:val="002C6F1A"/>
    <w:rsid w:val="002C70F3"/>
    <w:rsid w:val="002D26FE"/>
    <w:rsid w:val="002D4835"/>
    <w:rsid w:val="002D592F"/>
    <w:rsid w:val="002D74CC"/>
    <w:rsid w:val="002D7983"/>
    <w:rsid w:val="002E0649"/>
    <w:rsid w:val="002E1E90"/>
    <w:rsid w:val="002E4293"/>
    <w:rsid w:val="002E6F1A"/>
    <w:rsid w:val="002E764E"/>
    <w:rsid w:val="002E76AF"/>
    <w:rsid w:val="002F203F"/>
    <w:rsid w:val="002F6A40"/>
    <w:rsid w:val="00302706"/>
    <w:rsid w:val="00303F7D"/>
    <w:rsid w:val="00306F63"/>
    <w:rsid w:val="003078F6"/>
    <w:rsid w:val="0031521B"/>
    <w:rsid w:val="00322269"/>
    <w:rsid w:val="003243DF"/>
    <w:rsid w:val="0032571D"/>
    <w:rsid w:val="00325F44"/>
    <w:rsid w:val="00327C0F"/>
    <w:rsid w:val="00330114"/>
    <w:rsid w:val="00330A33"/>
    <w:rsid w:val="00336CBD"/>
    <w:rsid w:val="00337747"/>
    <w:rsid w:val="0035097C"/>
    <w:rsid w:val="00357B13"/>
    <w:rsid w:val="00361858"/>
    <w:rsid w:val="00361BED"/>
    <w:rsid w:val="00376096"/>
    <w:rsid w:val="00376AE4"/>
    <w:rsid w:val="0038553B"/>
    <w:rsid w:val="00386A18"/>
    <w:rsid w:val="003926E1"/>
    <w:rsid w:val="00393369"/>
    <w:rsid w:val="003A2FB2"/>
    <w:rsid w:val="003B3168"/>
    <w:rsid w:val="003B730D"/>
    <w:rsid w:val="003B73F1"/>
    <w:rsid w:val="003C7375"/>
    <w:rsid w:val="003D1922"/>
    <w:rsid w:val="003E0259"/>
    <w:rsid w:val="003E4BE0"/>
    <w:rsid w:val="003F5EDB"/>
    <w:rsid w:val="00405CBE"/>
    <w:rsid w:val="00410F9C"/>
    <w:rsid w:val="00412DEB"/>
    <w:rsid w:val="00416E8E"/>
    <w:rsid w:val="0041719A"/>
    <w:rsid w:val="004227EA"/>
    <w:rsid w:val="00422C2A"/>
    <w:rsid w:val="00423595"/>
    <w:rsid w:val="0043303C"/>
    <w:rsid w:val="0043682F"/>
    <w:rsid w:val="0043683F"/>
    <w:rsid w:val="00436840"/>
    <w:rsid w:val="004373F6"/>
    <w:rsid w:val="004418A9"/>
    <w:rsid w:val="004462CC"/>
    <w:rsid w:val="00451CF6"/>
    <w:rsid w:val="004558F3"/>
    <w:rsid w:val="00456A84"/>
    <w:rsid w:val="00457CB0"/>
    <w:rsid w:val="004612E1"/>
    <w:rsid w:val="00470879"/>
    <w:rsid w:val="00471D1F"/>
    <w:rsid w:val="004771BC"/>
    <w:rsid w:val="00485203"/>
    <w:rsid w:val="004863DD"/>
    <w:rsid w:val="0049359D"/>
    <w:rsid w:val="00495236"/>
    <w:rsid w:val="004A05E8"/>
    <w:rsid w:val="004A53D7"/>
    <w:rsid w:val="004A6E32"/>
    <w:rsid w:val="004B101F"/>
    <w:rsid w:val="004C58AD"/>
    <w:rsid w:val="004C60BD"/>
    <w:rsid w:val="004C629F"/>
    <w:rsid w:val="004E7229"/>
    <w:rsid w:val="00501682"/>
    <w:rsid w:val="0050239C"/>
    <w:rsid w:val="005034D9"/>
    <w:rsid w:val="00504013"/>
    <w:rsid w:val="005054D7"/>
    <w:rsid w:val="005116F7"/>
    <w:rsid w:val="005154E5"/>
    <w:rsid w:val="00516DCB"/>
    <w:rsid w:val="00526306"/>
    <w:rsid w:val="00526F97"/>
    <w:rsid w:val="005356F7"/>
    <w:rsid w:val="00535FE8"/>
    <w:rsid w:val="00537EC2"/>
    <w:rsid w:val="00542D26"/>
    <w:rsid w:val="00545188"/>
    <w:rsid w:val="00545933"/>
    <w:rsid w:val="00551FA9"/>
    <w:rsid w:val="005538B7"/>
    <w:rsid w:val="00554544"/>
    <w:rsid w:val="00554A89"/>
    <w:rsid w:val="00560819"/>
    <w:rsid w:val="005630F0"/>
    <w:rsid w:val="00566ADA"/>
    <w:rsid w:val="0057228E"/>
    <w:rsid w:val="00573CB7"/>
    <w:rsid w:val="00577508"/>
    <w:rsid w:val="005814A7"/>
    <w:rsid w:val="00583531"/>
    <w:rsid w:val="005843DF"/>
    <w:rsid w:val="00584C4B"/>
    <w:rsid w:val="005865BA"/>
    <w:rsid w:val="00591C06"/>
    <w:rsid w:val="0059295F"/>
    <w:rsid w:val="005936A8"/>
    <w:rsid w:val="005A04D4"/>
    <w:rsid w:val="005A24EA"/>
    <w:rsid w:val="005B1D14"/>
    <w:rsid w:val="005B709C"/>
    <w:rsid w:val="005C1A66"/>
    <w:rsid w:val="005C1EB7"/>
    <w:rsid w:val="005C3033"/>
    <w:rsid w:val="005C3F04"/>
    <w:rsid w:val="005C412A"/>
    <w:rsid w:val="005E0263"/>
    <w:rsid w:val="005E08D0"/>
    <w:rsid w:val="005E357A"/>
    <w:rsid w:val="005E4385"/>
    <w:rsid w:val="005E4768"/>
    <w:rsid w:val="005F54C8"/>
    <w:rsid w:val="005F75BD"/>
    <w:rsid w:val="00610D30"/>
    <w:rsid w:val="00611B03"/>
    <w:rsid w:val="00616011"/>
    <w:rsid w:val="0061603B"/>
    <w:rsid w:val="00627051"/>
    <w:rsid w:val="00633955"/>
    <w:rsid w:val="0063554F"/>
    <w:rsid w:val="00636FD2"/>
    <w:rsid w:val="00637C07"/>
    <w:rsid w:val="006400ED"/>
    <w:rsid w:val="006407CF"/>
    <w:rsid w:val="00641EA4"/>
    <w:rsid w:val="00642117"/>
    <w:rsid w:val="00643650"/>
    <w:rsid w:val="006477E1"/>
    <w:rsid w:val="00647F3A"/>
    <w:rsid w:val="006522AF"/>
    <w:rsid w:val="006556FA"/>
    <w:rsid w:val="0066488B"/>
    <w:rsid w:val="00665CA0"/>
    <w:rsid w:val="00671425"/>
    <w:rsid w:val="00671F4E"/>
    <w:rsid w:val="0067265B"/>
    <w:rsid w:val="0067297A"/>
    <w:rsid w:val="00673184"/>
    <w:rsid w:val="00681860"/>
    <w:rsid w:val="00682A78"/>
    <w:rsid w:val="00683020"/>
    <w:rsid w:val="00686604"/>
    <w:rsid w:val="0068790A"/>
    <w:rsid w:val="006903EC"/>
    <w:rsid w:val="006906B6"/>
    <w:rsid w:val="00690722"/>
    <w:rsid w:val="00692C26"/>
    <w:rsid w:val="0069715D"/>
    <w:rsid w:val="00697589"/>
    <w:rsid w:val="00697A64"/>
    <w:rsid w:val="006A3A21"/>
    <w:rsid w:val="006A5EAA"/>
    <w:rsid w:val="006B49F0"/>
    <w:rsid w:val="006C3CA6"/>
    <w:rsid w:val="006C5B1E"/>
    <w:rsid w:val="006C7D0C"/>
    <w:rsid w:val="006D141F"/>
    <w:rsid w:val="006D1D43"/>
    <w:rsid w:val="006E1791"/>
    <w:rsid w:val="006E2011"/>
    <w:rsid w:val="006E70FD"/>
    <w:rsid w:val="006E74C8"/>
    <w:rsid w:val="006F0C03"/>
    <w:rsid w:val="006F63E5"/>
    <w:rsid w:val="007004CD"/>
    <w:rsid w:val="00703429"/>
    <w:rsid w:val="0070363A"/>
    <w:rsid w:val="007150B5"/>
    <w:rsid w:val="00716C0F"/>
    <w:rsid w:val="007178C7"/>
    <w:rsid w:val="007268DF"/>
    <w:rsid w:val="007277DD"/>
    <w:rsid w:val="00735E9F"/>
    <w:rsid w:val="00736BD2"/>
    <w:rsid w:val="00743A31"/>
    <w:rsid w:val="00752870"/>
    <w:rsid w:val="007530A6"/>
    <w:rsid w:val="007538EA"/>
    <w:rsid w:val="00753F74"/>
    <w:rsid w:val="0075527F"/>
    <w:rsid w:val="00764A12"/>
    <w:rsid w:val="00766884"/>
    <w:rsid w:val="00766DCA"/>
    <w:rsid w:val="00771169"/>
    <w:rsid w:val="00775B11"/>
    <w:rsid w:val="0077613E"/>
    <w:rsid w:val="0077632B"/>
    <w:rsid w:val="00781BB0"/>
    <w:rsid w:val="007822D4"/>
    <w:rsid w:val="00784C74"/>
    <w:rsid w:val="0078611C"/>
    <w:rsid w:val="007878F5"/>
    <w:rsid w:val="007964EC"/>
    <w:rsid w:val="007967AE"/>
    <w:rsid w:val="007B4B6A"/>
    <w:rsid w:val="007C3F56"/>
    <w:rsid w:val="007C4B8C"/>
    <w:rsid w:val="007C75E8"/>
    <w:rsid w:val="007D4E05"/>
    <w:rsid w:val="007E77AC"/>
    <w:rsid w:val="007F1B49"/>
    <w:rsid w:val="007F4EA6"/>
    <w:rsid w:val="008105A7"/>
    <w:rsid w:val="00810B7F"/>
    <w:rsid w:val="00813969"/>
    <w:rsid w:val="00813B35"/>
    <w:rsid w:val="00813E30"/>
    <w:rsid w:val="0081419D"/>
    <w:rsid w:val="00820F97"/>
    <w:rsid w:val="00821949"/>
    <w:rsid w:val="00821ACF"/>
    <w:rsid w:val="00824247"/>
    <w:rsid w:val="0082442A"/>
    <w:rsid w:val="00831420"/>
    <w:rsid w:val="00831E8D"/>
    <w:rsid w:val="008326E7"/>
    <w:rsid w:val="00832877"/>
    <w:rsid w:val="00834ADD"/>
    <w:rsid w:val="00834C78"/>
    <w:rsid w:val="00843B6A"/>
    <w:rsid w:val="00844B24"/>
    <w:rsid w:val="008541B8"/>
    <w:rsid w:val="00856BD8"/>
    <w:rsid w:val="00860014"/>
    <w:rsid w:val="00861604"/>
    <w:rsid w:val="00862284"/>
    <w:rsid w:val="00866DF1"/>
    <w:rsid w:val="00866E3D"/>
    <w:rsid w:val="008670C5"/>
    <w:rsid w:val="00867C51"/>
    <w:rsid w:val="0087097F"/>
    <w:rsid w:val="0087704D"/>
    <w:rsid w:val="00880013"/>
    <w:rsid w:val="0088044B"/>
    <w:rsid w:val="0088469F"/>
    <w:rsid w:val="008938EA"/>
    <w:rsid w:val="00895EF3"/>
    <w:rsid w:val="00897869"/>
    <w:rsid w:val="008A038F"/>
    <w:rsid w:val="008A27E7"/>
    <w:rsid w:val="008B5807"/>
    <w:rsid w:val="008C162B"/>
    <w:rsid w:val="008C2299"/>
    <w:rsid w:val="008C32FF"/>
    <w:rsid w:val="008D0153"/>
    <w:rsid w:val="008D0166"/>
    <w:rsid w:val="008D74FA"/>
    <w:rsid w:val="008E0270"/>
    <w:rsid w:val="008E3CE4"/>
    <w:rsid w:val="008E6400"/>
    <w:rsid w:val="00901B97"/>
    <w:rsid w:val="00901B9A"/>
    <w:rsid w:val="00901D4D"/>
    <w:rsid w:val="00907138"/>
    <w:rsid w:val="00913744"/>
    <w:rsid w:val="009168C0"/>
    <w:rsid w:val="00917AF7"/>
    <w:rsid w:val="00923138"/>
    <w:rsid w:val="00923668"/>
    <w:rsid w:val="00933276"/>
    <w:rsid w:val="00934DF1"/>
    <w:rsid w:val="00936FD1"/>
    <w:rsid w:val="009432B4"/>
    <w:rsid w:val="00943B73"/>
    <w:rsid w:val="00945D54"/>
    <w:rsid w:val="0094729D"/>
    <w:rsid w:val="00963E09"/>
    <w:rsid w:val="009709FC"/>
    <w:rsid w:val="009734D0"/>
    <w:rsid w:val="00975574"/>
    <w:rsid w:val="00977616"/>
    <w:rsid w:val="009802FB"/>
    <w:rsid w:val="00981E1D"/>
    <w:rsid w:val="00982BDA"/>
    <w:rsid w:val="00985E24"/>
    <w:rsid w:val="00987E8E"/>
    <w:rsid w:val="00990D1A"/>
    <w:rsid w:val="009932B9"/>
    <w:rsid w:val="00993903"/>
    <w:rsid w:val="00994262"/>
    <w:rsid w:val="0099470C"/>
    <w:rsid w:val="00994D44"/>
    <w:rsid w:val="00996449"/>
    <w:rsid w:val="00996A21"/>
    <w:rsid w:val="009A006D"/>
    <w:rsid w:val="009A4CC8"/>
    <w:rsid w:val="009B337B"/>
    <w:rsid w:val="009B4F93"/>
    <w:rsid w:val="009B5C5C"/>
    <w:rsid w:val="009B7C55"/>
    <w:rsid w:val="009C248C"/>
    <w:rsid w:val="009C3EAB"/>
    <w:rsid w:val="009C5987"/>
    <w:rsid w:val="009C7FBC"/>
    <w:rsid w:val="009D00A7"/>
    <w:rsid w:val="009D178D"/>
    <w:rsid w:val="009D1CC3"/>
    <w:rsid w:val="009D6A08"/>
    <w:rsid w:val="009E38BF"/>
    <w:rsid w:val="009F1219"/>
    <w:rsid w:val="00A03A2D"/>
    <w:rsid w:val="00A060D5"/>
    <w:rsid w:val="00A0638C"/>
    <w:rsid w:val="00A131BE"/>
    <w:rsid w:val="00A15F5F"/>
    <w:rsid w:val="00A21991"/>
    <w:rsid w:val="00A24A5F"/>
    <w:rsid w:val="00A26A7F"/>
    <w:rsid w:val="00A279BF"/>
    <w:rsid w:val="00A40181"/>
    <w:rsid w:val="00A45677"/>
    <w:rsid w:val="00A5175D"/>
    <w:rsid w:val="00A53564"/>
    <w:rsid w:val="00A5510A"/>
    <w:rsid w:val="00A55191"/>
    <w:rsid w:val="00A617B7"/>
    <w:rsid w:val="00A74322"/>
    <w:rsid w:val="00A81E40"/>
    <w:rsid w:val="00A868F6"/>
    <w:rsid w:val="00A90251"/>
    <w:rsid w:val="00A97E5B"/>
    <w:rsid w:val="00AA3DBE"/>
    <w:rsid w:val="00AA54F8"/>
    <w:rsid w:val="00AB0955"/>
    <w:rsid w:val="00AB2258"/>
    <w:rsid w:val="00AB3647"/>
    <w:rsid w:val="00AB6731"/>
    <w:rsid w:val="00AB7EA0"/>
    <w:rsid w:val="00AC1C5D"/>
    <w:rsid w:val="00AC2DA2"/>
    <w:rsid w:val="00AC41FF"/>
    <w:rsid w:val="00AD34BB"/>
    <w:rsid w:val="00AD43FB"/>
    <w:rsid w:val="00AD5239"/>
    <w:rsid w:val="00AD6C95"/>
    <w:rsid w:val="00AD6F5C"/>
    <w:rsid w:val="00AE1F10"/>
    <w:rsid w:val="00AE2513"/>
    <w:rsid w:val="00AE3F82"/>
    <w:rsid w:val="00AE46C2"/>
    <w:rsid w:val="00AE49F1"/>
    <w:rsid w:val="00AF2EEB"/>
    <w:rsid w:val="00B05D57"/>
    <w:rsid w:val="00B0609A"/>
    <w:rsid w:val="00B10D87"/>
    <w:rsid w:val="00B14B46"/>
    <w:rsid w:val="00B14EFD"/>
    <w:rsid w:val="00B22B56"/>
    <w:rsid w:val="00B24C2E"/>
    <w:rsid w:val="00B24CCC"/>
    <w:rsid w:val="00B27AEA"/>
    <w:rsid w:val="00B27B8B"/>
    <w:rsid w:val="00B36E33"/>
    <w:rsid w:val="00B36FBD"/>
    <w:rsid w:val="00B413C1"/>
    <w:rsid w:val="00B45FFA"/>
    <w:rsid w:val="00B47DA7"/>
    <w:rsid w:val="00B53862"/>
    <w:rsid w:val="00B56731"/>
    <w:rsid w:val="00B6171B"/>
    <w:rsid w:val="00B6182E"/>
    <w:rsid w:val="00B62939"/>
    <w:rsid w:val="00B65307"/>
    <w:rsid w:val="00B66F61"/>
    <w:rsid w:val="00B7344C"/>
    <w:rsid w:val="00B74033"/>
    <w:rsid w:val="00B7706F"/>
    <w:rsid w:val="00B77700"/>
    <w:rsid w:val="00B80F4E"/>
    <w:rsid w:val="00B8199A"/>
    <w:rsid w:val="00B82469"/>
    <w:rsid w:val="00B860E6"/>
    <w:rsid w:val="00B869C8"/>
    <w:rsid w:val="00B86B93"/>
    <w:rsid w:val="00B9513C"/>
    <w:rsid w:val="00BA0822"/>
    <w:rsid w:val="00BA1921"/>
    <w:rsid w:val="00BA31D5"/>
    <w:rsid w:val="00BA3D64"/>
    <w:rsid w:val="00BA68E5"/>
    <w:rsid w:val="00BB596A"/>
    <w:rsid w:val="00BB794A"/>
    <w:rsid w:val="00BC49BC"/>
    <w:rsid w:val="00BC7559"/>
    <w:rsid w:val="00BD280B"/>
    <w:rsid w:val="00BE3601"/>
    <w:rsid w:val="00BE4946"/>
    <w:rsid w:val="00BE5CFC"/>
    <w:rsid w:val="00BF26AE"/>
    <w:rsid w:val="00C03413"/>
    <w:rsid w:val="00C05026"/>
    <w:rsid w:val="00C0551D"/>
    <w:rsid w:val="00C0770B"/>
    <w:rsid w:val="00C11FA9"/>
    <w:rsid w:val="00C14194"/>
    <w:rsid w:val="00C2125C"/>
    <w:rsid w:val="00C21FBF"/>
    <w:rsid w:val="00C22B44"/>
    <w:rsid w:val="00C24541"/>
    <w:rsid w:val="00C26F72"/>
    <w:rsid w:val="00C40052"/>
    <w:rsid w:val="00C461EE"/>
    <w:rsid w:val="00C4697C"/>
    <w:rsid w:val="00C5233C"/>
    <w:rsid w:val="00C5241B"/>
    <w:rsid w:val="00C52A5D"/>
    <w:rsid w:val="00C53D4E"/>
    <w:rsid w:val="00C570E2"/>
    <w:rsid w:val="00C70BCB"/>
    <w:rsid w:val="00C71112"/>
    <w:rsid w:val="00C736BF"/>
    <w:rsid w:val="00C7456C"/>
    <w:rsid w:val="00C75413"/>
    <w:rsid w:val="00C75A81"/>
    <w:rsid w:val="00C83AAE"/>
    <w:rsid w:val="00C85405"/>
    <w:rsid w:val="00C90608"/>
    <w:rsid w:val="00C90D9F"/>
    <w:rsid w:val="00C9544F"/>
    <w:rsid w:val="00CA24C0"/>
    <w:rsid w:val="00CA6762"/>
    <w:rsid w:val="00CB179C"/>
    <w:rsid w:val="00CB1D5D"/>
    <w:rsid w:val="00CB24BB"/>
    <w:rsid w:val="00CB4038"/>
    <w:rsid w:val="00CC0AC6"/>
    <w:rsid w:val="00CC25F4"/>
    <w:rsid w:val="00CC40E0"/>
    <w:rsid w:val="00CC637D"/>
    <w:rsid w:val="00CE08F4"/>
    <w:rsid w:val="00CE18EB"/>
    <w:rsid w:val="00CE5AB2"/>
    <w:rsid w:val="00CF0E09"/>
    <w:rsid w:val="00CF15DC"/>
    <w:rsid w:val="00CF24C2"/>
    <w:rsid w:val="00CF3F1A"/>
    <w:rsid w:val="00D052F9"/>
    <w:rsid w:val="00D058F1"/>
    <w:rsid w:val="00D06852"/>
    <w:rsid w:val="00D140ED"/>
    <w:rsid w:val="00D20003"/>
    <w:rsid w:val="00D248AB"/>
    <w:rsid w:val="00D24C13"/>
    <w:rsid w:val="00D27818"/>
    <w:rsid w:val="00D328A0"/>
    <w:rsid w:val="00D40ED9"/>
    <w:rsid w:val="00D4272B"/>
    <w:rsid w:val="00D44A05"/>
    <w:rsid w:val="00D50875"/>
    <w:rsid w:val="00D51DF2"/>
    <w:rsid w:val="00D521E5"/>
    <w:rsid w:val="00D544FF"/>
    <w:rsid w:val="00D5581D"/>
    <w:rsid w:val="00D61A40"/>
    <w:rsid w:val="00D627D1"/>
    <w:rsid w:val="00D639EC"/>
    <w:rsid w:val="00D66E6E"/>
    <w:rsid w:val="00D67BBC"/>
    <w:rsid w:val="00D7066A"/>
    <w:rsid w:val="00D7147A"/>
    <w:rsid w:val="00D754F0"/>
    <w:rsid w:val="00D758DB"/>
    <w:rsid w:val="00D75915"/>
    <w:rsid w:val="00D80CF6"/>
    <w:rsid w:val="00D867FB"/>
    <w:rsid w:val="00D86C64"/>
    <w:rsid w:val="00D877EB"/>
    <w:rsid w:val="00D91077"/>
    <w:rsid w:val="00D914E2"/>
    <w:rsid w:val="00D918C9"/>
    <w:rsid w:val="00D929D9"/>
    <w:rsid w:val="00D92FE5"/>
    <w:rsid w:val="00DA2F97"/>
    <w:rsid w:val="00DA415C"/>
    <w:rsid w:val="00DA64FF"/>
    <w:rsid w:val="00DA744B"/>
    <w:rsid w:val="00DA78A8"/>
    <w:rsid w:val="00DB066A"/>
    <w:rsid w:val="00DB4171"/>
    <w:rsid w:val="00DB495B"/>
    <w:rsid w:val="00DC078A"/>
    <w:rsid w:val="00DC11DB"/>
    <w:rsid w:val="00DC1D8B"/>
    <w:rsid w:val="00DC5E74"/>
    <w:rsid w:val="00DD29F6"/>
    <w:rsid w:val="00DD36B9"/>
    <w:rsid w:val="00DD6D98"/>
    <w:rsid w:val="00DE0805"/>
    <w:rsid w:val="00DE0AD3"/>
    <w:rsid w:val="00DF028F"/>
    <w:rsid w:val="00DF22AA"/>
    <w:rsid w:val="00DF35AB"/>
    <w:rsid w:val="00DF59AF"/>
    <w:rsid w:val="00DF6682"/>
    <w:rsid w:val="00DF7A35"/>
    <w:rsid w:val="00E02FCE"/>
    <w:rsid w:val="00E053B8"/>
    <w:rsid w:val="00E12276"/>
    <w:rsid w:val="00E14131"/>
    <w:rsid w:val="00E1653A"/>
    <w:rsid w:val="00E17364"/>
    <w:rsid w:val="00E242F9"/>
    <w:rsid w:val="00E26515"/>
    <w:rsid w:val="00E31909"/>
    <w:rsid w:val="00E43F7C"/>
    <w:rsid w:val="00E5097F"/>
    <w:rsid w:val="00E51BD1"/>
    <w:rsid w:val="00E53F60"/>
    <w:rsid w:val="00E65D18"/>
    <w:rsid w:val="00E71CEE"/>
    <w:rsid w:val="00E72066"/>
    <w:rsid w:val="00E72E31"/>
    <w:rsid w:val="00E72EB9"/>
    <w:rsid w:val="00E75E54"/>
    <w:rsid w:val="00E823F7"/>
    <w:rsid w:val="00E823FC"/>
    <w:rsid w:val="00E8722A"/>
    <w:rsid w:val="00E9226D"/>
    <w:rsid w:val="00E9372E"/>
    <w:rsid w:val="00E94EAE"/>
    <w:rsid w:val="00E95A68"/>
    <w:rsid w:val="00E97391"/>
    <w:rsid w:val="00EA2D2F"/>
    <w:rsid w:val="00EA6B9F"/>
    <w:rsid w:val="00EA6D70"/>
    <w:rsid w:val="00EB70B8"/>
    <w:rsid w:val="00EC2987"/>
    <w:rsid w:val="00EC61C8"/>
    <w:rsid w:val="00EC61C9"/>
    <w:rsid w:val="00ED2391"/>
    <w:rsid w:val="00ED340F"/>
    <w:rsid w:val="00EE04EB"/>
    <w:rsid w:val="00EE427B"/>
    <w:rsid w:val="00EE757D"/>
    <w:rsid w:val="00EF1F1E"/>
    <w:rsid w:val="00EF328C"/>
    <w:rsid w:val="00F05190"/>
    <w:rsid w:val="00F05656"/>
    <w:rsid w:val="00F07306"/>
    <w:rsid w:val="00F10464"/>
    <w:rsid w:val="00F17D3A"/>
    <w:rsid w:val="00F2142C"/>
    <w:rsid w:val="00F36471"/>
    <w:rsid w:val="00F4231B"/>
    <w:rsid w:val="00F42439"/>
    <w:rsid w:val="00F63BEC"/>
    <w:rsid w:val="00F6632A"/>
    <w:rsid w:val="00F70DA7"/>
    <w:rsid w:val="00F7148C"/>
    <w:rsid w:val="00F7763F"/>
    <w:rsid w:val="00F83097"/>
    <w:rsid w:val="00F83FC8"/>
    <w:rsid w:val="00F854FE"/>
    <w:rsid w:val="00F870A1"/>
    <w:rsid w:val="00F87F00"/>
    <w:rsid w:val="00F903F8"/>
    <w:rsid w:val="00F91292"/>
    <w:rsid w:val="00F9459C"/>
    <w:rsid w:val="00F96ECD"/>
    <w:rsid w:val="00F971CD"/>
    <w:rsid w:val="00FA1475"/>
    <w:rsid w:val="00FA61A9"/>
    <w:rsid w:val="00FA6E29"/>
    <w:rsid w:val="00FB0964"/>
    <w:rsid w:val="00FB12D2"/>
    <w:rsid w:val="00FB27B4"/>
    <w:rsid w:val="00FB3B1B"/>
    <w:rsid w:val="00FB700F"/>
    <w:rsid w:val="00FB70BF"/>
    <w:rsid w:val="00FC1BAD"/>
    <w:rsid w:val="00FC1EB1"/>
    <w:rsid w:val="00FC3CC2"/>
    <w:rsid w:val="00FC7C29"/>
    <w:rsid w:val="00FD24CF"/>
    <w:rsid w:val="00FD4EB8"/>
    <w:rsid w:val="00FD5107"/>
    <w:rsid w:val="00FE146A"/>
    <w:rsid w:val="00FE15C0"/>
    <w:rsid w:val="00FF3F82"/>
    <w:rsid w:val="00FF6054"/>
    <w:rsid w:val="00FF76AB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43A0"/>
  <w15:docId w15:val="{A129EE2B-48B4-4B86-BE66-BD1AA2C5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E04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E15C0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efault">
    <w:name w:val="Default"/>
    <w:rsid w:val="00F05656"/>
    <w:pPr>
      <w:autoSpaceDE w:val="0"/>
      <w:autoSpaceDN w:val="0"/>
      <w:adjustRightInd w:val="0"/>
      <w:spacing w:after="0" w:line="240" w:lineRule="auto"/>
    </w:pPr>
    <w:rPr>
      <w:rFonts w:ascii="Dante" w:hAnsi="Dante" w:cs="Dante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893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EA"/>
  </w:style>
  <w:style w:type="paragraph" w:styleId="Footer">
    <w:name w:val="footer"/>
    <w:basedOn w:val="Normal"/>
    <w:link w:val="FooterChar"/>
    <w:uiPriority w:val="99"/>
    <w:unhideWhenUsed/>
    <w:rsid w:val="00893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EA"/>
  </w:style>
  <w:style w:type="character" w:customStyle="1" w:styleId="Heading3Char">
    <w:name w:val="Heading 3 Char"/>
    <w:basedOn w:val="DefaultParagraphFont"/>
    <w:link w:val="Heading3"/>
    <w:uiPriority w:val="9"/>
    <w:rsid w:val="00EE04E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E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osearchterm">
    <w:name w:val="co_searchterm"/>
    <w:basedOn w:val="DefaultParagraphFont"/>
    <w:rsid w:val="006E70FD"/>
  </w:style>
  <w:style w:type="character" w:styleId="Hyperlink">
    <w:name w:val="Hyperlink"/>
    <w:basedOn w:val="DefaultParagraphFont"/>
    <w:uiPriority w:val="99"/>
    <w:unhideWhenUsed/>
    <w:rsid w:val="003B7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3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E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remecourt.flcourts.gov/content/download/2442769/opinion/Opinion_SC2024-0442.pdf" TargetMode="External"/><Relationship Id="rId13" Type="http://schemas.openxmlformats.org/officeDocument/2006/relationships/hyperlink" Target="https://4dca.flcourts.gov/content/download/2442685/opinion/Opinion_2023-244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a.ca11.uscourts.gov/opinions/pub/files/202213338.pdf" TargetMode="External"/><Relationship Id="rId12" Type="http://schemas.openxmlformats.org/officeDocument/2006/relationships/hyperlink" Target="https://3dca.flcourts.gov/content/download/2442717/opinion/Opinion_2023-1472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3dca.flcourts.gov/content/download/2442715/opinion/Opinion_2023-1135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2dca.flcourts.gov/content/download/2442653/opinion/Opinion_2023-138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remecourt.flcourts.gov/content/download/2442770/opinion/Opinion_SC2024-096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E343-AD03-49FB-9212-7EDEF565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Farach</dc:creator>
  <cp:keywords/>
  <dc:description/>
  <cp:lastModifiedBy>Manuel Farach</cp:lastModifiedBy>
  <cp:revision>4</cp:revision>
  <cp:lastPrinted>2024-09-14T12:41:00Z</cp:lastPrinted>
  <dcterms:created xsi:type="dcterms:W3CDTF">2024-11-05T01:52:00Z</dcterms:created>
  <dcterms:modified xsi:type="dcterms:W3CDTF">2024-11-05T02:48:00Z</dcterms:modified>
</cp:coreProperties>
</file>