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85E85" w14:textId="387391DC" w:rsidR="00E912F4" w:rsidRPr="00DF529C" w:rsidRDefault="00F6649C" w:rsidP="00FD6296">
      <w:r>
        <w:rPr>
          <w:noProof/>
        </w:rPr>
        <w:drawing>
          <wp:anchor distT="0" distB="0" distL="114300" distR="114300" simplePos="0" relativeHeight="251658240" behindDoc="0" locked="0" layoutInCell="1" allowOverlap="1" wp14:anchorId="0EB93BD9" wp14:editId="70423EE4">
            <wp:simplePos x="0" y="0"/>
            <wp:positionH relativeFrom="page">
              <wp:posOffset>733425</wp:posOffset>
            </wp:positionH>
            <wp:positionV relativeFrom="page">
              <wp:posOffset>476250</wp:posOffset>
            </wp:positionV>
            <wp:extent cx="740410" cy="719455"/>
            <wp:effectExtent l="0" t="0" r="0" b="0"/>
            <wp:wrapNone/>
            <wp:docPr id="6" name="Picture 5" descr="The Florida Bar Profesionalism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Florida Bar Profesionalism 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0410" cy="719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73399EEA" wp14:editId="5F854C2D">
            <wp:simplePos x="0" y="0"/>
            <wp:positionH relativeFrom="page">
              <wp:posOffset>6193155</wp:posOffset>
            </wp:positionH>
            <wp:positionV relativeFrom="page">
              <wp:posOffset>422910</wp:posOffset>
            </wp:positionV>
            <wp:extent cx="765810" cy="777240"/>
            <wp:effectExtent l="0" t="0" r="0" b="0"/>
            <wp:wrapNone/>
            <wp:docPr id="5" name="Picture 4" descr="The Florida Bar 1950'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Florida Bar 1950's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5810" cy="777240"/>
                    </a:xfrm>
                    <a:prstGeom prst="rect">
                      <a:avLst/>
                    </a:prstGeom>
                    <a:noFill/>
                  </pic:spPr>
                </pic:pic>
              </a:graphicData>
            </a:graphic>
            <wp14:sizeRelH relativeFrom="page">
              <wp14:pctWidth>0</wp14:pctWidth>
            </wp14:sizeRelH>
            <wp14:sizeRelV relativeFrom="page">
              <wp14:pctHeight>0</wp14:pctHeight>
            </wp14:sizeRelV>
          </wp:anchor>
        </w:drawing>
      </w:r>
    </w:p>
    <w:p w14:paraId="2E4EC7B8" w14:textId="77975084" w:rsidR="00BB4FB1" w:rsidRPr="005B50EA" w:rsidRDefault="00F6649C" w:rsidP="00BB4FB1">
      <w:pPr>
        <w:pStyle w:val="TheFloridaBar"/>
      </w:pPr>
      <w:r>
        <w:rPr>
          <w:noProof/>
        </w:rPr>
        <mc:AlternateContent>
          <mc:Choice Requires="wps">
            <w:drawing>
              <wp:anchor distT="0" distB="0" distL="114300" distR="114300" simplePos="0" relativeHeight="251659264" behindDoc="0" locked="0" layoutInCell="1" allowOverlap="1" wp14:anchorId="049261DC" wp14:editId="522BDBAD">
                <wp:simplePos x="0" y="0"/>
                <wp:positionH relativeFrom="page">
                  <wp:posOffset>356235</wp:posOffset>
                </wp:positionH>
                <wp:positionV relativeFrom="page">
                  <wp:posOffset>1281430</wp:posOffset>
                </wp:positionV>
                <wp:extent cx="6983730" cy="635"/>
                <wp:effectExtent l="13335" t="5080" r="13335" b="1333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37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B11FF8" id="_x0000_t32" coordsize="21600,21600" o:spt="32" o:oned="t" path="m,l21600,21600e" filled="f">
                <v:path arrowok="t" fillok="f" o:connecttype="none"/>
                <o:lock v:ext="edit" shapetype="t"/>
              </v:shapetype>
              <v:shape id="AutoShape 19" o:spid="_x0000_s1026" type="#_x0000_t32" style="position:absolute;margin-left:28.05pt;margin-top:100.9pt;width:549.9pt;height:.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">
                <w10:wrap anchorx="page" anchory="page"/>
              </v:shape>
            </w:pict>
          </mc:Fallback>
        </mc:AlternateContent>
      </w:r>
      <w:r w:rsidR="00BB4FB1" w:rsidRPr="005B50EA">
        <w:t>The Florida Bar</w:t>
      </w:r>
    </w:p>
    <w:p w14:paraId="1F50A88D" w14:textId="77777777" w:rsidR="00BB4FB1" w:rsidRDefault="00BB4FB1" w:rsidP="00BB4FB1">
      <w:pPr>
        <w:sectPr w:rsidR="00BB4FB1" w:rsidSect="00BB4FB1">
          <w:headerReference w:type="default" r:id="rId9"/>
          <w:footerReference w:type="default" r:id="rId10"/>
          <w:pgSz w:w="12240" w:h="15840" w:code="1"/>
          <w:pgMar w:top="720" w:right="1440" w:bottom="1440" w:left="1440" w:header="720" w:footer="720" w:gutter="0"/>
          <w:cols w:space="720"/>
          <w:titlePg/>
          <w:docGrid w:linePitch="360"/>
        </w:sectPr>
      </w:pPr>
    </w:p>
    <w:p w14:paraId="745EE05E" w14:textId="77777777" w:rsidR="00BB4FB1" w:rsidRPr="00946BC8" w:rsidRDefault="005F1F58" w:rsidP="008B7864">
      <w:pPr>
        <w:pStyle w:val="Officers"/>
        <w:rPr>
          <w:b/>
        </w:rPr>
      </w:pPr>
      <w:r>
        <w:rPr>
          <w:b/>
        </w:rPr>
        <w:t>Michael G. Tanner</w:t>
      </w:r>
    </w:p>
    <w:p w14:paraId="76D26A5C" w14:textId="77777777" w:rsidR="00BB4FB1" w:rsidRPr="00D445BF" w:rsidRDefault="00BB4FB1" w:rsidP="008B7864">
      <w:pPr>
        <w:pStyle w:val="Officers"/>
      </w:pPr>
      <w:r w:rsidRPr="00D445BF">
        <w:t>President</w:t>
      </w:r>
    </w:p>
    <w:p w14:paraId="01474123" w14:textId="77777777" w:rsidR="00BB4FB1" w:rsidRPr="00946BC8" w:rsidRDefault="00BB4FB1" w:rsidP="002F055B">
      <w:pPr>
        <w:pStyle w:val="Officers"/>
        <w:rPr>
          <w:b/>
        </w:rPr>
      </w:pPr>
      <w:r w:rsidRPr="00946BC8">
        <w:rPr>
          <w:b/>
        </w:rPr>
        <w:br w:type="column"/>
      </w:r>
      <w:r w:rsidR="005A71AF" w:rsidRPr="00946BC8">
        <w:rPr>
          <w:b/>
        </w:rPr>
        <w:t>Joshua E. Doyle</w:t>
      </w:r>
    </w:p>
    <w:p w14:paraId="259A9CFB" w14:textId="77777777" w:rsidR="00BB4FB1" w:rsidRPr="00D445BF" w:rsidRDefault="00BB4FB1" w:rsidP="002F055B">
      <w:pPr>
        <w:pStyle w:val="Officers"/>
      </w:pPr>
      <w:r w:rsidRPr="00D445BF">
        <w:t>Executive Director</w:t>
      </w:r>
    </w:p>
    <w:p w14:paraId="378504AE" w14:textId="77777777" w:rsidR="002F055B" w:rsidRPr="00946BC8" w:rsidRDefault="002F055B" w:rsidP="008B7864">
      <w:pPr>
        <w:pStyle w:val="Officers"/>
        <w:rPr>
          <w:b/>
        </w:rPr>
      </w:pPr>
      <w:r w:rsidRPr="00946BC8">
        <w:rPr>
          <w:b/>
        </w:rPr>
        <w:br w:type="column"/>
      </w:r>
      <w:r w:rsidR="005F1F58">
        <w:rPr>
          <w:b/>
        </w:rPr>
        <w:t>Gary S. Lesser</w:t>
      </w:r>
    </w:p>
    <w:p w14:paraId="05114EBC" w14:textId="77777777" w:rsidR="00BB4FB1" w:rsidRPr="00D445BF" w:rsidRDefault="002F055B" w:rsidP="008B7864">
      <w:pPr>
        <w:pStyle w:val="Officers"/>
        <w:spacing w:after="240"/>
      </w:pPr>
      <w:r w:rsidRPr="00D445BF">
        <w:t>President-Elect</w:t>
      </w:r>
    </w:p>
    <w:p w14:paraId="0406310E" w14:textId="77777777" w:rsidR="005B51E7" w:rsidRDefault="005B51E7" w:rsidP="005B51E7">
      <w:pPr>
        <w:sectPr w:rsidR="005B51E7" w:rsidSect="002F055B">
          <w:type w:val="continuous"/>
          <w:pgSz w:w="12240" w:h="15840" w:code="1"/>
          <w:pgMar w:top="720" w:right="0" w:bottom="1440" w:left="0" w:header="720" w:footer="720" w:gutter="0"/>
          <w:cols w:num="3" w:space="585"/>
          <w:titlePg/>
          <w:docGrid w:linePitch="360"/>
        </w:sectPr>
      </w:pPr>
    </w:p>
    <w:p w14:paraId="7C94A6BF" w14:textId="77777777" w:rsidR="005B51E7" w:rsidRPr="00243E97" w:rsidRDefault="005B51E7" w:rsidP="005B51E7">
      <w:pPr>
        <w:rPr>
          <w:rFonts w:ascii="Bookman Old Style" w:hAnsi="Bookman Old Style"/>
        </w:rPr>
        <w:sectPr w:rsidR="005B51E7" w:rsidRPr="00243E97" w:rsidSect="005F59FE">
          <w:type w:val="continuous"/>
          <w:pgSz w:w="12240" w:h="15840" w:code="1"/>
          <w:pgMar w:top="720" w:right="1440" w:bottom="1440" w:left="1440" w:header="720" w:footer="720" w:gutter="0"/>
          <w:cols w:space="585"/>
          <w:titlePg/>
          <w:docGrid w:linePitch="360"/>
        </w:sectPr>
      </w:pPr>
    </w:p>
    <w:p w14:paraId="5623813E" w14:textId="0905D640" w:rsidR="003C72A0" w:rsidRPr="00243E97" w:rsidRDefault="00F6649C" w:rsidP="00243E97">
      <w:pPr>
        <w:spacing w:after="120"/>
        <w:rPr>
          <w:rFonts w:ascii="Bookman Old Style" w:hAnsi="Bookman Old Style"/>
        </w:rPr>
      </w:pPr>
      <w:r>
        <w:rPr>
          <w:rFonts w:ascii="Bookman Old Style" w:hAnsi="Bookman Old Style"/>
          <w:noProof/>
        </w:rPr>
        <mc:AlternateContent>
          <mc:Choice Requires="wps">
            <w:drawing>
              <wp:anchor distT="0" distB="0" distL="114300" distR="114300" simplePos="0" relativeHeight="251660288" behindDoc="0" locked="1" layoutInCell="1" allowOverlap="0" wp14:anchorId="665DFA31" wp14:editId="67700961">
                <wp:simplePos x="0" y="0"/>
                <wp:positionH relativeFrom="page">
                  <wp:posOffset>457200</wp:posOffset>
                </wp:positionH>
                <wp:positionV relativeFrom="page">
                  <wp:posOffset>9267825</wp:posOffset>
                </wp:positionV>
                <wp:extent cx="6858000" cy="155575"/>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55575"/>
                        </a:xfrm>
                        <a:prstGeom prst="rect">
                          <a:avLst/>
                        </a:prstGeom>
                        <a:noFill/>
                        <a:ln>
                          <a:noFill/>
                        </a:ln>
                      </wps:spPr>
                      <wps:txbx>
                        <w:txbxContent>
                          <w:p w14:paraId="28B3ACFA" w14:textId="77777777" w:rsidR="003C72A0" w:rsidRPr="00801CAB" w:rsidRDefault="003C72A0" w:rsidP="003C72A0">
                            <w:pPr>
                              <w:jc w:val="center"/>
                              <w:rPr>
                                <w:sz w:val="20"/>
                                <w:szCs w:val="20"/>
                              </w:rPr>
                            </w:pPr>
                            <w:r w:rsidRPr="00801CAB">
                              <w:rPr>
                                <w:sz w:val="20"/>
                                <w:szCs w:val="20"/>
                              </w:rPr>
                              <w:t xml:space="preserve">651 East Jefferson Street </w:t>
                            </w:r>
                            <w:r>
                              <w:rPr>
                                <w:sz w:val="20"/>
                                <w:szCs w:val="20"/>
                              </w:rPr>
                              <w:sym w:font="Wingdings" w:char="F09F"/>
                            </w:r>
                            <w:r w:rsidRPr="00801CAB">
                              <w:rPr>
                                <w:sz w:val="20"/>
                                <w:szCs w:val="20"/>
                              </w:rPr>
                              <w:t xml:space="preserve"> Tallahassee, FL  32399-2300 </w:t>
                            </w:r>
                            <w:r>
                              <w:rPr>
                                <w:sz w:val="20"/>
                                <w:szCs w:val="20"/>
                              </w:rPr>
                              <w:sym w:font="Wingdings" w:char="F09F"/>
                            </w:r>
                            <w:r>
                              <w:rPr>
                                <w:sz w:val="20"/>
                                <w:szCs w:val="20"/>
                              </w:rPr>
                              <w:t xml:space="preserve"> (850) </w:t>
                            </w:r>
                            <w:r w:rsidRPr="00801CAB">
                              <w:rPr>
                                <w:sz w:val="20"/>
                                <w:szCs w:val="20"/>
                              </w:rPr>
                              <w:t xml:space="preserve">561-5600 </w:t>
                            </w:r>
                            <w:r>
                              <w:rPr>
                                <w:sz w:val="20"/>
                                <w:szCs w:val="20"/>
                              </w:rPr>
                              <w:sym w:font="Wingdings" w:char="F09F"/>
                            </w:r>
                            <w:r w:rsidRPr="00801CAB">
                              <w:rPr>
                                <w:sz w:val="20"/>
                                <w:szCs w:val="20"/>
                              </w:rPr>
                              <w:t xml:space="preserve"> FAX:  (850)</w:t>
                            </w:r>
                            <w:r>
                              <w:rPr>
                                <w:sz w:val="20"/>
                                <w:szCs w:val="20"/>
                              </w:rPr>
                              <w:t xml:space="preserve"> </w:t>
                            </w:r>
                            <w:r w:rsidRPr="00801CAB">
                              <w:rPr>
                                <w:sz w:val="20"/>
                                <w:szCs w:val="20"/>
                              </w:rPr>
                              <w:t>561-</w:t>
                            </w:r>
                            <w:r>
                              <w:rPr>
                                <w:sz w:val="20"/>
                                <w:szCs w:val="20"/>
                              </w:rPr>
                              <w:t>9405</w:t>
                            </w:r>
                            <w:r w:rsidRPr="00801CAB">
                              <w:rPr>
                                <w:sz w:val="20"/>
                                <w:szCs w:val="20"/>
                              </w:rPr>
                              <w:t xml:space="preserve"> </w:t>
                            </w:r>
                            <w:r>
                              <w:rPr>
                                <w:sz w:val="20"/>
                                <w:szCs w:val="20"/>
                              </w:rPr>
                              <w:sym w:font="Wingdings" w:char="F09F"/>
                            </w:r>
                            <w:r w:rsidRPr="00801CAB">
                              <w:rPr>
                                <w:sz w:val="20"/>
                                <w:szCs w:val="20"/>
                              </w:rPr>
                              <w:t xml:space="preserve"> www.</w:t>
                            </w:r>
                            <w:r>
                              <w:rPr>
                                <w:sz w:val="20"/>
                                <w:szCs w:val="20"/>
                              </w:rPr>
                              <w:t>floridabar</w:t>
                            </w:r>
                            <w:r w:rsidRPr="00801CAB">
                              <w:rPr>
                                <w:sz w:val="20"/>
                                <w:szCs w:val="20"/>
                              </w:rPr>
                              <w:t>.org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DFA31" id="_x0000_t202" coordsize="21600,21600" o:spt="202" path="m,l,21600r21600,l21600,xe">
                <v:stroke joinstyle="miter"/>
                <v:path gradientshapeok="t" o:connecttype="rect"/>
              </v:shapetype>
              <v:shape id="Text Box 12" o:spid="_x0000_s1026" type="#_x0000_t202" style="position:absolute;margin-left:36pt;margin-top:729.75pt;width:540pt;height:12.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" o:allowoverlap="f" filled="f" stroked="f">
                <v:textbox inset="0,0,0,0">
                  <w:txbxContent>
                    <w:p w14:paraId="28B3ACFA" w14:textId="77777777" w:rsidR="003C72A0" w:rsidRPr="00801CAB" w:rsidRDefault="003C72A0" w:rsidP="003C72A0">
                      <w:pPr>
                        <w:jc w:val="center"/>
                        <w:rPr>
                          <w:sz w:val="20"/>
                          <w:szCs w:val="20"/>
                        </w:rPr>
                      </w:pPr>
                      <w:r w:rsidRPr="00801CAB">
                        <w:rPr>
                          <w:sz w:val="20"/>
                          <w:szCs w:val="20"/>
                        </w:rPr>
                        <w:t xml:space="preserve">651 East Jefferson Street </w:t>
                      </w:r>
                      <w:r>
                        <w:rPr>
                          <w:sz w:val="20"/>
                          <w:szCs w:val="20"/>
                        </w:rPr>
                        <w:sym w:font="Wingdings" w:char="F09F"/>
                      </w:r>
                      <w:r w:rsidRPr="00801CAB">
                        <w:rPr>
                          <w:sz w:val="20"/>
                          <w:szCs w:val="20"/>
                        </w:rPr>
                        <w:t xml:space="preserve"> Tallahassee, FL  32399-2300 </w:t>
                      </w:r>
                      <w:r>
                        <w:rPr>
                          <w:sz w:val="20"/>
                          <w:szCs w:val="20"/>
                        </w:rPr>
                        <w:sym w:font="Wingdings" w:char="F09F"/>
                      </w:r>
                      <w:r>
                        <w:rPr>
                          <w:sz w:val="20"/>
                          <w:szCs w:val="20"/>
                        </w:rPr>
                        <w:t xml:space="preserve"> (850) </w:t>
                      </w:r>
                      <w:r w:rsidRPr="00801CAB">
                        <w:rPr>
                          <w:sz w:val="20"/>
                          <w:szCs w:val="20"/>
                        </w:rPr>
                        <w:t xml:space="preserve">561-5600 </w:t>
                      </w:r>
                      <w:r>
                        <w:rPr>
                          <w:sz w:val="20"/>
                          <w:szCs w:val="20"/>
                        </w:rPr>
                        <w:sym w:font="Wingdings" w:char="F09F"/>
                      </w:r>
                      <w:r w:rsidRPr="00801CAB">
                        <w:rPr>
                          <w:sz w:val="20"/>
                          <w:szCs w:val="20"/>
                        </w:rPr>
                        <w:t xml:space="preserve"> FAX:  (850)</w:t>
                      </w:r>
                      <w:r>
                        <w:rPr>
                          <w:sz w:val="20"/>
                          <w:szCs w:val="20"/>
                        </w:rPr>
                        <w:t xml:space="preserve"> </w:t>
                      </w:r>
                      <w:r w:rsidRPr="00801CAB">
                        <w:rPr>
                          <w:sz w:val="20"/>
                          <w:szCs w:val="20"/>
                        </w:rPr>
                        <w:t>561-</w:t>
                      </w:r>
                      <w:r>
                        <w:rPr>
                          <w:sz w:val="20"/>
                          <w:szCs w:val="20"/>
                        </w:rPr>
                        <w:t>9405</w:t>
                      </w:r>
                      <w:r w:rsidRPr="00801CAB">
                        <w:rPr>
                          <w:sz w:val="20"/>
                          <w:szCs w:val="20"/>
                        </w:rPr>
                        <w:t xml:space="preserve"> </w:t>
                      </w:r>
                      <w:r>
                        <w:rPr>
                          <w:sz w:val="20"/>
                          <w:szCs w:val="20"/>
                        </w:rPr>
                        <w:sym w:font="Wingdings" w:char="F09F"/>
                      </w:r>
                      <w:r w:rsidRPr="00801CAB">
                        <w:rPr>
                          <w:sz w:val="20"/>
                          <w:szCs w:val="20"/>
                        </w:rPr>
                        <w:t xml:space="preserve"> www.</w:t>
                      </w:r>
                      <w:r>
                        <w:rPr>
                          <w:sz w:val="20"/>
                          <w:szCs w:val="20"/>
                        </w:rPr>
                        <w:t>floridabar</w:t>
                      </w:r>
                      <w:r w:rsidRPr="00801CAB">
                        <w:rPr>
                          <w:sz w:val="20"/>
                          <w:szCs w:val="20"/>
                        </w:rPr>
                        <w:t>.org</w:t>
                      </w:r>
                    </w:p>
                  </w:txbxContent>
                </v:textbox>
                <w10:wrap anchorx="page" anchory="page"/>
                <w10:anchorlock/>
              </v:shape>
            </w:pict>
          </mc:Fallback>
        </mc:AlternateContent>
      </w:r>
    </w:p>
    <w:p w14:paraId="5B181DB5" w14:textId="77777777" w:rsidR="00B94BB5" w:rsidRDefault="00B94BB5" w:rsidP="00B94BB5">
      <w:pPr>
        <w:jc w:val="center"/>
        <w:rPr>
          <w:rFonts w:ascii="Bookman Old Style" w:hAnsi="Bookman Old Style"/>
          <w:b/>
          <w:bCs/>
          <w:sz w:val="26"/>
          <w:szCs w:val="26"/>
        </w:rPr>
      </w:pPr>
      <w:r w:rsidRPr="009D21FC">
        <w:rPr>
          <w:rFonts w:ascii="Bookman Old Style" w:hAnsi="Bookman Old Style"/>
          <w:b/>
          <w:bCs/>
          <w:sz w:val="26"/>
          <w:szCs w:val="26"/>
        </w:rPr>
        <w:t xml:space="preserve">COVID-19 TASK FORCE RECOMMENDATIONS CONCERNING </w:t>
      </w:r>
    </w:p>
    <w:p w14:paraId="473891F4" w14:textId="77777777" w:rsidR="00B94BB5" w:rsidRDefault="00B94BB5" w:rsidP="00B94BB5">
      <w:pPr>
        <w:jc w:val="center"/>
        <w:rPr>
          <w:rFonts w:ascii="Bookman Old Style" w:hAnsi="Bookman Old Style"/>
          <w:b/>
          <w:bCs/>
          <w:sz w:val="26"/>
          <w:szCs w:val="26"/>
        </w:rPr>
      </w:pPr>
      <w:r w:rsidRPr="009D21FC">
        <w:rPr>
          <w:rFonts w:ascii="Bookman Old Style" w:hAnsi="Bookman Old Style"/>
          <w:b/>
          <w:bCs/>
          <w:sz w:val="26"/>
          <w:szCs w:val="26"/>
        </w:rPr>
        <w:t xml:space="preserve">A POTENTIAL STATEWIDE MANAGED MEDIATION </w:t>
      </w:r>
    </w:p>
    <w:p w14:paraId="60441861" w14:textId="77777777" w:rsidR="00B94BB5" w:rsidRPr="009D21FC" w:rsidRDefault="00B94BB5" w:rsidP="00B94BB5">
      <w:pPr>
        <w:jc w:val="center"/>
        <w:rPr>
          <w:rFonts w:ascii="Bookman Old Style" w:hAnsi="Bookman Old Style"/>
          <w:b/>
          <w:bCs/>
          <w:sz w:val="26"/>
          <w:szCs w:val="26"/>
        </w:rPr>
      </w:pPr>
      <w:r w:rsidRPr="009D21FC">
        <w:rPr>
          <w:rFonts w:ascii="Bookman Old Style" w:hAnsi="Bookman Old Style"/>
          <w:b/>
          <w:bCs/>
          <w:sz w:val="26"/>
          <w:szCs w:val="26"/>
        </w:rPr>
        <w:t>PROGRAM OF EVICTIONS</w:t>
      </w:r>
    </w:p>
    <w:p w14:paraId="2F6819CE" w14:textId="77777777" w:rsidR="00B94BB5" w:rsidRDefault="00B94BB5" w:rsidP="00B94BB5">
      <w:pPr>
        <w:spacing w:after="120"/>
        <w:jc w:val="center"/>
        <w:rPr>
          <w:rFonts w:ascii="Bookman Old Style" w:hAnsi="Bookman Old Style"/>
          <w:b/>
          <w:bCs/>
        </w:rPr>
      </w:pPr>
    </w:p>
    <w:p w14:paraId="47B2C223" w14:textId="77777777" w:rsidR="00B94BB5" w:rsidRPr="009D21FC" w:rsidRDefault="00B94BB5" w:rsidP="00B94BB5">
      <w:pPr>
        <w:rPr>
          <w:rFonts w:ascii="Bookman Old Style" w:eastAsiaTheme="minorHAnsi" w:hAnsi="Bookman Old Style" w:cs="Calibri"/>
        </w:rPr>
      </w:pPr>
      <w:r w:rsidRPr="009D21FC">
        <w:rPr>
          <w:rFonts w:ascii="Bookman Old Style" w:eastAsiaTheme="minorHAnsi" w:hAnsi="Bookman Old Style" w:cs="Calibri"/>
        </w:rPr>
        <w:t xml:space="preserve">The COVID-19 Task Force appreciates the opportunity to provide comments for President Tanner’s attention, regarding consideration of a potential statewide managed mediation program of evictions akin to the </w:t>
      </w:r>
      <w:bookmarkStart w:id="0" w:name="_Hlk82594254"/>
      <w:r w:rsidRPr="009D21FC">
        <w:rPr>
          <w:rFonts w:ascii="Bookman Old Style" w:eastAsiaTheme="minorHAnsi" w:hAnsi="Bookman Old Style" w:cs="Calibri"/>
        </w:rPr>
        <w:t xml:space="preserve">Statewide Managed Mediation Program of Residential Foreclosures adopted following the Final Report and Recommendations of the Florida Supreme Court Task Force on Residential Mortgage Foreclosure Cases (August 17, 2009) (the “Final Report”). </w:t>
      </w:r>
      <w:bookmarkEnd w:id="0"/>
      <w:r w:rsidRPr="009D21FC">
        <w:rPr>
          <w:rFonts w:ascii="Bookman Old Style" w:eastAsiaTheme="minorHAnsi" w:hAnsi="Bookman Old Style" w:cs="Calibri"/>
        </w:rPr>
        <w:t>It is our understanding we have not been asked to advocate for a position but rather simply to provide comment on the potential use of a program akin to that which was proposed in the Final Report.</w:t>
      </w:r>
    </w:p>
    <w:p w14:paraId="2FCE8B70" w14:textId="77777777" w:rsidR="00B94BB5" w:rsidRPr="009D21FC" w:rsidRDefault="00B94BB5" w:rsidP="00B94BB5">
      <w:pPr>
        <w:rPr>
          <w:rFonts w:ascii="Bookman Old Style" w:eastAsiaTheme="minorHAnsi" w:hAnsi="Bookman Old Style" w:cs="Calibri"/>
        </w:rPr>
      </w:pPr>
    </w:p>
    <w:p w14:paraId="21C80F8C" w14:textId="77777777" w:rsidR="00B94BB5" w:rsidRPr="009D21FC" w:rsidRDefault="00B94BB5" w:rsidP="00B94BB5">
      <w:pPr>
        <w:rPr>
          <w:rFonts w:ascii="Bookman Old Style" w:eastAsiaTheme="minorHAnsi" w:hAnsi="Bookman Old Style" w:cs="Calibri"/>
        </w:rPr>
      </w:pPr>
      <w:r w:rsidRPr="009D21FC">
        <w:rPr>
          <w:rFonts w:ascii="Bookman Old Style" w:eastAsiaTheme="minorHAnsi" w:hAnsi="Bookman Old Style" w:cs="Calibri"/>
        </w:rPr>
        <w:t>In the Final Report, the Task Force on Residential Mortgage Foreclosure cases recommended a statewide managed mediation program to be implemented through a model administrative order issued by each circuit chief judge. As stated in pages 8-9 of the Final Report:</w:t>
      </w:r>
    </w:p>
    <w:p w14:paraId="130928C2" w14:textId="77777777" w:rsidR="00B94BB5" w:rsidRPr="009D21FC" w:rsidRDefault="00B94BB5" w:rsidP="00B94BB5">
      <w:pPr>
        <w:rPr>
          <w:rFonts w:ascii="Bookman Old Style" w:eastAsiaTheme="minorHAnsi" w:hAnsi="Bookman Old Style" w:cs="Calibri"/>
        </w:rPr>
      </w:pPr>
    </w:p>
    <w:p w14:paraId="616D451C" w14:textId="77777777" w:rsidR="00B94BB5" w:rsidRPr="009D21FC" w:rsidRDefault="00B94BB5" w:rsidP="00B94BB5">
      <w:pPr>
        <w:autoSpaceDE w:val="0"/>
        <w:autoSpaceDN w:val="0"/>
        <w:ind w:left="720" w:right="720"/>
        <w:rPr>
          <w:rFonts w:ascii="Bookman Old Style" w:eastAsiaTheme="minorHAnsi" w:hAnsi="Bookman Old Style" w:cs="Calibri"/>
          <w:color w:val="000000"/>
        </w:rPr>
      </w:pPr>
      <w:r w:rsidRPr="009D21FC">
        <w:rPr>
          <w:rFonts w:ascii="Bookman Old Style" w:eastAsiaTheme="minorHAnsi" w:hAnsi="Bookman Old Style" w:cs="Calibri"/>
          <w:color w:val="000000"/>
        </w:rPr>
        <w:t xml:space="preserve">Under this program, all foreclosure cases involving residential homestead property will be referred to mediation, unless the plaintiff and borrower agree otherwise, or unless pre-suit mediation was conducted. All cases will be assigned to mediation to be conducted by a Florida Supreme Court certified circuit court mediator. Referral of the borrower to foreclosure counseling prior to mediation, early exchange of borrower and lender information by way of an information technology platform prior to mediation, and the ability of a plaintiff’s representative to appear at mediation by telephone are features of the model administrative order. Borrowers will not pay a fee to participate in the managed mediation program. Appended to the Model Administrative Order are best practice alternative dispute resolution forms and mediator training standards. </w:t>
      </w:r>
    </w:p>
    <w:p w14:paraId="38012A93" w14:textId="77777777" w:rsidR="00B94BB5" w:rsidRPr="009D21FC" w:rsidRDefault="00B94BB5" w:rsidP="00B94BB5">
      <w:pPr>
        <w:autoSpaceDE w:val="0"/>
        <w:autoSpaceDN w:val="0"/>
        <w:ind w:left="720" w:right="720"/>
        <w:rPr>
          <w:rFonts w:ascii="Bookman Old Style" w:eastAsiaTheme="minorHAnsi" w:hAnsi="Bookman Old Style" w:cs="Calibri"/>
          <w:color w:val="000000"/>
        </w:rPr>
      </w:pPr>
    </w:p>
    <w:p w14:paraId="68224D47" w14:textId="77777777" w:rsidR="00B94BB5" w:rsidRDefault="00B94BB5">
      <w:pPr>
        <w:rPr>
          <w:rFonts w:ascii="Bookman Old Style" w:eastAsiaTheme="minorHAnsi" w:hAnsi="Bookman Old Style" w:cs="Calibri"/>
          <w:color w:val="000000"/>
        </w:rPr>
      </w:pPr>
      <w:r>
        <w:rPr>
          <w:rFonts w:ascii="Bookman Old Style" w:eastAsiaTheme="minorHAnsi" w:hAnsi="Bookman Old Style" w:cs="Calibri"/>
          <w:color w:val="000000"/>
        </w:rPr>
        <w:br w:type="page"/>
      </w:r>
    </w:p>
    <w:p w14:paraId="658178EF" w14:textId="0543749E" w:rsidR="00B94BB5" w:rsidRPr="009D21FC" w:rsidRDefault="00B94BB5" w:rsidP="00B94BB5">
      <w:pPr>
        <w:autoSpaceDE w:val="0"/>
        <w:autoSpaceDN w:val="0"/>
        <w:ind w:left="720" w:right="720"/>
        <w:rPr>
          <w:rFonts w:ascii="Bookman Old Style" w:eastAsiaTheme="minorHAnsi" w:hAnsi="Bookman Old Style" w:cs="Calibri"/>
          <w:color w:val="000000"/>
        </w:rPr>
      </w:pPr>
      <w:r w:rsidRPr="009D21FC">
        <w:rPr>
          <w:rFonts w:ascii="Bookman Old Style" w:eastAsiaTheme="minorHAnsi" w:hAnsi="Bookman Old Style" w:cs="Calibri"/>
          <w:color w:val="000000"/>
        </w:rPr>
        <w:lastRenderedPageBreak/>
        <w:t>The Task Force also recommends differentiated processing of three distinct categories of foreclosure cases: (1) homestead properties that are referred to mediation and are likely to resolve through the managed mediation program; (2) vacant and abandoned properties</w:t>
      </w:r>
      <w:r>
        <w:rPr>
          <w:rFonts w:ascii="Bookman Old Style" w:eastAsiaTheme="minorHAnsi" w:hAnsi="Bookman Old Style" w:cs="Calibri"/>
          <w:color w:val="000000"/>
        </w:rPr>
        <w:t xml:space="preserve"> </w:t>
      </w:r>
      <w:r w:rsidRPr="009D21FC">
        <w:rPr>
          <w:rFonts w:ascii="Bookman Old Style" w:eastAsiaTheme="minorHAnsi" w:hAnsi="Bookman Old Style" w:cs="Calibri"/>
          <w:color w:val="000000"/>
        </w:rPr>
        <w:t>that can move through the courts quickly through expedited foreclosure processes; and (3) other foreclosure cases, which may include tenant-occupied or non-borrower-occupied properties, in which the borrower has been unable to communicate with the plaintiff to resolve the case, and which may be referred to the managed mediation program at equal cost to both parties. In order to facilitate improved case management of foreclosure cases that will not be resolved through the managed mediation program, the Task Force proposes a number of changes to the Rules of Civil Procedure and the Forms for Use with Rules of Civil Procedure, as well as ―best practices</w:t>
      </w:r>
      <w:r w:rsidRPr="009D21FC">
        <w:rPr>
          <w:rFonts w:eastAsiaTheme="minorHAnsi"/>
          <w:color w:val="000000"/>
        </w:rPr>
        <w:t>‖</w:t>
      </w:r>
      <w:r w:rsidRPr="009D21FC">
        <w:rPr>
          <w:rFonts w:ascii="Bookman Old Style" w:eastAsiaTheme="minorHAnsi" w:hAnsi="Bookman Old Style" w:cs="Calibri"/>
          <w:color w:val="000000"/>
        </w:rPr>
        <w:t xml:space="preserve"> forms that may be used at the discretion of the circuit court to improve efficiencies in case processing.</w:t>
      </w:r>
    </w:p>
    <w:p w14:paraId="330952D9" w14:textId="77777777" w:rsidR="00B94BB5" w:rsidRDefault="00B94BB5" w:rsidP="00B94BB5">
      <w:pPr>
        <w:rPr>
          <w:rFonts w:ascii="Bookman Old Style" w:eastAsiaTheme="minorHAnsi" w:hAnsi="Bookman Old Style" w:cs="Calibri"/>
        </w:rPr>
      </w:pPr>
    </w:p>
    <w:p w14:paraId="07BC2980" w14:textId="77777777" w:rsidR="00B94BB5" w:rsidRPr="009D21FC" w:rsidRDefault="00B94BB5" w:rsidP="00B94BB5">
      <w:pPr>
        <w:rPr>
          <w:rFonts w:ascii="Bookman Old Style" w:eastAsiaTheme="minorHAnsi" w:hAnsi="Bookman Old Style" w:cs="Calibri"/>
        </w:rPr>
      </w:pPr>
      <w:r w:rsidRPr="009D21FC">
        <w:rPr>
          <w:rFonts w:ascii="Bookman Old Style" w:eastAsiaTheme="minorHAnsi" w:hAnsi="Bookman Old Style" w:cs="Calibri"/>
        </w:rPr>
        <w:t>Among notable additional recommendations by the Task Force was for Plaintiff to bear the costs associated with the mediation (</w:t>
      </w:r>
      <w:r w:rsidRPr="009D21FC">
        <w:rPr>
          <w:rFonts w:ascii="Bookman Old Style" w:eastAsiaTheme="minorHAnsi" w:hAnsi="Bookman Old Style" w:cs="Calibri"/>
          <w:u w:val="single"/>
        </w:rPr>
        <w:t>See</w:t>
      </w:r>
      <w:r w:rsidRPr="009D21FC">
        <w:rPr>
          <w:rFonts w:ascii="Bookman Old Style" w:eastAsiaTheme="minorHAnsi" w:hAnsi="Bookman Old Style" w:cs="Calibri"/>
        </w:rPr>
        <w:t xml:space="preserve"> Final Report at 35-36).</w:t>
      </w:r>
    </w:p>
    <w:p w14:paraId="5890BEBC" w14:textId="77777777" w:rsidR="00B94BB5" w:rsidRPr="009D21FC" w:rsidRDefault="00B94BB5" w:rsidP="00B94BB5">
      <w:pPr>
        <w:rPr>
          <w:rFonts w:ascii="Bookman Old Style" w:eastAsiaTheme="minorHAnsi" w:hAnsi="Bookman Old Style" w:cs="Calibri"/>
        </w:rPr>
      </w:pPr>
    </w:p>
    <w:p w14:paraId="43F204B8" w14:textId="77777777" w:rsidR="00B94BB5" w:rsidRPr="009D21FC" w:rsidRDefault="00B94BB5" w:rsidP="00B94BB5">
      <w:pPr>
        <w:rPr>
          <w:rFonts w:ascii="Bookman Old Style" w:eastAsiaTheme="minorHAnsi" w:hAnsi="Bookman Old Style" w:cs="Calibri"/>
        </w:rPr>
      </w:pPr>
      <w:r w:rsidRPr="009D21FC">
        <w:rPr>
          <w:rFonts w:ascii="Bookman Old Style" w:eastAsiaTheme="minorHAnsi" w:hAnsi="Bookman Old Style" w:cs="Calibri"/>
        </w:rPr>
        <w:t xml:space="preserve">The COVID-19 Task Force recognizes there are significant similarities between the prior foreclosure crises and the expected forthcoming flood of evictions; however, </w:t>
      </w:r>
      <w:bookmarkStart w:id="1" w:name="_Hlk82595647"/>
      <w:r w:rsidRPr="009D21FC">
        <w:rPr>
          <w:rFonts w:ascii="Bookman Old Style" w:eastAsiaTheme="minorHAnsi" w:hAnsi="Bookman Old Style" w:cs="Calibri"/>
        </w:rPr>
        <w:t>it also recognizes significant differences, including the relative simplicity of evictions compared to foreclosures, the availability of summary procedure in evictions, and the fact individuals represent a more significant percentage of landlords than mortgagees. Premised on these facts, it is the opinion of the COVID-19 Task Force that a statewide managed mediation program of residential evictions merits further consideration, including the following:</w:t>
      </w:r>
    </w:p>
    <w:bookmarkEnd w:id="1"/>
    <w:p w14:paraId="36ABD931" w14:textId="77777777" w:rsidR="00B94BB5" w:rsidRPr="009D21FC" w:rsidRDefault="00B94BB5" w:rsidP="00B94BB5">
      <w:pPr>
        <w:rPr>
          <w:rFonts w:ascii="Bookman Old Style" w:eastAsiaTheme="minorHAnsi" w:hAnsi="Bookman Old Style" w:cs="Calibri"/>
        </w:rPr>
      </w:pPr>
    </w:p>
    <w:p w14:paraId="79B7F82D" w14:textId="77777777" w:rsidR="00B94BB5" w:rsidRPr="009D21FC" w:rsidRDefault="00B94BB5" w:rsidP="00B94BB5">
      <w:pPr>
        <w:numPr>
          <w:ilvl w:val="0"/>
          <w:numId w:val="5"/>
        </w:numPr>
        <w:rPr>
          <w:rFonts w:ascii="Bookman Old Style" w:hAnsi="Bookman Old Style" w:cs="Calibri"/>
        </w:rPr>
      </w:pPr>
      <w:bookmarkStart w:id="2" w:name="_Hlk82595755"/>
      <w:r w:rsidRPr="009D21FC">
        <w:rPr>
          <w:rFonts w:ascii="Bookman Old Style" w:hAnsi="Bookman Old Style" w:cs="Calibri"/>
        </w:rPr>
        <w:t>Evaluating whether the legislature intends to further address the concern; and, if so, to encourage a collaborative effort between the Court and the legislature to devise a procedure that is in synch;</w:t>
      </w:r>
    </w:p>
    <w:p w14:paraId="21B8CC36" w14:textId="77777777" w:rsidR="00B94BB5" w:rsidRPr="009D21FC" w:rsidRDefault="00B94BB5" w:rsidP="00B94BB5">
      <w:pPr>
        <w:numPr>
          <w:ilvl w:val="0"/>
          <w:numId w:val="5"/>
        </w:numPr>
        <w:rPr>
          <w:rFonts w:ascii="Bookman Old Style" w:hAnsi="Bookman Old Style" w:cs="Calibri"/>
        </w:rPr>
      </w:pPr>
      <w:r w:rsidRPr="009D21FC">
        <w:rPr>
          <w:rFonts w:ascii="Bookman Old Style" w:hAnsi="Bookman Old Style" w:cs="Calibri"/>
        </w:rPr>
        <w:t>Evaluating the details and efficacy of the Sixth Judicial Circuit’s 2019 mediation pilot program for landlord-tenant disputes;</w:t>
      </w:r>
    </w:p>
    <w:p w14:paraId="497F02D1" w14:textId="77777777" w:rsidR="00B94BB5" w:rsidRPr="009D21FC" w:rsidRDefault="00B94BB5" w:rsidP="00B94BB5">
      <w:pPr>
        <w:numPr>
          <w:ilvl w:val="0"/>
          <w:numId w:val="5"/>
        </w:numPr>
        <w:rPr>
          <w:rFonts w:ascii="Bookman Old Style" w:hAnsi="Bookman Old Style" w:cs="Calibri"/>
        </w:rPr>
      </w:pPr>
      <w:r w:rsidRPr="009D21FC">
        <w:rPr>
          <w:rFonts w:ascii="Bookman Old Style" w:hAnsi="Bookman Old Style" w:cs="Calibri"/>
        </w:rPr>
        <w:t xml:space="preserve">Evaluating the details and efficacy of the Eleventh Judicial Circuit’s recently initiated online case resolution platform for eviction cases, </w:t>
      </w:r>
      <w:proofErr w:type="spellStart"/>
      <w:r w:rsidRPr="009D21FC">
        <w:rPr>
          <w:rFonts w:ascii="Bookman Old Style" w:hAnsi="Bookman Old Style" w:cs="Calibri"/>
        </w:rPr>
        <w:t>courtHELP</w:t>
      </w:r>
      <w:proofErr w:type="spellEnd"/>
      <w:r w:rsidRPr="009D21FC">
        <w:rPr>
          <w:rFonts w:ascii="Bookman Old Style" w:hAnsi="Bookman Old Style" w:cs="Calibri"/>
        </w:rPr>
        <w:t xml:space="preserve">;   </w:t>
      </w:r>
    </w:p>
    <w:p w14:paraId="289BE58B" w14:textId="77777777" w:rsidR="00B94BB5" w:rsidRPr="009D21FC" w:rsidRDefault="00B94BB5" w:rsidP="00B94BB5">
      <w:pPr>
        <w:numPr>
          <w:ilvl w:val="0"/>
          <w:numId w:val="5"/>
        </w:numPr>
        <w:rPr>
          <w:rFonts w:ascii="Bookman Old Style" w:hAnsi="Bookman Old Style" w:cs="Calibri"/>
        </w:rPr>
      </w:pPr>
      <w:r w:rsidRPr="009D21FC">
        <w:rPr>
          <w:rFonts w:ascii="Bookman Old Style" w:hAnsi="Bookman Old Style" w:cs="Calibri"/>
        </w:rPr>
        <w:t>Determining whether a mediation process can be sufficiently expedited to avoid conflict with  the landlord’s entitlement to summary procedure provided by Section 51.011, Florida Statutes, or whether mediation could be viewed as an impediment to an already-expedient eviction resolution procedure;</w:t>
      </w:r>
    </w:p>
    <w:p w14:paraId="57D21BF6" w14:textId="77777777" w:rsidR="00B94BB5" w:rsidRDefault="00B94BB5">
      <w:pPr>
        <w:rPr>
          <w:rFonts w:ascii="Bookman Old Style" w:hAnsi="Bookman Old Style" w:cs="Calibri"/>
        </w:rPr>
      </w:pPr>
      <w:r>
        <w:rPr>
          <w:rFonts w:ascii="Bookman Old Style" w:hAnsi="Bookman Old Style" w:cs="Calibri"/>
        </w:rPr>
        <w:br w:type="page"/>
      </w:r>
    </w:p>
    <w:p w14:paraId="47466A18" w14:textId="1F06EF19" w:rsidR="00B94BB5" w:rsidRPr="00B94BB5" w:rsidRDefault="00B94BB5" w:rsidP="00B94BB5">
      <w:pPr>
        <w:numPr>
          <w:ilvl w:val="0"/>
          <w:numId w:val="5"/>
        </w:numPr>
        <w:spacing w:after="120"/>
        <w:rPr>
          <w:rFonts w:ascii="Bookman Old Style" w:hAnsi="Bookman Old Style" w:cs="Calibri"/>
        </w:rPr>
      </w:pPr>
      <w:r w:rsidRPr="009D21FC">
        <w:rPr>
          <w:rFonts w:ascii="Bookman Old Style" w:hAnsi="Bookman Old Style" w:cs="Calibri"/>
        </w:rPr>
        <w:lastRenderedPageBreak/>
        <w:t xml:space="preserve">If implemented, considering whether narrowing mediation availability would be appropriate based on one or more of the following qualifications: </w:t>
      </w:r>
    </w:p>
    <w:p w14:paraId="64FDA6AB" w14:textId="77777777" w:rsidR="00B94BB5" w:rsidRPr="009D21FC" w:rsidRDefault="00B94BB5" w:rsidP="00B94BB5">
      <w:pPr>
        <w:numPr>
          <w:ilvl w:val="1"/>
          <w:numId w:val="4"/>
        </w:numPr>
        <w:spacing w:after="120"/>
        <w:rPr>
          <w:rFonts w:ascii="Bookman Old Style" w:hAnsi="Bookman Old Style" w:cs="Calibri"/>
        </w:rPr>
      </w:pPr>
      <w:r w:rsidRPr="009D21FC">
        <w:rPr>
          <w:rFonts w:ascii="Bookman Old Style" w:hAnsi="Bookman Old Style" w:cs="Calibri"/>
        </w:rPr>
        <w:t xml:space="preserve">Residential tenancies, without precluding use in commercial tenancies, the procedures of which are adapted to balance the interests of the parties; </w:t>
      </w:r>
    </w:p>
    <w:p w14:paraId="71EFD811" w14:textId="77777777" w:rsidR="00B94BB5" w:rsidRPr="009D21FC" w:rsidRDefault="00B94BB5" w:rsidP="00B94BB5">
      <w:pPr>
        <w:numPr>
          <w:ilvl w:val="1"/>
          <w:numId w:val="4"/>
        </w:numPr>
        <w:spacing w:after="120"/>
        <w:rPr>
          <w:rFonts w:ascii="Bookman Old Style" w:hAnsi="Bookman Old Style" w:cs="Calibri"/>
        </w:rPr>
      </w:pPr>
      <w:r w:rsidRPr="009D21FC">
        <w:rPr>
          <w:rFonts w:ascii="Bookman Old Style" w:hAnsi="Bookman Old Style" w:cs="Calibri"/>
        </w:rPr>
        <w:t>Defendant has appeared in the case, individually or through counsel;</w:t>
      </w:r>
    </w:p>
    <w:p w14:paraId="1940FE3D" w14:textId="77777777" w:rsidR="00B94BB5" w:rsidRPr="009D21FC" w:rsidRDefault="00B94BB5" w:rsidP="00B94BB5">
      <w:pPr>
        <w:numPr>
          <w:ilvl w:val="1"/>
          <w:numId w:val="4"/>
        </w:numPr>
        <w:spacing w:after="120"/>
        <w:rPr>
          <w:rFonts w:ascii="Bookman Old Style" w:hAnsi="Bookman Old Style" w:cs="Calibri"/>
        </w:rPr>
      </w:pPr>
      <w:r w:rsidRPr="009D21FC">
        <w:rPr>
          <w:rFonts w:ascii="Bookman Old Style" w:hAnsi="Bookman Old Style" w:cs="Calibri"/>
        </w:rPr>
        <w:t>Defendant has not been defaulted; and, if applicable, has complied with the requirements of Section 83.60(2), Florida Statutes, by either (i) paying into the registry of the court the accrued rents alleged in the complaint to be due and continuing to pay amounts as they come due or (ii) filing a motion to determine rents and complying with the court’s order thereafter;</w:t>
      </w:r>
    </w:p>
    <w:p w14:paraId="6D661996" w14:textId="77777777" w:rsidR="00B94BB5" w:rsidRPr="009D21FC" w:rsidRDefault="00B94BB5" w:rsidP="00B94BB5">
      <w:pPr>
        <w:numPr>
          <w:ilvl w:val="1"/>
          <w:numId w:val="4"/>
        </w:numPr>
        <w:spacing w:after="120"/>
        <w:rPr>
          <w:rFonts w:ascii="Bookman Old Style" w:hAnsi="Bookman Old Style" w:cs="Calibri"/>
        </w:rPr>
      </w:pPr>
      <w:r w:rsidRPr="009D21FC">
        <w:rPr>
          <w:rFonts w:ascii="Bookman Old Style" w:hAnsi="Bookman Old Style" w:cs="Calibri"/>
        </w:rPr>
        <w:t>Defendant still occupies the leased premises;</w:t>
      </w:r>
    </w:p>
    <w:p w14:paraId="00F08EE0" w14:textId="77777777" w:rsidR="00B94BB5" w:rsidRPr="009D21FC" w:rsidRDefault="00B94BB5" w:rsidP="00B94BB5">
      <w:pPr>
        <w:numPr>
          <w:ilvl w:val="1"/>
          <w:numId w:val="4"/>
        </w:numPr>
        <w:spacing w:after="120"/>
        <w:rPr>
          <w:rFonts w:ascii="Bookman Old Style" w:hAnsi="Bookman Old Style" w:cs="Calibri"/>
        </w:rPr>
      </w:pPr>
      <w:r w:rsidRPr="009D21FC">
        <w:rPr>
          <w:rFonts w:ascii="Bookman Old Style" w:hAnsi="Bookman Old Style" w:cs="Calibri"/>
        </w:rPr>
        <w:t>Parties have not mutually agreed to waive mediation;</w:t>
      </w:r>
    </w:p>
    <w:p w14:paraId="27A5D2C3" w14:textId="77777777" w:rsidR="00B94BB5" w:rsidRPr="009D21FC" w:rsidRDefault="00B94BB5" w:rsidP="00B94BB5">
      <w:pPr>
        <w:numPr>
          <w:ilvl w:val="1"/>
          <w:numId w:val="4"/>
        </w:numPr>
        <w:spacing w:after="120"/>
        <w:rPr>
          <w:rFonts w:ascii="Bookman Old Style" w:hAnsi="Bookman Old Style" w:cs="Calibri"/>
        </w:rPr>
      </w:pPr>
      <w:r w:rsidRPr="009D21FC">
        <w:rPr>
          <w:rFonts w:ascii="Bookman Old Style" w:hAnsi="Bookman Old Style" w:cs="Calibri"/>
        </w:rPr>
        <w:t>Costs are paid up front for mediation services;</w:t>
      </w:r>
    </w:p>
    <w:p w14:paraId="1F933CD6" w14:textId="77777777" w:rsidR="00B94BB5" w:rsidRPr="009D21FC" w:rsidRDefault="00B94BB5" w:rsidP="00B94BB5">
      <w:pPr>
        <w:numPr>
          <w:ilvl w:val="1"/>
          <w:numId w:val="4"/>
        </w:numPr>
        <w:spacing w:after="120"/>
        <w:rPr>
          <w:rFonts w:ascii="Bookman Old Style" w:hAnsi="Bookman Old Style" w:cs="Calibri"/>
        </w:rPr>
      </w:pPr>
      <w:r w:rsidRPr="009D21FC">
        <w:rPr>
          <w:rFonts w:ascii="Bookman Old Style" w:hAnsi="Bookman Old Style" w:cs="Calibri"/>
        </w:rPr>
        <w:t>Costs are borne equally by both parties; and</w:t>
      </w:r>
    </w:p>
    <w:p w14:paraId="6E91B358" w14:textId="77777777" w:rsidR="00B94BB5" w:rsidRPr="009D21FC" w:rsidRDefault="00B94BB5" w:rsidP="00B94BB5">
      <w:pPr>
        <w:numPr>
          <w:ilvl w:val="1"/>
          <w:numId w:val="4"/>
        </w:numPr>
        <w:spacing w:after="120"/>
        <w:rPr>
          <w:rFonts w:ascii="Bookman Old Style" w:hAnsi="Bookman Old Style" w:cs="Calibri"/>
        </w:rPr>
      </w:pPr>
      <w:r w:rsidRPr="009D21FC">
        <w:rPr>
          <w:rFonts w:ascii="Bookman Old Style" w:eastAsiaTheme="minorHAnsi" w:hAnsi="Bookman Old Style" w:cs="Calibri"/>
        </w:rPr>
        <w:t>Landlord and tenant have exchanged pertinent information via an IT platform prior to mediation.</w:t>
      </w:r>
      <w:bookmarkEnd w:id="2"/>
    </w:p>
    <w:p w14:paraId="669A381B" w14:textId="77777777" w:rsidR="00B94BB5" w:rsidRPr="009D21FC" w:rsidRDefault="00B94BB5" w:rsidP="00B94BB5">
      <w:pPr>
        <w:rPr>
          <w:rFonts w:ascii="Bookman Old Style" w:eastAsiaTheme="minorHAnsi" w:hAnsi="Bookman Old Style" w:cs="Calibri"/>
        </w:rPr>
      </w:pPr>
    </w:p>
    <w:p w14:paraId="45675314" w14:textId="77777777" w:rsidR="00B94BB5" w:rsidRPr="009D21FC" w:rsidRDefault="00B94BB5" w:rsidP="00B94BB5">
      <w:pPr>
        <w:rPr>
          <w:rFonts w:ascii="Bookman Old Style" w:eastAsiaTheme="minorHAnsi" w:hAnsi="Bookman Old Style" w:cs="Calibri"/>
        </w:rPr>
      </w:pPr>
      <w:r w:rsidRPr="009D21FC">
        <w:rPr>
          <w:rFonts w:ascii="Bookman Old Style" w:eastAsiaTheme="minorHAnsi" w:hAnsi="Bookman Old Style" w:cs="Calibri"/>
        </w:rPr>
        <w:t>In sum, the COVID-19 Task Force is supportive of further exploring a potential statewide managed mediation program, through consideration of the foregoing.</w:t>
      </w:r>
    </w:p>
    <w:p w14:paraId="6DCDE438" w14:textId="3FDACCF5" w:rsidR="006E1DEC" w:rsidRPr="00243E97" w:rsidRDefault="006E1DEC" w:rsidP="00243E97">
      <w:pPr>
        <w:spacing w:after="120"/>
        <w:rPr>
          <w:rFonts w:ascii="Bookman Old Style" w:hAnsi="Bookman Old Style"/>
        </w:rPr>
      </w:pPr>
    </w:p>
    <w:sectPr w:rsidR="006E1DEC" w:rsidRPr="00243E97" w:rsidSect="00B27876">
      <w:type w:val="continuous"/>
      <w:pgSz w:w="12240" w:h="15840" w:code="1"/>
      <w:pgMar w:top="1440" w:right="1440" w:bottom="1440" w:left="1440" w:header="446" w:footer="720" w:gutter="0"/>
      <w:cols w:space="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5C6B8" w14:textId="77777777" w:rsidR="003C72A0" w:rsidRDefault="003C72A0">
      <w:r>
        <w:separator/>
      </w:r>
    </w:p>
  </w:endnote>
  <w:endnote w:type="continuationSeparator" w:id="0">
    <w:p w14:paraId="67BC94CF" w14:textId="77777777" w:rsidR="003C72A0" w:rsidRDefault="003C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1002AFF" w:usb1="4000ACF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6344920"/>
      <w:docPartObj>
        <w:docPartGallery w:val="Page Numbers (Bottom of Page)"/>
        <w:docPartUnique/>
      </w:docPartObj>
    </w:sdtPr>
    <w:sdtContent>
      <w:sdt>
        <w:sdtPr>
          <w:id w:val="-1705238520"/>
          <w:docPartObj>
            <w:docPartGallery w:val="Page Numbers (Top of Page)"/>
            <w:docPartUnique/>
          </w:docPartObj>
        </w:sdtPr>
        <w:sdtContent>
          <w:p w14:paraId="63542564" w14:textId="142E351E" w:rsidR="00B94BB5" w:rsidRDefault="00B94BB5" w:rsidP="00B94BB5">
            <w:pPr>
              <w:pStyle w:val="Footer"/>
              <w:jc w:val="center"/>
            </w:pPr>
            <w:r w:rsidRPr="00B94BB5">
              <w:rPr>
                <w:rFonts w:ascii="Bookman Old Style" w:hAnsi="Bookman Old Style"/>
                <w:sz w:val="16"/>
                <w:szCs w:val="16"/>
              </w:rPr>
              <w:t xml:space="preserve">Page </w:t>
            </w:r>
            <w:r w:rsidRPr="00B94BB5">
              <w:rPr>
                <w:rFonts w:ascii="Bookman Old Style" w:hAnsi="Bookman Old Style"/>
                <w:b/>
                <w:bCs/>
                <w:sz w:val="16"/>
                <w:szCs w:val="16"/>
              </w:rPr>
              <w:fldChar w:fldCharType="begin"/>
            </w:r>
            <w:r w:rsidRPr="00B94BB5">
              <w:rPr>
                <w:rFonts w:ascii="Bookman Old Style" w:hAnsi="Bookman Old Style"/>
                <w:b/>
                <w:bCs/>
                <w:sz w:val="16"/>
                <w:szCs w:val="16"/>
              </w:rPr>
              <w:instrText xml:space="preserve"> PAGE </w:instrText>
            </w:r>
            <w:r w:rsidRPr="00B94BB5">
              <w:rPr>
                <w:rFonts w:ascii="Bookman Old Style" w:hAnsi="Bookman Old Style"/>
                <w:b/>
                <w:bCs/>
                <w:sz w:val="16"/>
                <w:szCs w:val="16"/>
              </w:rPr>
              <w:fldChar w:fldCharType="separate"/>
            </w:r>
            <w:r w:rsidRPr="00B94BB5">
              <w:rPr>
                <w:rFonts w:ascii="Bookman Old Style" w:hAnsi="Bookman Old Style"/>
                <w:b/>
                <w:bCs/>
                <w:noProof/>
                <w:sz w:val="16"/>
                <w:szCs w:val="16"/>
              </w:rPr>
              <w:t>2</w:t>
            </w:r>
            <w:r w:rsidRPr="00B94BB5">
              <w:rPr>
                <w:rFonts w:ascii="Bookman Old Style" w:hAnsi="Bookman Old Style"/>
                <w:b/>
                <w:bCs/>
                <w:sz w:val="16"/>
                <w:szCs w:val="16"/>
              </w:rPr>
              <w:fldChar w:fldCharType="end"/>
            </w:r>
            <w:r w:rsidRPr="00B94BB5">
              <w:rPr>
                <w:rFonts w:ascii="Bookman Old Style" w:hAnsi="Bookman Old Style"/>
                <w:sz w:val="16"/>
                <w:szCs w:val="16"/>
              </w:rPr>
              <w:t xml:space="preserve"> of </w:t>
            </w:r>
            <w:r w:rsidRPr="00B94BB5">
              <w:rPr>
                <w:rFonts w:ascii="Bookman Old Style" w:hAnsi="Bookman Old Style"/>
                <w:b/>
                <w:bCs/>
                <w:sz w:val="16"/>
                <w:szCs w:val="16"/>
              </w:rPr>
              <w:fldChar w:fldCharType="begin"/>
            </w:r>
            <w:r w:rsidRPr="00B94BB5">
              <w:rPr>
                <w:rFonts w:ascii="Bookman Old Style" w:hAnsi="Bookman Old Style"/>
                <w:b/>
                <w:bCs/>
                <w:sz w:val="16"/>
                <w:szCs w:val="16"/>
              </w:rPr>
              <w:instrText xml:space="preserve"> NUMPAGES  </w:instrText>
            </w:r>
            <w:r w:rsidRPr="00B94BB5">
              <w:rPr>
                <w:rFonts w:ascii="Bookman Old Style" w:hAnsi="Bookman Old Style"/>
                <w:b/>
                <w:bCs/>
                <w:sz w:val="16"/>
                <w:szCs w:val="16"/>
              </w:rPr>
              <w:fldChar w:fldCharType="separate"/>
            </w:r>
            <w:r w:rsidRPr="00B94BB5">
              <w:rPr>
                <w:rFonts w:ascii="Bookman Old Style" w:hAnsi="Bookman Old Style"/>
                <w:b/>
                <w:bCs/>
                <w:noProof/>
                <w:sz w:val="16"/>
                <w:szCs w:val="16"/>
              </w:rPr>
              <w:t>2</w:t>
            </w:r>
            <w:r w:rsidRPr="00B94BB5">
              <w:rPr>
                <w:rFonts w:ascii="Bookman Old Style" w:hAnsi="Bookman Old Style"/>
                <w:b/>
                <w:bCs/>
                <w:sz w:val="16"/>
                <w:szCs w:val="16"/>
              </w:rPr>
              <w:fldChar w:fldCharType="end"/>
            </w:r>
          </w:p>
        </w:sdtContent>
      </w:sdt>
    </w:sdtContent>
  </w:sdt>
  <w:p w14:paraId="177A4D76" w14:textId="77777777" w:rsidR="00B94BB5" w:rsidRDefault="00B94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2E12D" w14:textId="77777777" w:rsidR="003C72A0" w:rsidRDefault="003C72A0">
      <w:r>
        <w:separator/>
      </w:r>
    </w:p>
  </w:footnote>
  <w:footnote w:type="continuationSeparator" w:id="0">
    <w:p w14:paraId="012CF7C5" w14:textId="77777777" w:rsidR="003C72A0" w:rsidRDefault="003C7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D6532" w14:textId="396398DA" w:rsidR="005B51E7" w:rsidRPr="003D1398" w:rsidRDefault="00F6649C" w:rsidP="002F055B">
    <w:pPr>
      <w:pStyle w:val="Header"/>
      <w:rPr>
        <w:szCs w:val="18"/>
      </w:rPr>
    </w:pPr>
    <w:r>
      <w:rPr>
        <w:noProof/>
        <w:szCs w:val="18"/>
      </w:rPr>
      <mc:AlternateContent>
        <mc:Choice Requires="wps">
          <w:drawing>
            <wp:anchor distT="0" distB="0" distL="114300" distR="114300" simplePos="0" relativeHeight="251657728" behindDoc="0" locked="1" layoutInCell="1" allowOverlap="1" wp14:anchorId="7A880671" wp14:editId="5335289B">
              <wp:simplePos x="0" y="0"/>
              <wp:positionH relativeFrom="page">
                <wp:posOffset>4914900</wp:posOffset>
              </wp:positionH>
              <wp:positionV relativeFrom="page">
                <wp:posOffset>457200</wp:posOffset>
              </wp:positionV>
              <wp:extent cx="2400300" cy="342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22360" w14:textId="77777777" w:rsidR="005B51E7" w:rsidRPr="00E160DA" w:rsidRDefault="005B51E7" w:rsidP="002F055B">
                          <w:pPr>
                            <w:jc w:val="right"/>
                            <w:rPr>
                              <w:b/>
                              <w:sz w:val="36"/>
                              <w:szCs w:val="36"/>
                            </w:rPr>
                          </w:pPr>
                          <w:r w:rsidRPr="00E160DA">
                            <w:rPr>
                              <w:b/>
                              <w:sz w:val="36"/>
                              <w:szCs w:val="36"/>
                            </w:rPr>
                            <w:t>THE FLORIDA BAR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80671" id="_x0000_t202" coordsize="21600,21600" o:spt="202" path="m,l,21600r21600,l21600,xe">
              <v:stroke joinstyle="miter"/>
              <v:path gradientshapeok="t" o:connecttype="rect"/>
            </v:shapetype>
            <v:shape id="Text Box 3" o:spid="_x0000_s1027" type="#_x0000_t202" style="position:absolute;margin-left:387pt;margin-top:36pt;width:189pt;height:2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" filled="f" stroked="f">
              <v:textbox inset="0,0,0,0">
                <w:txbxContent>
                  <w:p w14:paraId="23422360" w14:textId="77777777" w:rsidR="005B51E7" w:rsidRPr="00E160DA" w:rsidRDefault="005B51E7" w:rsidP="002F055B">
                    <w:pPr>
                      <w:jc w:val="right"/>
                      <w:rPr>
                        <w:b/>
                        <w:sz w:val="36"/>
                        <w:szCs w:val="36"/>
                      </w:rPr>
                    </w:pPr>
                    <w:r w:rsidRPr="00E160DA">
                      <w:rPr>
                        <w:b/>
                        <w:sz w:val="36"/>
                        <w:szCs w:val="36"/>
                      </w:rPr>
                      <w:t>THE FLORIDA BAR</w:t>
                    </w:r>
                  </w:p>
                </w:txbxContent>
              </v:textbox>
              <w10:wrap anchorx="page" anchory="page"/>
              <w10:anchorlock/>
            </v:shape>
          </w:pict>
        </mc:Fallback>
      </mc:AlternateContent>
    </w:r>
  </w:p>
  <w:p w14:paraId="5D7FF96B" w14:textId="77777777" w:rsidR="005B51E7" w:rsidRDefault="005B5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F6EA0"/>
    <w:multiLevelType w:val="hybridMultilevel"/>
    <w:tmpl w:val="DD189BBE"/>
    <w:lvl w:ilvl="0" w:tplc="4BAA4BD4">
      <w:start w:val="1"/>
      <w:numFmt w:val="decimal"/>
      <w:lvlText w:val="%1."/>
      <w:lvlJc w:val="left"/>
      <w:pPr>
        <w:ind w:left="1080" w:hanging="360"/>
      </w:pPr>
      <w:rPr>
        <w:i w:val="0"/>
        <w:iCs w:val="0"/>
      </w:rPr>
    </w:lvl>
    <w:lvl w:ilvl="1" w:tplc="C4DCB5F8">
      <w:start w:val="1"/>
      <w:numFmt w:val="lowerLetter"/>
      <w:lvlText w:val="%2."/>
      <w:lvlJc w:val="left"/>
      <w:pPr>
        <w:ind w:left="1800" w:hanging="360"/>
      </w:pPr>
      <w:rPr>
        <w:i w:val="0"/>
        <w:iCs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1825F26"/>
    <w:multiLevelType w:val="hybridMultilevel"/>
    <w:tmpl w:val="15BE9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5CB7867"/>
    <w:multiLevelType w:val="hybridMultilevel"/>
    <w:tmpl w:val="CE80A602"/>
    <w:lvl w:ilvl="0" w:tplc="6B1A49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6FC66F9"/>
    <w:multiLevelType w:val="hybridMultilevel"/>
    <w:tmpl w:val="3B14CC44"/>
    <w:lvl w:ilvl="0" w:tplc="308E2122">
      <w:start w:val="1"/>
      <w:numFmt w:val="decimal"/>
      <w:lvlText w:val="%1."/>
      <w:lvlJc w:val="left"/>
      <w:pPr>
        <w:ind w:left="1080" w:hanging="360"/>
      </w:pPr>
    </w:lvl>
    <w:lvl w:ilvl="1" w:tplc="04090019">
      <w:start w:val="1"/>
      <w:numFmt w:val="lowerLetter"/>
      <w:lvlText w:val="%2."/>
      <w:lvlJc w:val="left"/>
      <w:pPr>
        <w:ind w:left="1800" w:hanging="360"/>
      </w:pPr>
    </w:lvl>
    <w:lvl w:ilvl="2" w:tplc="54408A8A">
      <w:start w:val="1"/>
      <w:numFmt w:val="decimal"/>
      <w:lvlText w:val="(%3)"/>
      <w:lvlJc w:val="left"/>
      <w:pPr>
        <w:ind w:left="2520" w:hanging="18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style="mso-position-horizontal:center;mso-position-horizontal-relative:page;mso-position-vertical-relative:page" fillcolor="white">
      <v:fill color="white"/>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A5F"/>
    <w:rsid w:val="000035A4"/>
    <w:rsid w:val="00003653"/>
    <w:rsid w:val="00034238"/>
    <w:rsid w:val="0005454A"/>
    <w:rsid w:val="00056AE4"/>
    <w:rsid w:val="000930F5"/>
    <w:rsid w:val="000C0A78"/>
    <w:rsid w:val="000E1718"/>
    <w:rsid w:val="000E4946"/>
    <w:rsid w:val="0014232D"/>
    <w:rsid w:val="001928A8"/>
    <w:rsid w:val="001C07B5"/>
    <w:rsid w:val="001D0C09"/>
    <w:rsid w:val="001D3CA7"/>
    <w:rsid w:val="00234275"/>
    <w:rsid w:val="00243E97"/>
    <w:rsid w:val="002607ED"/>
    <w:rsid w:val="002625F0"/>
    <w:rsid w:val="002D5738"/>
    <w:rsid w:val="002E4911"/>
    <w:rsid w:val="002F055B"/>
    <w:rsid w:val="00323908"/>
    <w:rsid w:val="003529EE"/>
    <w:rsid w:val="003568C2"/>
    <w:rsid w:val="00371700"/>
    <w:rsid w:val="003A2B00"/>
    <w:rsid w:val="003B3A2F"/>
    <w:rsid w:val="003C72A0"/>
    <w:rsid w:val="00403D73"/>
    <w:rsid w:val="004B30C1"/>
    <w:rsid w:val="0050170F"/>
    <w:rsid w:val="00503373"/>
    <w:rsid w:val="00511F13"/>
    <w:rsid w:val="00517B2C"/>
    <w:rsid w:val="00544DEE"/>
    <w:rsid w:val="00546776"/>
    <w:rsid w:val="005A71AF"/>
    <w:rsid w:val="005B1745"/>
    <w:rsid w:val="005B51E7"/>
    <w:rsid w:val="005C359D"/>
    <w:rsid w:val="005F1F58"/>
    <w:rsid w:val="005F59FE"/>
    <w:rsid w:val="005F76E1"/>
    <w:rsid w:val="00616ABC"/>
    <w:rsid w:val="00632CD4"/>
    <w:rsid w:val="006736B2"/>
    <w:rsid w:val="00675BCA"/>
    <w:rsid w:val="006C67EC"/>
    <w:rsid w:val="006E1DEC"/>
    <w:rsid w:val="00723D91"/>
    <w:rsid w:val="00762B1D"/>
    <w:rsid w:val="00765262"/>
    <w:rsid w:val="0079623A"/>
    <w:rsid w:val="007B275A"/>
    <w:rsid w:val="007C26F8"/>
    <w:rsid w:val="007E54B1"/>
    <w:rsid w:val="00801CAB"/>
    <w:rsid w:val="008121DB"/>
    <w:rsid w:val="0089085C"/>
    <w:rsid w:val="008B7864"/>
    <w:rsid w:val="008F276B"/>
    <w:rsid w:val="009042CE"/>
    <w:rsid w:val="00927945"/>
    <w:rsid w:val="00946BC8"/>
    <w:rsid w:val="009473DA"/>
    <w:rsid w:val="00954A90"/>
    <w:rsid w:val="00955BEB"/>
    <w:rsid w:val="009E72C8"/>
    <w:rsid w:val="00A00A5F"/>
    <w:rsid w:val="00A302DA"/>
    <w:rsid w:val="00A331B0"/>
    <w:rsid w:val="00A33C8F"/>
    <w:rsid w:val="00A360CA"/>
    <w:rsid w:val="00A42E1C"/>
    <w:rsid w:val="00A52900"/>
    <w:rsid w:val="00A53137"/>
    <w:rsid w:val="00AC3148"/>
    <w:rsid w:val="00B27876"/>
    <w:rsid w:val="00B313CE"/>
    <w:rsid w:val="00B34A96"/>
    <w:rsid w:val="00B64C79"/>
    <w:rsid w:val="00B87856"/>
    <w:rsid w:val="00B94BB5"/>
    <w:rsid w:val="00BB4FB1"/>
    <w:rsid w:val="00BF47EA"/>
    <w:rsid w:val="00C76F07"/>
    <w:rsid w:val="00C83DA3"/>
    <w:rsid w:val="00CA18CB"/>
    <w:rsid w:val="00CA63DA"/>
    <w:rsid w:val="00CA7BA1"/>
    <w:rsid w:val="00CB431C"/>
    <w:rsid w:val="00CB6524"/>
    <w:rsid w:val="00CE3608"/>
    <w:rsid w:val="00D232C1"/>
    <w:rsid w:val="00D445BF"/>
    <w:rsid w:val="00D8669E"/>
    <w:rsid w:val="00DA5D8D"/>
    <w:rsid w:val="00DB6BEB"/>
    <w:rsid w:val="00DC5B07"/>
    <w:rsid w:val="00DC77A4"/>
    <w:rsid w:val="00DD4130"/>
    <w:rsid w:val="00DF529C"/>
    <w:rsid w:val="00E11ACE"/>
    <w:rsid w:val="00E14246"/>
    <w:rsid w:val="00E57213"/>
    <w:rsid w:val="00E73263"/>
    <w:rsid w:val="00E73E28"/>
    <w:rsid w:val="00E912F4"/>
    <w:rsid w:val="00ED4E5D"/>
    <w:rsid w:val="00EE3488"/>
    <w:rsid w:val="00F1163D"/>
    <w:rsid w:val="00F626FD"/>
    <w:rsid w:val="00F6649C"/>
    <w:rsid w:val="00F70576"/>
    <w:rsid w:val="00F71769"/>
    <w:rsid w:val="00F71E4A"/>
    <w:rsid w:val="00F87B71"/>
    <w:rsid w:val="00F90D3A"/>
    <w:rsid w:val="00FD6296"/>
    <w:rsid w:val="00FE1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center;mso-position-horizontal-relative:page;mso-position-vertical-relative:page" fillcolor="white">
      <v:fill color="white"/>
      <v:textbox inset="0,0,0,0"/>
    </o:shapedefaults>
    <o:shapelayout v:ext="edit">
      <o:idmap v:ext="edit" data="1"/>
    </o:shapelayout>
  </w:shapeDefaults>
  <w:decimalSymbol w:val="."/>
  <w:listSeparator w:val=","/>
  <w14:docId w14:val="0B18D691"/>
  <w15:chartTrackingRefBased/>
  <w15:docId w15:val="{9CEA4135-5AA4-4659-BC0F-C0C91C8B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DEC"/>
    <w:rPr>
      <w:sz w:val="24"/>
      <w:szCs w:val="24"/>
    </w:rPr>
  </w:style>
  <w:style w:type="paragraph" w:styleId="Heading1">
    <w:name w:val="heading 1"/>
    <w:basedOn w:val="Normal"/>
    <w:next w:val="Normal"/>
    <w:link w:val="Heading1Char"/>
    <w:qFormat/>
    <w:rsid w:val="005B51E7"/>
    <w:pPr>
      <w:keepNext/>
      <w:spacing w:before="240" w:after="60"/>
      <w:outlineLvl w:val="0"/>
    </w:pPr>
    <w:rPr>
      <w:b/>
      <w:bCs/>
      <w:kern w:val="32"/>
      <w:sz w:val="32"/>
      <w:szCs w:val="32"/>
    </w:rPr>
  </w:style>
  <w:style w:type="paragraph" w:styleId="Heading2">
    <w:name w:val="heading 2"/>
    <w:basedOn w:val="Normal"/>
    <w:next w:val="Normal"/>
    <w:link w:val="Heading2Char"/>
    <w:qFormat/>
    <w:rsid w:val="005B51E7"/>
    <w:pPr>
      <w:keepNext/>
      <w:spacing w:before="240" w:after="60"/>
      <w:outlineLvl w:val="1"/>
    </w:pPr>
    <w:rPr>
      <w:b/>
      <w:bCs/>
      <w:i/>
      <w:iCs/>
      <w:sz w:val="28"/>
      <w:szCs w:val="28"/>
    </w:rPr>
  </w:style>
  <w:style w:type="paragraph" w:styleId="Heading3">
    <w:name w:val="heading 3"/>
    <w:basedOn w:val="Normal"/>
    <w:next w:val="Normal"/>
    <w:link w:val="Heading3Char"/>
    <w:qFormat/>
    <w:rsid w:val="005B51E7"/>
    <w:pPr>
      <w:keepNext/>
      <w:spacing w:before="240" w:after="60"/>
      <w:outlineLvl w:val="2"/>
    </w:pPr>
    <w:rPr>
      <w:b/>
      <w:bCs/>
      <w:sz w:val="26"/>
      <w:szCs w:val="26"/>
    </w:rPr>
  </w:style>
  <w:style w:type="paragraph" w:styleId="Heading4">
    <w:name w:val="heading 4"/>
    <w:basedOn w:val="Normal"/>
    <w:next w:val="Normal"/>
    <w:link w:val="Heading4Char"/>
    <w:qFormat/>
    <w:rsid w:val="005B51E7"/>
    <w:pPr>
      <w:keepNext/>
      <w:spacing w:before="240" w:after="60"/>
      <w:outlineLvl w:val="3"/>
    </w:pPr>
    <w:rPr>
      <w:b/>
      <w:bCs/>
      <w:szCs w:val="28"/>
    </w:rPr>
  </w:style>
  <w:style w:type="paragraph" w:styleId="Heading5">
    <w:name w:val="heading 5"/>
    <w:basedOn w:val="Normal"/>
    <w:next w:val="Normal"/>
    <w:link w:val="Heading5Char"/>
    <w:uiPriority w:val="9"/>
    <w:semiHidden/>
    <w:unhideWhenUsed/>
    <w:rsid w:val="005B51E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473DA"/>
    <w:pPr>
      <w:tabs>
        <w:tab w:val="center" w:pos="4320"/>
        <w:tab w:val="right" w:pos="8640"/>
      </w:tabs>
    </w:pPr>
  </w:style>
  <w:style w:type="table" w:styleId="TableGrid">
    <w:name w:val="Table Grid"/>
    <w:basedOn w:val="TableNormal"/>
    <w:rsid w:val="00947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E3608"/>
    <w:pPr>
      <w:tabs>
        <w:tab w:val="center" w:pos="4320"/>
        <w:tab w:val="right" w:pos="8640"/>
      </w:tabs>
    </w:pPr>
  </w:style>
  <w:style w:type="character" w:customStyle="1" w:styleId="Heading1Char">
    <w:name w:val="Heading 1 Char"/>
    <w:link w:val="Heading1"/>
    <w:rsid w:val="005F76E1"/>
    <w:rPr>
      <w:b/>
      <w:bCs/>
      <w:kern w:val="32"/>
      <w:sz w:val="32"/>
      <w:szCs w:val="32"/>
    </w:rPr>
  </w:style>
  <w:style w:type="character" w:customStyle="1" w:styleId="Heading2Char">
    <w:name w:val="Heading 2 Char"/>
    <w:link w:val="Heading2"/>
    <w:rsid w:val="005F76E1"/>
    <w:rPr>
      <w:b/>
      <w:bCs/>
      <w:i/>
      <w:iCs/>
      <w:sz w:val="28"/>
      <w:szCs w:val="28"/>
    </w:rPr>
  </w:style>
  <w:style w:type="character" w:customStyle="1" w:styleId="Heading3Char">
    <w:name w:val="Heading 3 Char"/>
    <w:link w:val="Heading3"/>
    <w:rsid w:val="005F76E1"/>
    <w:rPr>
      <w:b/>
      <w:bCs/>
      <w:sz w:val="26"/>
      <w:szCs w:val="26"/>
    </w:rPr>
  </w:style>
  <w:style w:type="character" w:customStyle="1" w:styleId="Heading4Char">
    <w:name w:val="Heading 4 Char"/>
    <w:link w:val="Heading4"/>
    <w:rsid w:val="005B51E7"/>
    <w:rPr>
      <w:b/>
      <w:bCs/>
      <w:sz w:val="24"/>
      <w:szCs w:val="28"/>
    </w:rPr>
  </w:style>
  <w:style w:type="character" w:customStyle="1" w:styleId="Heading5Char">
    <w:name w:val="Heading 5 Char"/>
    <w:link w:val="Heading5"/>
    <w:uiPriority w:val="9"/>
    <w:semiHidden/>
    <w:rsid w:val="005B51E7"/>
    <w:rPr>
      <w:b/>
      <w:bCs/>
      <w:i/>
      <w:iCs/>
      <w:sz w:val="26"/>
      <w:szCs w:val="26"/>
    </w:rPr>
  </w:style>
  <w:style w:type="paragraph" w:customStyle="1" w:styleId="ClosingInitials">
    <w:name w:val="Closing Initials"/>
    <w:basedOn w:val="Normal"/>
    <w:next w:val="Normal"/>
    <w:uiPriority w:val="1"/>
    <w:qFormat/>
    <w:rsid w:val="005B51E7"/>
    <w:pPr>
      <w:spacing w:before="240" w:after="240"/>
    </w:pPr>
  </w:style>
  <w:style w:type="paragraph" w:customStyle="1" w:styleId="Paragraph">
    <w:name w:val="Paragraph"/>
    <w:basedOn w:val="Normal"/>
    <w:next w:val="Normal"/>
    <w:uiPriority w:val="1"/>
    <w:qFormat/>
    <w:rsid w:val="005B51E7"/>
    <w:pPr>
      <w:spacing w:after="240"/>
      <w:ind w:firstLine="720"/>
    </w:pPr>
  </w:style>
  <w:style w:type="paragraph" w:customStyle="1" w:styleId="Address">
    <w:name w:val="Address"/>
    <w:basedOn w:val="Normal"/>
    <w:qFormat/>
    <w:rsid w:val="005B51E7"/>
  </w:style>
  <w:style w:type="paragraph" w:customStyle="1" w:styleId="TheFloridaBar">
    <w:name w:val="The Florida Bar"/>
    <w:basedOn w:val="Normal"/>
    <w:next w:val="Normal"/>
    <w:uiPriority w:val="1"/>
    <w:qFormat/>
    <w:rsid w:val="005F59FE"/>
    <w:pPr>
      <w:spacing w:after="560"/>
      <w:jc w:val="center"/>
    </w:pPr>
    <w:rPr>
      <w:b/>
      <w:sz w:val="48"/>
    </w:rPr>
  </w:style>
  <w:style w:type="paragraph" w:styleId="Date">
    <w:name w:val="Date"/>
    <w:basedOn w:val="Normal"/>
    <w:next w:val="Normal"/>
    <w:link w:val="DateChar"/>
    <w:uiPriority w:val="1"/>
    <w:rsid w:val="005B51E7"/>
    <w:pPr>
      <w:spacing w:after="360"/>
      <w:jc w:val="center"/>
    </w:pPr>
  </w:style>
  <w:style w:type="paragraph" w:customStyle="1" w:styleId="Officers">
    <w:name w:val="Officers"/>
    <w:basedOn w:val="Normal"/>
    <w:next w:val="Normal"/>
    <w:uiPriority w:val="1"/>
    <w:qFormat/>
    <w:rsid w:val="00BB4FB1"/>
    <w:pPr>
      <w:tabs>
        <w:tab w:val="center" w:pos="900"/>
      </w:tabs>
      <w:jc w:val="center"/>
    </w:pPr>
    <w:rPr>
      <w:rFonts w:ascii="Times New Roman Bold" w:hAnsi="Times New Roman Bold"/>
      <w:sz w:val="20"/>
    </w:rPr>
  </w:style>
  <w:style w:type="character" w:customStyle="1" w:styleId="DateChar">
    <w:name w:val="Date Char"/>
    <w:link w:val="Date"/>
    <w:uiPriority w:val="1"/>
    <w:rsid w:val="005B51E7"/>
    <w:rPr>
      <w:sz w:val="24"/>
      <w:szCs w:val="24"/>
    </w:rPr>
  </w:style>
  <w:style w:type="paragraph" w:styleId="Salutation">
    <w:name w:val="Salutation"/>
    <w:basedOn w:val="Normal"/>
    <w:next w:val="Normal"/>
    <w:link w:val="SalutationChar"/>
    <w:uiPriority w:val="1"/>
    <w:rsid w:val="005B51E7"/>
    <w:pPr>
      <w:spacing w:before="240" w:after="240"/>
    </w:pPr>
  </w:style>
  <w:style w:type="character" w:customStyle="1" w:styleId="SalutationChar">
    <w:name w:val="Salutation Char"/>
    <w:link w:val="Salutation"/>
    <w:uiPriority w:val="1"/>
    <w:rsid w:val="005B51E7"/>
    <w:rPr>
      <w:sz w:val="24"/>
      <w:szCs w:val="24"/>
    </w:rPr>
  </w:style>
  <w:style w:type="paragraph" w:customStyle="1" w:styleId="Sincerely">
    <w:name w:val="Sincerely"/>
    <w:basedOn w:val="Normal"/>
    <w:next w:val="Normal"/>
    <w:uiPriority w:val="1"/>
    <w:qFormat/>
    <w:rsid w:val="00D232C1"/>
    <w:pPr>
      <w:spacing w:before="360" w:after="840"/>
    </w:pPr>
  </w:style>
  <w:style w:type="paragraph" w:styleId="ListParagraph">
    <w:name w:val="List Paragraph"/>
    <w:basedOn w:val="Normal"/>
    <w:uiPriority w:val="34"/>
    <w:qFormat/>
    <w:rsid w:val="003C72A0"/>
    <w:pPr>
      <w:ind w:left="720"/>
    </w:pPr>
    <w:rPr>
      <w:rFonts w:ascii="Calibri" w:eastAsia="Calibri" w:hAnsi="Calibri" w:cs="Calibri"/>
      <w:sz w:val="22"/>
      <w:szCs w:val="22"/>
    </w:rPr>
  </w:style>
  <w:style w:type="character" w:customStyle="1" w:styleId="FooterChar">
    <w:name w:val="Footer Char"/>
    <w:basedOn w:val="DefaultParagraphFont"/>
    <w:link w:val="Footer"/>
    <w:uiPriority w:val="99"/>
    <w:rsid w:val="00B94B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Template - TFB Officer Letterhead</vt:lpstr>
    </vt:vector>
  </TitlesOfParts>
  <Company>flabar</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TFB Officer Letterhead</dc:title>
  <dc:subject/>
  <dc:creator>Hooks, Joan N</dc:creator>
  <cp:keywords>Letter, The Florida Bar, Officer</cp:keywords>
  <cp:lastModifiedBy>Bailey, Gypsy</cp:lastModifiedBy>
  <cp:revision>2</cp:revision>
  <cp:lastPrinted>2013-06-26T15:30:00Z</cp:lastPrinted>
  <dcterms:created xsi:type="dcterms:W3CDTF">2021-09-15T21:21:00Z</dcterms:created>
  <dcterms:modified xsi:type="dcterms:W3CDTF">2021-09-15T21:21:00Z</dcterms:modified>
</cp:coreProperties>
</file>