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AE8" w:rsidRDefault="003E6AE8" w:rsidP="003E6AE8">
      <w:pPr>
        <w:jc w:val="center"/>
        <w:rPr>
          <w:b/>
        </w:rPr>
      </w:pPr>
      <w:bookmarkStart w:id="0" w:name="_GoBack"/>
      <w:bookmarkEnd w:id="0"/>
      <w:r>
        <w:rPr>
          <w:b/>
        </w:rPr>
        <w:t xml:space="preserve">The </w:t>
      </w:r>
      <w:r w:rsidR="00904BC3">
        <w:rPr>
          <w:b/>
        </w:rPr>
        <w:t>End</w:t>
      </w:r>
      <w:r>
        <w:rPr>
          <w:b/>
        </w:rPr>
        <w:t xml:space="preserve"> of the Two Subscribing Witness Requirement for Florida Leases</w:t>
      </w:r>
    </w:p>
    <w:p w:rsidR="003E6AE8" w:rsidRDefault="00613776" w:rsidP="00F874E6">
      <w:pPr>
        <w:jc w:val="both"/>
      </w:pPr>
      <w:r w:rsidRPr="00613776">
        <w:tab/>
      </w:r>
    </w:p>
    <w:p w:rsidR="003E6AE8" w:rsidRDefault="003E6AE8" w:rsidP="00F874E6">
      <w:pPr>
        <w:jc w:val="both"/>
      </w:pPr>
    </w:p>
    <w:p w:rsidR="00AA2B18" w:rsidRDefault="005C1759" w:rsidP="003E6AE8">
      <w:pPr>
        <w:ind w:firstLine="720"/>
        <w:jc w:val="both"/>
      </w:pPr>
      <w:r>
        <w:t>T</w:t>
      </w:r>
      <w:r w:rsidR="00F874E6">
        <w:t>he Florida Legislature passed a bill</w:t>
      </w:r>
      <w:r w:rsidR="00F1497A">
        <w:t xml:space="preserve"> in the 2020 session</w:t>
      </w:r>
      <w:r w:rsidR="00F874E6">
        <w:t xml:space="preserve"> amending </w:t>
      </w:r>
      <w:r w:rsidR="003E6AE8">
        <w:t>S</w:t>
      </w:r>
      <w:r w:rsidR="00F874E6">
        <w:t>ection 689.01, Florida Statutes</w:t>
      </w:r>
      <w:r>
        <w:t xml:space="preserve"> </w:t>
      </w:r>
      <w:r w:rsidR="00F1497A">
        <w:t>so</w:t>
      </w:r>
      <w:r>
        <w:t xml:space="preserve"> that</w:t>
      </w:r>
      <w:r w:rsidR="00F874E6">
        <w:t xml:space="preserve"> </w:t>
      </w:r>
      <w:r w:rsidR="0057575A">
        <w:t xml:space="preserve">two </w:t>
      </w:r>
      <w:r w:rsidR="00F874E6">
        <w:t xml:space="preserve">witnesses </w:t>
      </w:r>
      <w:r w:rsidR="0057575A">
        <w:t>will</w:t>
      </w:r>
      <w:r w:rsidR="00F874E6">
        <w:t xml:space="preserve"> no longer </w:t>
      </w:r>
      <w:r w:rsidR="0057575A">
        <w:t xml:space="preserve">be </w:t>
      </w:r>
      <w:r w:rsidR="00F874E6">
        <w:t xml:space="preserve">required </w:t>
      </w:r>
      <w:r>
        <w:t xml:space="preserve">for </w:t>
      </w:r>
      <w:r w:rsidR="00F874E6">
        <w:t>a lease of real property</w:t>
      </w:r>
      <w:r w:rsidR="00F1497A">
        <w:t>.</w:t>
      </w:r>
      <w:r w:rsidR="00F02E01">
        <w:rPr>
          <w:rStyle w:val="FootnoteReference"/>
        </w:rPr>
        <w:footnoteReference w:id="1"/>
      </w:r>
      <w:r w:rsidR="00F1497A">
        <w:t xml:space="preserve">  This bill brings Florida in line with the vast majority of other states, will simplify the lease execution process, and cut down on part</w:t>
      </w:r>
      <w:r w:rsidR="00F02E01">
        <w:t>ie</w:t>
      </w:r>
      <w:r w:rsidR="00F1497A">
        <w:t>s seeking to get out of deals on technical grounds.</w:t>
      </w:r>
      <w:r w:rsidR="00A7013E">
        <w:t xml:space="preserve"> </w:t>
      </w:r>
    </w:p>
    <w:p w:rsidR="00AA2B18" w:rsidRDefault="00AA2B18" w:rsidP="00F874E6">
      <w:pPr>
        <w:jc w:val="both"/>
      </w:pPr>
    </w:p>
    <w:p w:rsidR="00AA2B18" w:rsidRDefault="00F1497A" w:rsidP="00AA2B18">
      <w:pPr>
        <w:ind w:firstLine="720"/>
        <w:jc w:val="both"/>
      </w:pPr>
      <w:r>
        <w:t>Before this change</w:t>
      </w:r>
      <w:r w:rsidR="00AA2B18">
        <w:t xml:space="preserve">, </w:t>
      </w:r>
      <w:r w:rsidR="00CC3067">
        <w:t>S</w:t>
      </w:r>
      <w:r w:rsidR="00AA2B18">
        <w:t>ection 689.01(1), Florida Statutes</w:t>
      </w:r>
      <w:r w:rsidR="00904BC3">
        <w:t>, which has existed in its present form since 1829 before Florida became a state,</w:t>
      </w:r>
      <w:r w:rsidR="00AA2B18">
        <w:t xml:space="preserve"> </w:t>
      </w:r>
      <w:r w:rsidR="00CC3067">
        <w:t>provided that a lease for a term of more than one year could be created only by an instrument in writing signed in the presence of two subscribing witnesses</w:t>
      </w:r>
      <w:r w:rsidR="00AA2B18">
        <w:t>.</w:t>
      </w:r>
      <w:r w:rsidR="00AA2B18">
        <w:rPr>
          <w:rStyle w:val="FootnoteReference"/>
        </w:rPr>
        <w:footnoteReference w:id="2"/>
      </w:r>
      <w:r w:rsidR="00AA2B18">
        <w:t xml:space="preserve"> </w:t>
      </w:r>
      <w:r w:rsidR="00904BC3">
        <w:t>W</w:t>
      </w:r>
      <w:r w:rsidR="00CC3067">
        <w:t>itnesses were only required for the landlord’s execution of the Lease since the landlord was the party granting the leasehold interest.</w:t>
      </w:r>
      <w:r w:rsidR="00E32D17">
        <w:rPr>
          <w:rStyle w:val="FootnoteReference"/>
        </w:rPr>
        <w:footnoteReference w:id="3"/>
      </w:r>
      <w:r w:rsidR="00AA2B18">
        <w:t xml:space="preserve"> </w:t>
      </w:r>
      <w:r w:rsidR="00E32D17">
        <w:t xml:space="preserve">As </w:t>
      </w:r>
      <w:r w:rsidR="00AA2B18">
        <w:t xml:space="preserve">a practical matter, the witness requirement in </w:t>
      </w:r>
      <w:r w:rsidR="00E32D17">
        <w:t>S</w:t>
      </w:r>
      <w:r w:rsidR="00AA2B18">
        <w:t>ection 689.01(1) rarely applie</w:t>
      </w:r>
      <w:r>
        <w:t>d</w:t>
      </w:r>
      <w:r w:rsidR="00AA2B18">
        <w:t xml:space="preserve"> to the landlord’s </w:t>
      </w:r>
      <w:r>
        <w:t>execution of</w:t>
      </w:r>
      <w:r w:rsidR="00AA2B18">
        <w:t xml:space="preserve"> a Florida residential lease because most of those leases are written for a term of one year or less. </w:t>
      </w:r>
      <w:r>
        <w:t>Non-residential</w:t>
      </w:r>
      <w:r w:rsidR="00AA2B18">
        <w:t xml:space="preserve"> leases, however, are usually for a longer term and this requirement almost always applie</w:t>
      </w:r>
      <w:r>
        <w:t>d</w:t>
      </w:r>
      <w:r w:rsidR="00AA2B18">
        <w:t xml:space="preserve"> </w:t>
      </w:r>
      <w:r>
        <w:t xml:space="preserve">to </w:t>
      </w:r>
      <w:r w:rsidR="00904BC3">
        <w:t>them</w:t>
      </w:r>
      <w:r w:rsidR="00AA2B18">
        <w:t xml:space="preserve">. </w:t>
      </w:r>
    </w:p>
    <w:p w:rsidR="00CC3067" w:rsidRDefault="00CC3067" w:rsidP="00AA2B18">
      <w:pPr>
        <w:ind w:firstLine="720"/>
        <w:jc w:val="both"/>
      </w:pPr>
    </w:p>
    <w:p w:rsidR="00A7013E" w:rsidRDefault="00A7013E" w:rsidP="00AA2B18">
      <w:pPr>
        <w:ind w:firstLine="720"/>
        <w:jc w:val="both"/>
      </w:pPr>
      <w:r>
        <w:t>U</w:t>
      </w:r>
      <w:r w:rsidR="0057575A">
        <w:t>nder the amended version</w:t>
      </w:r>
      <w:r>
        <w:t xml:space="preserve"> of </w:t>
      </w:r>
      <w:r w:rsidR="003E6AE8">
        <w:t>Section</w:t>
      </w:r>
      <w:r>
        <w:t xml:space="preserve"> 689.01</w:t>
      </w:r>
      <w:r w:rsidR="008977B5">
        <w:t>(1)</w:t>
      </w:r>
      <w:r w:rsidR="0057575A">
        <w:t>, no subscribing witnesses will be required for leases at all</w:t>
      </w:r>
      <w:r>
        <w:t>, with leases specifically exempted from the requirement of subscribing witnesses</w:t>
      </w:r>
      <w:r w:rsidR="00AA2B18">
        <w:t xml:space="preserve"> to transfers of property interests</w:t>
      </w:r>
      <w:r>
        <w:t>:</w:t>
      </w:r>
    </w:p>
    <w:p w:rsidR="00A7013E" w:rsidRDefault="00A7013E" w:rsidP="00F874E6">
      <w:pPr>
        <w:jc w:val="both"/>
      </w:pPr>
    </w:p>
    <w:p w:rsidR="00A7013E" w:rsidRDefault="00A7013E" w:rsidP="00A7013E">
      <w:pPr>
        <w:ind w:left="720" w:right="720"/>
        <w:jc w:val="both"/>
      </w:pPr>
      <w:r w:rsidRPr="00A7013E">
        <w:t>No estate or interest of freehold, or for a term of 14 more than 1 year, or any uncertain interest of, in</w:t>
      </w:r>
      <w:r w:rsidRPr="008977B5">
        <w:rPr>
          <w:u w:val="single"/>
        </w:rPr>
        <w:t>,</w:t>
      </w:r>
      <w:r w:rsidRPr="00A7013E">
        <w:t xml:space="preserve"> or out of any messuages, lands, tenem</w:t>
      </w:r>
      <w:r w:rsidR="008977B5">
        <w:t>ents</w:t>
      </w:r>
      <w:r w:rsidR="008977B5" w:rsidRPr="008977B5">
        <w:rPr>
          <w:u w:val="single"/>
        </w:rPr>
        <w:t>,</w:t>
      </w:r>
      <w:r w:rsidR="008977B5">
        <w:t xml:space="preserve"> or hereditaments shall be</w:t>
      </w:r>
      <w:r w:rsidRPr="00A7013E">
        <w:t xml:space="preserve"> created, made, granted, transferred, or released in any </w:t>
      </w:r>
      <w:r w:rsidRPr="008977B5">
        <w:rPr>
          <w:strike/>
        </w:rPr>
        <w:t>other</w:t>
      </w:r>
      <w:r w:rsidRPr="00A7013E">
        <w:t xml:space="preserve"> 17 manner </w:t>
      </w:r>
      <w:r w:rsidRPr="008977B5">
        <w:rPr>
          <w:u w:val="single"/>
        </w:rPr>
        <w:t>other</w:t>
      </w:r>
      <w:r w:rsidRPr="00A7013E">
        <w:t xml:space="preserve"> than by instrument in writing, signed in the presence of two subscribing witnesses by the party creating, making, granting, conveying, transferring</w:t>
      </w:r>
      <w:r w:rsidRPr="008977B5">
        <w:rPr>
          <w:u w:val="single"/>
        </w:rPr>
        <w:t>,</w:t>
      </w:r>
      <w:r w:rsidRPr="00A7013E">
        <w:t xml:space="preserve"> or releasing such estate, interest, or term of more than 1 year, or by the party's lawfully authorized agent, unless by will and testament, or other testamentary appointment, duly made according to law; and no estate or interest, either of freehold, or of term of more than 1 year, or any uncertain interest of, in, to, or out of any messuages, lands, tenements</w:t>
      </w:r>
      <w:r w:rsidRPr="008977B5">
        <w:rPr>
          <w:u w:val="single"/>
        </w:rPr>
        <w:t>,</w:t>
      </w:r>
      <w:r w:rsidRPr="00A7013E">
        <w:t xml:space="preserve"> or hereditaments, shall be assigned or surrendered unless it be by instrument signed in the presence of two subscribing witnesses by the party so assigning or surrendering, or by the party's lawfully authorized agent, or by the act and operation of law; </w:t>
      </w:r>
      <w:r w:rsidRPr="008977B5">
        <w:rPr>
          <w:u w:val="single"/>
        </w:rPr>
        <w:t>provided, however, that no subscribing witnesses shall be required for a lease of real property or any such instrument pertaining to a lease of real property</w:t>
      </w:r>
      <w:r w:rsidRPr="00A7013E">
        <w:t xml:space="preserve">. No seal shall be necessary to give validity to any instrument executed in conformity with this section. </w:t>
      </w:r>
      <w:r w:rsidRPr="00A7013E">
        <w:lastRenderedPageBreak/>
        <w:t>Corporations may execute any and all conveyances in accordance 35 with the provisions of this section or ss. 692.01 and 692.02</w:t>
      </w:r>
      <w:r>
        <w:t>.</w:t>
      </w:r>
      <w:r>
        <w:rPr>
          <w:rStyle w:val="FootnoteReference"/>
        </w:rPr>
        <w:footnoteReference w:id="4"/>
      </w:r>
    </w:p>
    <w:p w:rsidR="00A7013E" w:rsidRDefault="00A7013E" w:rsidP="00F874E6">
      <w:pPr>
        <w:jc w:val="both"/>
      </w:pPr>
    </w:p>
    <w:p w:rsidR="00E32D17" w:rsidRDefault="008977B5" w:rsidP="00F874E6">
      <w:pPr>
        <w:jc w:val="both"/>
      </w:pPr>
      <w:r>
        <w:t xml:space="preserve">(changes underlined and indicated via strike-through, as appropriate). </w:t>
      </w:r>
    </w:p>
    <w:p w:rsidR="00E32D17" w:rsidRDefault="00E32D17" w:rsidP="00F874E6">
      <w:pPr>
        <w:jc w:val="both"/>
      </w:pPr>
    </w:p>
    <w:p w:rsidR="004053B8" w:rsidRDefault="00F874E6" w:rsidP="00E32D17">
      <w:pPr>
        <w:ind w:firstLine="720"/>
        <w:jc w:val="both"/>
      </w:pPr>
      <w:r>
        <w:t xml:space="preserve">With this change, Florida has removed an anachronistic, formalistic, and infrequently enforced procedural hurdle to the execution of leases and joins the many states that removed such requirements long ago. </w:t>
      </w:r>
    </w:p>
    <w:p w:rsidR="004053B8" w:rsidRDefault="004053B8" w:rsidP="00F874E6">
      <w:pPr>
        <w:jc w:val="both"/>
      </w:pPr>
    </w:p>
    <w:p w:rsidR="00613776" w:rsidRDefault="00F874E6" w:rsidP="004053B8">
      <w:pPr>
        <w:ind w:firstLine="720"/>
        <w:jc w:val="both"/>
      </w:pPr>
      <w:r>
        <w:t xml:space="preserve">This article explains why the Florida Legislature’s move benefits landlords </w:t>
      </w:r>
      <w:r w:rsidR="00F02E01">
        <w:t xml:space="preserve">and tenants </w:t>
      </w:r>
      <w:r>
        <w:t xml:space="preserve">and brings Florida into the modern era </w:t>
      </w:r>
      <w:r w:rsidR="004053B8">
        <w:t xml:space="preserve">of leasing law. </w:t>
      </w:r>
      <w:r w:rsidR="00EF16B5">
        <w:t>It</w:t>
      </w:r>
      <w:r w:rsidR="004053B8">
        <w:t xml:space="preserve"> begins by outlining the origins of the prior requirement of two witnesses to a lease and the reasons why such a requirement was historically necessary. Then, it traces case precedent dealing with this requirement to show how Florida courts have moved away from enforcing </w:t>
      </w:r>
      <w:r w:rsidR="00B744E3">
        <w:t>the two-witness requirement</w:t>
      </w:r>
      <w:r w:rsidR="004053B8">
        <w:t xml:space="preserve">. </w:t>
      </w:r>
      <w:r w:rsidR="00B744E3">
        <w:t>The</w:t>
      </w:r>
      <w:r w:rsidR="004053B8">
        <w:t xml:space="preserve"> article concludes with </w:t>
      </w:r>
      <w:r w:rsidR="003E6AE8">
        <w:t xml:space="preserve">thoughts on the wisdom of removing the two-witness requirement in the current transactional environment, </w:t>
      </w:r>
      <w:r w:rsidR="004053B8">
        <w:t>and why the legislature has taken a step in the right direction</w:t>
      </w:r>
      <w:r w:rsidR="00AA2B18">
        <w:t xml:space="preserve"> by eliminating the requirement.</w:t>
      </w:r>
    </w:p>
    <w:p w:rsidR="004F3DFD" w:rsidRDefault="004F3DFD" w:rsidP="00B5350A"/>
    <w:p w:rsidR="00816DE9" w:rsidRPr="00B5350A" w:rsidRDefault="00290BA1" w:rsidP="00026BD6">
      <w:pPr>
        <w:shd w:val="clear" w:color="auto" w:fill="FFFFFF"/>
        <w:ind w:firstLine="720"/>
        <w:jc w:val="both"/>
      </w:pPr>
      <w:r w:rsidRPr="00C25DEE">
        <w:t xml:space="preserve">The requirement for two witnesses </w:t>
      </w:r>
      <w:r w:rsidR="00B06DB5">
        <w:t xml:space="preserve">to a real estate conveyance </w:t>
      </w:r>
      <w:r w:rsidR="005C6997">
        <w:t>can trace its origins a</w:t>
      </w:r>
      <w:r w:rsidR="00B5350A">
        <w:t>t least a</w:t>
      </w:r>
      <w:r w:rsidR="005C6997">
        <w:t xml:space="preserve">s far </w:t>
      </w:r>
      <w:r w:rsidR="001B0E58">
        <w:t xml:space="preserve">back </w:t>
      </w:r>
      <w:r w:rsidR="005C6997">
        <w:t xml:space="preserve">as ancient Rome. </w:t>
      </w:r>
      <w:r w:rsidR="00B5350A">
        <w:t>As early as the second century A.D., Romans conveyed both personal and real property by a formalistic ceremony known as conveyance by mancipation.</w:t>
      </w:r>
      <w:r w:rsidR="00B5350A">
        <w:rPr>
          <w:rStyle w:val="FootnoteReference"/>
        </w:rPr>
        <w:footnoteReference w:id="5"/>
      </w:r>
      <w:r w:rsidR="00B5350A">
        <w:t xml:space="preserve"> In this highly formalized exchange, no fewer than </w:t>
      </w:r>
      <w:r w:rsidR="00B5350A" w:rsidRPr="00184596">
        <w:t>five</w:t>
      </w:r>
      <w:r w:rsidR="00B5350A">
        <w:rPr>
          <w:i/>
        </w:rPr>
        <w:t xml:space="preserve"> </w:t>
      </w:r>
      <w:r w:rsidR="00B5350A">
        <w:t>witnesses—Roman citizens above the age of puberty—were required to be present.</w:t>
      </w:r>
      <w:r w:rsidR="00B5350A">
        <w:rPr>
          <w:rStyle w:val="FootnoteReference"/>
        </w:rPr>
        <w:footnoteReference w:id="6"/>
      </w:r>
      <w:r w:rsidR="001B0E58">
        <w:t xml:space="preserve"> </w:t>
      </w:r>
      <w:r w:rsidR="00AA2B18">
        <w:t>The presence of witnesses served as a verification mechanism for the transaction and legitimized the exchange of property.</w:t>
      </w:r>
    </w:p>
    <w:p w:rsidR="0040115A" w:rsidRDefault="0040115A" w:rsidP="00026BD6">
      <w:pPr>
        <w:shd w:val="clear" w:color="auto" w:fill="FFFFFF"/>
        <w:ind w:firstLine="720"/>
        <w:jc w:val="both"/>
      </w:pPr>
    </w:p>
    <w:p w:rsidR="00CF1A06" w:rsidRDefault="0014213A" w:rsidP="002E7EE3">
      <w:pPr>
        <w:shd w:val="clear" w:color="auto" w:fill="FFFFFF"/>
        <w:ind w:firstLine="720"/>
        <w:jc w:val="both"/>
      </w:pPr>
      <w:r>
        <w:t>Early Anglo-Saxon law</w:t>
      </w:r>
      <w:r w:rsidR="00816DE9">
        <w:t xml:space="preserve"> was </w:t>
      </w:r>
      <w:r w:rsidR="00B5350A">
        <w:t>similarly</w:t>
      </w:r>
      <w:r w:rsidR="00816DE9">
        <w:t xml:space="preserve"> concerned with the number of witnesses to acts and contracts, a concern that </w:t>
      </w:r>
      <w:r w:rsidR="00B5350A">
        <w:t xml:space="preserve">naturally made its way into the law of </w:t>
      </w:r>
      <w:r>
        <w:t>real property conveyances</w:t>
      </w:r>
      <w:r w:rsidR="00B5350A">
        <w:t>.</w:t>
      </w:r>
      <w:r w:rsidR="004F1383">
        <w:t xml:space="preserve"> </w:t>
      </w:r>
      <w:r>
        <w:t>In fact, at least one author has described the attestation of witnesses to a deed as “the most important part of the executio</w:t>
      </w:r>
      <w:r w:rsidR="007F3A74">
        <w:t>n</w:t>
      </w:r>
      <w:r>
        <w:t xml:space="preserve"> of the deed in the early days</w:t>
      </w:r>
      <w:r w:rsidR="009219CB">
        <w:t>,</w:t>
      </w:r>
      <w:r>
        <w:t>”</w:t>
      </w:r>
      <w:r>
        <w:rPr>
          <w:rStyle w:val="FootnoteReference"/>
        </w:rPr>
        <w:footnoteReference w:id="7"/>
      </w:r>
      <w:r w:rsidR="009219CB">
        <w:t xml:space="preserve"> where reputable and literate witnesses serve</w:t>
      </w:r>
      <w:r w:rsidR="002E7EE3">
        <w:t xml:space="preserve">d an important evidentiary role. </w:t>
      </w:r>
      <w:r w:rsidR="00CF1A06">
        <w:t>In fact, in the event a question arose about the validity of a conveyance, the witnesses would sometimes be made part of the jury called upon to determine the question of the conveyance’s legitimacy.</w:t>
      </w:r>
      <w:r w:rsidR="00CF1A06">
        <w:rPr>
          <w:rStyle w:val="FootnoteReference"/>
        </w:rPr>
        <w:footnoteReference w:id="8"/>
      </w:r>
    </w:p>
    <w:p w:rsidR="00CF1A06" w:rsidRDefault="00CF1A06" w:rsidP="002E7EE3">
      <w:pPr>
        <w:shd w:val="clear" w:color="auto" w:fill="FFFFFF"/>
        <w:ind w:firstLine="720"/>
        <w:jc w:val="both"/>
      </w:pPr>
    </w:p>
    <w:p w:rsidR="0014213A" w:rsidRDefault="00986770" w:rsidP="002E7EE3">
      <w:pPr>
        <w:shd w:val="clear" w:color="auto" w:fill="FFFFFF"/>
        <w:ind w:firstLine="720"/>
        <w:jc w:val="both"/>
      </w:pPr>
      <w:r>
        <w:t xml:space="preserve">In these </w:t>
      </w:r>
      <w:r w:rsidR="00AA2B18">
        <w:t>“</w:t>
      </w:r>
      <w:r>
        <w:t>early days,</w:t>
      </w:r>
      <w:r w:rsidR="00AA2B18">
        <w:t>”</w:t>
      </w:r>
      <w:r>
        <w:t xml:space="preserve"> witnesses were oft</w:t>
      </w:r>
      <w:r w:rsidR="00BB0FE2">
        <w:t>en individuals of some renown</w:t>
      </w:r>
      <w:r>
        <w:t xml:space="preserve">, including local officials, courtiers, and </w:t>
      </w:r>
      <w:r w:rsidR="00BB0FE2">
        <w:t xml:space="preserve">even </w:t>
      </w:r>
      <w:r>
        <w:t>monarchs.</w:t>
      </w:r>
      <w:r>
        <w:rPr>
          <w:rStyle w:val="FootnoteReference"/>
        </w:rPr>
        <w:footnoteReference w:id="9"/>
      </w:r>
      <w:r>
        <w:t xml:space="preserve"> Indeed, some historical deeds include as witnesses God and saints to lend a sense of authority and solemnity to the document.</w:t>
      </w:r>
      <w:r>
        <w:rPr>
          <w:rStyle w:val="FootnoteReference"/>
        </w:rPr>
        <w:footnoteReference w:id="10"/>
      </w:r>
      <w:r>
        <w:t xml:space="preserve"> </w:t>
      </w:r>
      <w:r w:rsidR="009219CB">
        <w:t>A</w:t>
      </w:r>
      <w:r w:rsidR="004159C5">
        <w:t xml:space="preserve">s recently as the 19th </w:t>
      </w:r>
      <w:r w:rsidR="004159C5">
        <w:lastRenderedPageBreak/>
        <w:t>century, Scottish legal scholars promoted the use of “famous witnesses” or “witnesses of the best character” for deeds</w:t>
      </w:r>
      <w:r w:rsidR="001B0E58">
        <w:t>, again evidencing the historical</w:t>
      </w:r>
      <w:r w:rsidR="008B04DB">
        <w:t xml:space="preserve"> use of witnessing as a </w:t>
      </w:r>
      <w:r w:rsidR="001B0E58">
        <w:t xml:space="preserve">practice </w:t>
      </w:r>
      <w:r w:rsidR="008B04DB">
        <w:t>that served to elevate</w:t>
      </w:r>
      <w:r w:rsidR="001B0E58">
        <w:t xml:space="preserve"> mundane transactions to </w:t>
      </w:r>
      <w:r w:rsidR="002814B9">
        <w:t>exchanges</w:t>
      </w:r>
      <w:r w:rsidR="001B0E58">
        <w:t xml:space="preserve"> carrying the imprimatur of the </w:t>
      </w:r>
      <w:r w:rsidR="002814B9">
        <w:t>upper echelons of society</w:t>
      </w:r>
      <w:r w:rsidR="004159C5">
        <w:t>.</w:t>
      </w:r>
      <w:r w:rsidR="004159C5">
        <w:rPr>
          <w:rStyle w:val="FootnoteReference"/>
        </w:rPr>
        <w:footnoteReference w:id="11"/>
      </w:r>
    </w:p>
    <w:p w:rsidR="002814B9" w:rsidRDefault="002814B9" w:rsidP="002814B9">
      <w:pPr>
        <w:shd w:val="clear" w:color="auto" w:fill="FFFFFF"/>
        <w:ind w:firstLine="720"/>
        <w:jc w:val="both"/>
      </w:pPr>
    </w:p>
    <w:p w:rsidR="002814B9" w:rsidRDefault="002814B9" w:rsidP="002814B9">
      <w:pPr>
        <w:shd w:val="clear" w:color="auto" w:fill="FFFFFF"/>
        <w:ind w:firstLine="720"/>
        <w:jc w:val="both"/>
      </w:pPr>
      <w:r>
        <w:t>Similar witnessing requirements also took root in the early United States in the form of state statutes.</w:t>
      </w:r>
      <w:r>
        <w:rPr>
          <w:rStyle w:val="FootnoteReference"/>
        </w:rPr>
        <w:footnoteReference w:id="12"/>
      </w:r>
      <w:r>
        <w:t xml:space="preserve"> Florida’s </w:t>
      </w:r>
      <w:r w:rsidR="00E32D17">
        <w:t>S</w:t>
      </w:r>
      <w:r>
        <w:t>ection 689.01 was one such statute and in fact predates Florida’s statehood.</w:t>
      </w:r>
      <w:r>
        <w:rPr>
          <w:rStyle w:val="FootnoteReference"/>
        </w:rPr>
        <w:footnoteReference w:id="13"/>
      </w:r>
    </w:p>
    <w:p w:rsidR="002B32B4" w:rsidRDefault="002B32B4" w:rsidP="007B3BE4">
      <w:pPr>
        <w:shd w:val="clear" w:color="auto" w:fill="FFFFFF"/>
        <w:jc w:val="both"/>
      </w:pPr>
    </w:p>
    <w:p w:rsidR="007E61FF" w:rsidRDefault="002814B9" w:rsidP="00013DA0">
      <w:pPr>
        <w:shd w:val="clear" w:color="auto" w:fill="FFFFFF"/>
        <w:ind w:firstLine="720"/>
        <w:jc w:val="both"/>
      </w:pPr>
      <w:r>
        <w:t xml:space="preserve">Leasing is a newer concept of transfer </w:t>
      </w:r>
      <w:r w:rsidR="00E57F05">
        <w:t>of property</w:t>
      </w:r>
      <w:r>
        <w:t>,</w:t>
      </w:r>
      <w:r>
        <w:rPr>
          <w:rStyle w:val="FootnoteReference"/>
        </w:rPr>
        <w:footnoteReference w:id="14"/>
      </w:r>
      <w:r>
        <w:t xml:space="preserve"> and as such, so is the requirement of witnesses to a lease. That being said, the same principles governing other conveyances of interest in real property </w:t>
      </w:r>
      <w:r w:rsidR="00AA34DE">
        <w:t>historically applied to leases</w:t>
      </w:r>
      <w:r>
        <w:t>.</w:t>
      </w:r>
      <w:r w:rsidR="00AA34DE">
        <w:rPr>
          <w:rStyle w:val="FootnoteReference"/>
        </w:rPr>
        <w:footnoteReference w:id="15"/>
      </w:r>
      <w:r>
        <w:t xml:space="preserve"> </w:t>
      </w:r>
    </w:p>
    <w:p w:rsidR="00F02E01" w:rsidRDefault="00F02E01" w:rsidP="00013DA0">
      <w:pPr>
        <w:shd w:val="clear" w:color="auto" w:fill="FFFFFF"/>
        <w:ind w:firstLine="720"/>
        <w:jc w:val="both"/>
      </w:pPr>
    </w:p>
    <w:p w:rsidR="00F02E01" w:rsidRDefault="00F02E01" w:rsidP="00013DA0">
      <w:pPr>
        <w:shd w:val="clear" w:color="auto" w:fill="FFFFFF"/>
        <w:ind w:firstLine="720"/>
        <w:jc w:val="both"/>
      </w:pPr>
      <w:r>
        <w:t xml:space="preserve">The witness requirement was designed to protect the landlord from fraudulent conveyances.  However, over time as the </w:t>
      </w:r>
      <w:r w:rsidR="00E57F05">
        <w:t>law</w:t>
      </w:r>
      <w:r>
        <w:t xml:space="preserve">s and practices governing the conveyance of property interests modernized, the risk of fraud dissipated and not infrequent oversights in obtaining subscribing witnesses </w:t>
      </w:r>
      <w:r w:rsidR="00E57F05">
        <w:t>started to be used as means of avoiding a deal on the basis of a technicality.</w:t>
      </w:r>
    </w:p>
    <w:p w:rsidR="00E57F05" w:rsidRDefault="00E57F05" w:rsidP="00013DA0">
      <w:pPr>
        <w:shd w:val="clear" w:color="auto" w:fill="FFFFFF"/>
        <w:ind w:firstLine="720"/>
        <w:jc w:val="both"/>
      </w:pPr>
    </w:p>
    <w:p w:rsidR="00E57F05" w:rsidRDefault="00E57F05" w:rsidP="00013DA0">
      <w:pPr>
        <w:shd w:val="clear" w:color="auto" w:fill="FFFFFF"/>
        <w:ind w:firstLine="720"/>
        <w:jc w:val="both"/>
      </w:pPr>
      <w:r>
        <w:t>Likely for this reason most states no longer require subscribing witnesses for leases.  In fact, only Connecticut, Georgia, Louisiana, and South Carolina still have witness requirements.</w:t>
      </w:r>
      <w:r>
        <w:rPr>
          <w:rStyle w:val="FootnoteReference"/>
        </w:rPr>
        <w:footnoteReference w:id="16"/>
      </w:r>
    </w:p>
    <w:p w:rsidR="007E61FF" w:rsidRDefault="007E61FF" w:rsidP="00013DA0">
      <w:pPr>
        <w:shd w:val="clear" w:color="auto" w:fill="FFFFFF"/>
        <w:ind w:firstLine="720"/>
        <w:jc w:val="both"/>
      </w:pPr>
    </w:p>
    <w:p w:rsidR="00F12198" w:rsidRDefault="00E57F05" w:rsidP="006417CC">
      <w:pPr>
        <w:shd w:val="clear" w:color="auto" w:fill="FFFFFF"/>
        <w:ind w:firstLine="720"/>
        <w:jc w:val="both"/>
      </w:pPr>
      <w:r>
        <w:t>Moreover</w:t>
      </w:r>
      <w:r w:rsidR="00315224">
        <w:t>, a review of Florida case law reveals spotty enforcement of the two-witness requirement</w:t>
      </w:r>
      <w:r w:rsidR="0044711C">
        <w:t xml:space="preserve"> and an erosion of the two-witness formality over time</w:t>
      </w:r>
      <w:r w:rsidR="008F32D9">
        <w:t xml:space="preserve"> (although some courts have continued to enforce the requirement strictly)</w:t>
      </w:r>
      <w:r w:rsidR="00315224">
        <w:t>.</w:t>
      </w:r>
      <w:r w:rsidR="008F32D9">
        <w:rPr>
          <w:rStyle w:val="FootnoteReference"/>
        </w:rPr>
        <w:footnoteReference w:id="17"/>
      </w:r>
      <w:r w:rsidR="00315224">
        <w:t xml:space="preserve"> For example, in 1908, the Florida Supreme Court held that a deed need not contain the “magic words” “In the presence of” to comply with the two-witness requirement.</w:t>
      </w:r>
      <w:r w:rsidR="00315224">
        <w:rPr>
          <w:rStyle w:val="FootnoteReference"/>
        </w:rPr>
        <w:footnoteReference w:id="18"/>
      </w:r>
      <w:r w:rsidR="00315224">
        <w:t xml:space="preserve"> In rejecting this formal attestation requirement, the court ensured that substance would govern over form</w:t>
      </w:r>
      <w:r w:rsidR="00F12198">
        <w:t xml:space="preserve"> and whittled away—even if only slightly—at the long-standing formality of the two-witness requirement. </w:t>
      </w:r>
      <w:r w:rsidR="00F12198">
        <w:rPr>
          <w:i/>
        </w:rPr>
        <w:t>Reed v. Moore</w:t>
      </w:r>
      <w:r w:rsidR="00F12198">
        <w:t xml:space="preserve">, 109 So. 86 (Fla. 1926) presents another unique workaround to the two-witness requirement endorsed by the </w:t>
      </w:r>
      <w:r w:rsidR="003B1F55">
        <w:t>S</w:t>
      </w:r>
      <w:r w:rsidR="00F12198">
        <w:t xml:space="preserve">upreme </w:t>
      </w:r>
      <w:r w:rsidR="003B1F55">
        <w:t>C</w:t>
      </w:r>
      <w:r w:rsidR="00F12198">
        <w:t>ourt. There, the court held that a lease attested only by one witness rather than the required two was not enforceable as a lease, but nevertheless could be specifically enforced by the landlord as a contract.</w:t>
      </w:r>
      <w:r w:rsidR="00F12198">
        <w:rPr>
          <w:rStyle w:val="FootnoteReference"/>
        </w:rPr>
        <w:footnoteReference w:id="19"/>
      </w:r>
      <w:r w:rsidR="00F12198">
        <w:t xml:space="preserve"> </w:t>
      </w:r>
      <w:r w:rsidR="009205D3">
        <w:t xml:space="preserve">Florida courts have also held </w:t>
      </w:r>
      <w:r w:rsidR="00E32D17">
        <w:t xml:space="preserve">that the </w:t>
      </w:r>
      <w:r w:rsidR="009205D3">
        <w:t>two-witness requirement may be waived by acceptance of rent and performance under the lease, offering a clear out for parties who fail to observe the statutory formalities, as may often be the case.</w:t>
      </w:r>
      <w:r w:rsidR="009205D3">
        <w:rPr>
          <w:rStyle w:val="FootnoteReference"/>
        </w:rPr>
        <w:footnoteReference w:id="20"/>
      </w:r>
      <w:r w:rsidR="009205D3">
        <w:t xml:space="preserve"> </w:t>
      </w:r>
      <w:r w:rsidR="006417CC">
        <w:t>In such cases, courts have been quick to accept estoppel as a defense to invalidation of the lease.</w:t>
      </w:r>
      <w:r w:rsidR="006417CC" w:rsidRPr="006417CC">
        <w:rPr>
          <w:rStyle w:val="FootnoteReference"/>
        </w:rPr>
        <w:t xml:space="preserve"> </w:t>
      </w:r>
      <w:r w:rsidR="006417CC" w:rsidRPr="007E4B56">
        <w:rPr>
          <w:rStyle w:val="FootnoteReference"/>
        </w:rPr>
        <w:footnoteReference w:id="21"/>
      </w:r>
      <w:r w:rsidR="006417CC">
        <w:t xml:space="preserve"> </w:t>
      </w:r>
      <w:r w:rsidR="009E0FC5">
        <w:t xml:space="preserve">Finally, in 1962, the Second District Court of Appeal held that a deed would be enforceable even when signed by only one witness when a second witness was present but </w:t>
      </w:r>
      <w:r w:rsidR="007E61FF">
        <w:t>acknowledged witnessing the lease and signed after</w:t>
      </w:r>
      <w:r w:rsidR="009E0FC5">
        <w:t xml:space="preserve"> suit on the deed </w:t>
      </w:r>
      <w:r w:rsidR="006417CC">
        <w:t>was filed</w:t>
      </w:r>
      <w:r w:rsidR="009E0FC5">
        <w:t>.</w:t>
      </w:r>
      <w:r w:rsidR="009E0FC5">
        <w:rPr>
          <w:rStyle w:val="FootnoteReference"/>
        </w:rPr>
        <w:footnoteReference w:id="22"/>
      </w:r>
    </w:p>
    <w:p w:rsidR="00F12198" w:rsidRDefault="00F12198" w:rsidP="002B32B4">
      <w:pPr>
        <w:shd w:val="clear" w:color="auto" w:fill="FFFFFF"/>
        <w:ind w:firstLine="720"/>
        <w:jc w:val="both"/>
      </w:pPr>
    </w:p>
    <w:p w:rsidR="00C05816" w:rsidRDefault="00F12198" w:rsidP="00B068D0">
      <w:pPr>
        <w:shd w:val="clear" w:color="auto" w:fill="FFFFFF"/>
        <w:ind w:firstLine="720"/>
        <w:jc w:val="both"/>
      </w:pPr>
      <w:r>
        <w:t xml:space="preserve">Thus, over the past century, it has been clear that Florida courts </w:t>
      </w:r>
      <w:r w:rsidR="004530FB">
        <w:t xml:space="preserve">can and </w:t>
      </w:r>
      <w:r w:rsidR="006417CC">
        <w:t>will</w:t>
      </w:r>
      <w:r>
        <w:t xml:space="preserve"> find ways to enforce leases even when the formal statutory requirement of two witnesses </w:t>
      </w:r>
      <w:r w:rsidR="004530FB">
        <w:t>is</w:t>
      </w:r>
      <w:r>
        <w:t xml:space="preserve"> not met. It should therefore come as no surprise that the Florida Legislature would finally erase the two-witness requirement for leases from the statute books. </w:t>
      </w:r>
    </w:p>
    <w:p w:rsidR="00E57F05" w:rsidRDefault="00E57F05" w:rsidP="00B068D0">
      <w:pPr>
        <w:shd w:val="clear" w:color="auto" w:fill="FFFFFF"/>
        <w:ind w:firstLine="720"/>
        <w:jc w:val="both"/>
      </w:pPr>
    </w:p>
    <w:p w:rsidR="00E57F05" w:rsidRDefault="00E57F05" w:rsidP="00B068D0">
      <w:pPr>
        <w:shd w:val="clear" w:color="auto" w:fill="FFFFFF"/>
        <w:ind w:firstLine="720"/>
        <w:jc w:val="both"/>
      </w:pPr>
      <w:r>
        <w:t xml:space="preserve">The requirement for subscribing witnesses no longer promotes its original fraud prevention public policy in a meaningful way. It had become a “gotcha’ providing a </w:t>
      </w:r>
      <w:r w:rsidR="003E6AE8">
        <w:t>technicality to</w:t>
      </w:r>
      <w:r>
        <w:t xml:space="preserve"> be used by a party seeking to void </w:t>
      </w:r>
      <w:r w:rsidR="003E6AE8">
        <w:t>an agreement it no longer wanted to honor</w:t>
      </w:r>
      <w:r>
        <w:t>. It also became cumbersome in the closing of transactions especially in the time of a pandemic when social distancing made the possibility of a landlord and two witnesses signing a lease in the presence of each other problematic.</w:t>
      </w:r>
      <w:r w:rsidR="003E6AE8">
        <w:t xml:space="preserve">  Finally, the requirement of two subscribing witnesses posed a major hurdle to the electronic execution of leases which is the modern trend.</w:t>
      </w:r>
    </w:p>
    <w:p w:rsidR="000B62AC" w:rsidRPr="000D66EE" w:rsidRDefault="000B62AC" w:rsidP="000D66EE">
      <w:pPr>
        <w:rPr>
          <w:b/>
        </w:rPr>
      </w:pPr>
    </w:p>
    <w:p w:rsidR="001656EB" w:rsidRPr="00754C8E" w:rsidRDefault="006905EF" w:rsidP="000D66EE">
      <w:pPr>
        <w:ind w:firstLine="720"/>
        <w:jc w:val="both"/>
      </w:pPr>
      <w:r>
        <w:t xml:space="preserve">The recent amendment to </w:t>
      </w:r>
      <w:r w:rsidR="003E6AE8">
        <w:t>S</w:t>
      </w:r>
      <w:r>
        <w:t xml:space="preserve">ection 689.01 represents a step forward for Florida leasing law, as the </w:t>
      </w:r>
      <w:r w:rsidR="003B1F55">
        <w:t xml:space="preserve">benefits of the </w:t>
      </w:r>
      <w:r>
        <w:t xml:space="preserve">witness requirement for leases </w:t>
      </w:r>
      <w:r w:rsidR="003B1F55">
        <w:t>are outweighed by the drawbacks</w:t>
      </w:r>
      <w:r w:rsidR="001656EB">
        <w:t xml:space="preserve">. </w:t>
      </w:r>
      <w:r>
        <w:t xml:space="preserve">As described </w:t>
      </w:r>
      <w:r w:rsidRPr="00DB2BE8">
        <w:t>above, courts in many cases</w:t>
      </w:r>
      <w:r w:rsidR="00E25810" w:rsidRPr="00DB2BE8">
        <w:t xml:space="preserve"> </w:t>
      </w:r>
      <w:r w:rsidRPr="00DB2BE8">
        <w:t xml:space="preserve">have </w:t>
      </w:r>
      <w:r w:rsidR="00E25810" w:rsidRPr="00DB2BE8">
        <w:t xml:space="preserve">still enforced </w:t>
      </w:r>
      <w:r w:rsidR="003B1F55">
        <w:t>leases</w:t>
      </w:r>
      <w:r w:rsidR="00797402">
        <w:t xml:space="preserve"> </w:t>
      </w:r>
      <w:r w:rsidRPr="00DB2BE8">
        <w:t>even</w:t>
      </w:r>
      <w:r>
        <w:t xml:space="preserve"> where the two-witness requirement was not met</w:t>
      </w:r>
      <w:r w:rsidR="00DB2BE8">
        <w:t>,</w:t>
      </w:r>
      <w:r w:rsidR="00E25810">
        <w:rPr>
          <w:rStyle w:val="FootnoteReference"/>
        </w:rPr>
        <w:footnoteReference w:id="23"/>
      </w:r>
      <w:r w:rsidR="00DB2BE8">
        <w:t xml:space="preserve"> and other workarounds to the witness requirement are often available to landlords and tenants in litigation.</w:t>
      </w:r>
      <w:r w:rsidR="00DB2BE8">
        <w:rPr>
          <w:rStyle w:val="FootnoteReference"/>
        </w:rPr>
        <w:footnoteReference w:id="24"/>
      </w:r>
      <w:r w:rsidR="00E0747E">
        <w:t xml:space="preserve"> </w:t>
      </w:r>
      <w:r w:rsidR="00DB2BE8">
        <w:t xml:space="preserve">By exempting leases from </w:t>
      </w:r>
      <w:r w:rsidR="003E6AE8">
        <w:t>S</w:t>
      </w:r>
      <w:r w:rsidR="00DB2BE8">
        <w:t xml:space="preserve">ection 689.01’s two-witness requirement, the Florida Legislature has recognized the realities and practicalities of the commercial leasing industry and has removed a procedural hurdle that for many years has </w:t>
      </w:r>
      <w:r w:rsidR="003B1F55">
        <w:t>done more harm than good</w:t>
      </w:r>
      <w:r w:rsidR="00DB2BE8">
        <w:t xml:space="preserve">. </w:t>
      </w:r>
    </w:p>
    <w:sectPr w:rsidR="001656EB" w:rsidRPr="00754C8E" w:rsidSect="00AD55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B12" w:rsidRDefault="007C2B12" w:rsidP="0012460A">
      <w:r>
        <w:separator/>
      </w:r>
    </w:p>
  </w:endnote>
  <w:endnote w:type="continuationSeparator" w:id="0">
    <w:p w:rsidR="007C2B12" w:rsidRDefault="007C2B12" w:rsidP="0012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55" w:rsidRDefault="003B1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978883"/>
      <w:docPartObj>
        <w:docPartGallery w:val="Page Numbers (Bottom of Page)"/>
        <w:docPartUnique/>
      </w:docPartObj>
    </w:sdtPr>
    <w:sdtEndPr>
      <w:rPr>
        <w:noProof/>
      </w:rPr>
    </w:sdtEndPr>
    <w:sdtContent>
      <w:p w:rsidR="00693103" w:rsidRDefault="00693103">
        <w:pPr>
          <w:pStyle w:val="Footer"/>
          <w:jc w:val="center"/>
        </w:pPr>
        <w:r>
          <w:fldChar w:fldCharType="begin"/>
        </w:r>
        <w:r>
          <w:instrText xml:space="preserve"> PAGE   \* MERGEFORMAT </w:instrText>
        </w:r>
        <w:r>
          <w:fldChar w:fldCharType="separate"/>
        </w:r>
        <w:r w:rsidR="007E61FF">
          <w:rPr>
            <w:noProof/>
          </w:rPr>
          <w:t>4</w:t>
        </w:r>
        <w:r>
          <w:rPr>
            <w:noProof/>
          </w:rPr>
          <w:fldChar w:fldCharType="end"/>
        </w:r>
      </w:p>
    </w:sdtContent>
  </w:sdt>
  <w:p w:rsidR="005C1759" w:rsidRDefault="005C1759" w:rsidP="008422B7">
    <w:pPr>
      <w:pStyle w:val="MacPacTrailer"/>
    </w:pPr>
    <w:bookmarkStart w:id="1" w:name="_zzmpTrailer_1078_1"/>
    <w:r w:rsidRPr="005C1759">
      <w:rPr>
        <w:rStyle w:val="zzmpTrailerItem"/>
      </w:rPr>
      <w:t>WPBDOCS 10420785 1</w:t>
    </w:r>
    <w:r w:rsidRPr="005C1759">
      <w:t xml:space="preserve">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59" w:rsidRDefault="005C1759" w:rsidP="004D1F68">
    <w:pPr>
      <w:pStyle w:val="MacPacTrailer"/>
    </w:pPr>
    <w:bookmarkStart w:id="2" w:name="_zzmpTrailer_1078_2"/>
    <w:r w:rsidRPr="005C1759">
      <w:rPr>
        <w:rStyle w:val="zzmpTrailerItem"/>
      </w:rPr>
      <w:t>WPBDOCS 10420785 1</w:t>
    </w:r>
    <w:r w:rsidRPr="005C1759">
      <w:t xml:space="preserve">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B12" w:rsidRDefault="007C2B12" w:rsidP="0012460A">
      <w:r>
        <w:separator/>
      </w:r>
    </w:p>
  </w:footnote>
  <w:footnote w:type="continuationSeparator" w:id="0">
    <w:p w:rsidR="007C2B12" w:rsidRDefault="007C2B12" w:rsidP="0012460A">
      <w:r>
        <w:continuationSeparator/>
      </w:r>
    </w:p>
  </w:footnote>
  <w:footnote w:id="1">
    <w:p w:rsidR="00F02E01" w:rsidRDefault="00F02E01">
      <w:pPr>
        <w:pStyle w:val="FootnoteText"/>
      </w:pPr>
      <w:r>
        <w:rPr>
          <w:rStyle w:val="FootnoteReference"/>
        </w:rPr>
        <w:footnoteRef/>
      </w:r>
      <w:r>
        <w:t xml:space="preserve"> </w:t>
      </w:r>
      <w:r w:rsidRPr="00121E87">
        <w:rPr>
          <w:highlight w:val="yellow"/>
        </w:rPr>
        <w:t>Insert citation for bill.</w:t>
      </w:r>
    </w:p>
  </w:footnote>
  <w:footnote w:id="2">
    <w:p w:rsidR="00AA2B18" w:rsidRDefault="00AA2B18" w:rsidP="00AA2B18">
      <w:pPr>
        <w:pStyle w:val="FootnoteText"/>
      </w:pPr>
      <w:r>
        <w:rPr>
          <w:rStyle w:val="FootnoteReference"/>
        </w:rPr>
        <w:footnoteRef/>
      </w:r>
      <w:r>
        <w:t xml:space="preserve"> </w:t>
      </w:r>
      <w:r w:rsidRPr="0012460A">
        <w:t>§ 689.01</w:t>
      </w:r>
      <w:r>
        <w:t>(1)</w:t>
      </w:r>
      <w:r w:rsidRPr="0012460A">
        <w:t>, Fla. Stat</w:t>
      </w:r>
      <w:r>
        <w:t xml:space="preserve"> (2019)</w:t>
      </w:r>
      <w:r w:rsidRPr="0012460A">
        <w:t>.</w:t>
      </w:r>
      <w:r>
        <w:t xml:space="preserve"> The statute also covers other interests in real property not relevant to the scope of this article. </w:t>
      </w:r>
    </w:p>
  </w:footnote>
  <w:footnote w:id="3">
    <w:p w:rsidR="00E32D17" w:rsidRDefault="00E32D17">
      <w:pPr>
        <w:pStyle w:val="FootnoteText"/>
      </w:pPr>
      <w:r w:rsidRPr="00121E87">
        <w:rPr>
          <w:rStyle w:val="FootnoteReference"/>
          <w:highlight w:val="yellow"/>
        </w:rPr>
        <w:footnoteRef/>
      </w:r>
      <w:r w:rsidRPr="00121E87">
        <w:rPr>
          <w:highlight w:val="yellow"/>
        </w:rPr>
        <w:t xml:space="preserve"> </w:t>
      </w:r>
      <w:r w:rsidR="00904BC3">
        <w:rPr>
          <w:highlight w:val="yellow"/>
        </w:rPr>
        <w:t>The statute says “…</w:t>
      </w:r>
      <w:r w:rsidR="00904BC3" w:rsidRPr="00904BC3">
        <w:rPr>
          <w:highlight w:val="yellow"/>
        </w:rPr>
        <w:t xml:space="preserve">by instrument in writing, signed in the presence of two subscribing witnesses </w:t>
      </w:r>
      <w:r w:rsidR="00904BC3" w:rsidRPr="00904BC3">
        <w:rPr>
          <w:b/>
          <w:highlight w:val="yellow"/>
        </w:rPr>
        <w:t>by the party creating</w:t>
      </w:r>
      <w:r w:rsidR="00904BC3" w:rsidRPr="00904BC3">
        <w:rPr>
          <w:highlight w:val="yellow"/>
        </w:rPr>
        <w:t xml:space="preserve"> …”</w:t>
      </w:r>
      <w:r w:rsidR="00904BC3">
        <w:rPr>
          <w:highlight w:val="yellow"/>
        </w:rPr>
        <w:t xml:space="preserve"> (emphasis added).</w:t>
      </w:r>
      <w:r w:rsidR="00904BC3">
        <w:t xml:space="preserve">  </w:t>
      </w:r>
      <w:r w:rsidR="003E6AE8" w:rsidRPr="00121E87">
        <w:rPr>
          <w:highlight w:val="yellow"/>
        </w:rPr>
        <w:t xml:space="preserve">Insert citation.  </w:t>
      </w:r>
      <w:r w:rsidR="00F02E01" w:rsidRPr="00121E87">
        <w:rPr>
          <w:highlight w:val="yellow"/>
        </w:rPr>
        <w:t xml:space="preserve">See Staff Report </w:t>
      </w:r>
      <w:r w:rsidR="00904BC3">
        <w:rPr>
          <w:highlight w:val="yellow"/>
        </w:rPr>
        <w:t xml:space="preserve">and Fund Title Notes </w:t>
      </w:r>
      <w:r w:rsidR="00F02E01" w:rsidRPr="00121E87">
        <w:rPr>
          <w:highlight w:val="yellow"/>
        </w:rPr>
        <w:t xml:space="preserve">for </w:t>
      </w:r>
      <w:r w:rsidR="00121E87" w:rsidRPr="00121E87">
        <w:rPr>
          <w:highlight w:val="yellow"/>
        </w:rPr>
        <w:t>ideas</w:t>
      </w:r>
      <w:r w:rsidR="00F02E01" w:rsidRPr="00121E87">
        <w:rPr>
          <w:highlight w:val="yellow"/>
        </w:rPr>
        <w:t>.</w:t>
      </w:r>
    </w:p>
  </w:footnote>
  <w:footnote w:id="4">
    <w:p w:rsidR="00A7013E" w:rsidRDefault="00A7013E">
      <w:pPr>
        <w:pStyle w:val="FootnoteText"/>
      </w:pPr>
      <w:r>
        <w:rPr>
          <w:rStyle w:val="FootnoteReference"/>
        </w:rPr>
        <w:footnoteRef/>
      </w:r>
      <w:r>
        <w:t xml:space="preserve"> </w:t>
      </w:r>
      <w:r w:rsidR="00064253">
        <w:t>H.B. 469, 2020 Leg., Reg. Sess. (Fla. 2020)</w:t>
      </w:r>
      <w:r w:rsidR="00BE6B31">
        <w:t>.</w:t>
      </w:r>
    </w:p>
  </w:footnote>
  <w:footnote w:id="5">
    <w:p w:rsidR="00B5350A" w:rsidRDefault="00B5350A">
      <w:pPr>
        <w:pStyle w:val="FootnoteText"/>
      </w:pPr>
      <w:r>
        <w:rPr>
          <w:rStyle w:val="FootnoteReference"/>
        </w:rPr>
        <w:footnoteRef/>
      </w:r>
      <w:r>
        <w:t xml:space="preserve"> </w:t>
      </w:r>
      <w:r w:rsidR="00184596">
        <w:t xml:space="preserve">George Sellet, et al., </w:t>
      </w:r>
      <w:r w:rsidR="00184596">
        <w:rPr>
          <w:i/>
        </w:rPr>
        <w:t xml:space="preserve">Archaic </w:t>
      </w:r>
      <w:r w:rsidR="00184596">
        <w:rPr>
          <w:i/>
          <w:iCs/>
        </w:rPr>
        <w:t>Methods of Validating a Contract: The “Blow” and the “Libation”</w:t>
      </w:r>
      <w:r w:rsidR="00184596">
        <w:t>, 21 Mich. L. Rev. 79, 80 (1922).</w:t>
      </w:r>
    </w:p>
  </w:footnote>
  <w:footnote w:id="6">
    <w:p w:rsidR="00B5350A" w:rsidRPr="00B5350A" w:rsidRDefault="00B5350A">
      <w:pPr>
        <w:pStyle w:val="FootnoteText"/>
        <w:rPr>
          <w:i/>
        </w:rPr>
      </w:pPr>
      <w:r>
        <w:rPr>
          <w:rStyle w:val="FootnoteReference"/>
        </w:rPr>
        <w:footnoteRef/>
      </w:r>
      <w:r>
        <w:t xml:space="preserve"> </w:t>
      </w:r>
      <w:r>
        <w:rPr>
          <w:i/>
        </w:rPr>
        <w:t xml:space="preserve">Id. </w:t>
      </w:r>
    </w:p>
  </w:footnote>
  <w:footnote w:id="7">
    <w:p w:rsidR="0014213A" w:rsidRPr="00361072" w:rsidRDefault="0014213A">
      <w:pPr>
        <w:pStyle w:val="FootnoteText"/>
      </w:pPr>
      <w:r>
        <w:rPr>
          <w:rStyle w:val="FootnoteReference"/>
        </w:rPr>
        <w:footnoteRef/>
      </w:r>
      <w:r>
        <w:t xml:space="preserve"> </w:t>
      </w:r>
      <w:r w:rsidR="00367D1D">
        <w:t xml:space="preserve">III William Searle Holdsworth, </w:t>
      </w:r>
      <w:r w:rsidR="00361072">
        <w:t xml:space="preserve">K.C., D.C. L., </w:t>
      </w:r>
      <w:r w:rsidR="00367D1D" w:rsidRPr="00AC4A65">
        <w:t>A History of English Law</w:t>
      </w:r>
      <w:r w:rsidR="00361072">
        <w:rPr>
          <w:i/>
        </w:rPr>
        <w:t xml:space="preserve"> </w:t>
      </w:r>
      <w:r w:rsidR="00361072">
        <w:t>231 (Little, Brown &amp; Co. 1923)</w:t>
      </w:r>
      <w:r w:rsidR="00AC4A65">
        <w:t>.</w:t>
      </w:r>
    </w:p>
  </w:footnote>
  <w:footnote w:id="8">
    <w:p w:rsidR="00CF1A06" w:rsidRPr="00986770" w:rsidRDefault="00CF1A06" w:rsidP="00CF1A06">
      <w:pPr>
        <w:pStyle w:val="FootnoteText"/>
      </w:pPr>
      <w:r>
        <w:rPr>
          <w:rStyle w:val="FootnoteReference"/>
        </w:rPr>
        <w:footnoteRef/>
      </w:r>
      <w:r>
        <w:t xml:space="preserve"> </w:t>
      </w:r>
      <w:r w:rsidR="00361072">
        <w:rPr>
          <w:i/>
        </w:rPr>
        <w:t>Id.</w:t>
      </w:r>
    </w:p>
  </w:footnote>
  <w:footnote w:id="9">
    <w:p w:rsidR="00986770" w:rsidRPr="00986770" w:rsidRDefault="00986770">
      <w:pPr>
        <w:pStyle w:val="FootnoteText"/>
      </w:pPr>
      <w:r>
        <w:rPr>
          <w:rStyle w:val="FootnoteReference"/>
        </w:rPr>
        <w:footnoteRef/>
      </w:r>
      <w:r>
        <w:t xml:space="preserve"> </w:t>
      </w:r>
      <w:r>
        <w:rPr>
          <w:i/>
        </w:rPr>
        <w:t>Id.</w:t>
      </w:r>
    </w:p>
  </w:footnote>
  <w:footnote w:id="10">
    <w:p w:rsidR="00986770" w:rsidRPr="00986770" w:rsidRDefault="00986770">
      <w:pPr>
        <w:pStyle w:val="FootnoteText"/>
        <w:rPr>
          <w:i/>
        </w:rPr>
      </w:pPr>
      <w:r>
        <w:rPr>
          <w:rStyle w:val="FootnoteReference"/>
        </w:rPr>
        <w:footnoteRef/>
      </w:r>
      <w:r>
        <w:t xml:space="preserve"> </w:t>
      </w:r>
      <w:r>
        <w:rPr>
          <w:i/>
        </w:rPr>
        <w:t>Id.</w:t>
      </w:r>
    </w:p>
  </w:footnote>
  <w:footnote w:id="11">
    <w:p w:rsidR="004159C5" w:rsidRPr="004159C5" w:rsidRDefault="004159C5">
      <w:pPr>
        <w:pStyle w:val="FootnoteText"/>
      </w:pPr>
      <w:r>
        <w:rPr>
          <w:rStyle w:val="FootnoteReference"/>
        </w:rPr>
        <w:footnoteRef/>
      </w:r>
      <w:r w:rsidR="00AC4A65">
        <w:t xml:space="preserve"> I Walter Ross,</w:t>
      </w:r>
      <w:r>
        <w:t xml:space="preserve"> </w:t>
      </w:r>
      <w:r w:rsidRPr="00AC4A65">
        <w:t>Lectures</w:t>
      </w:r>
      <w:r w:rsidR="00361072" w:rsidRPr="00AC4A65">
        <w:t xml:space="preserve"> on the History and Practice of the Law of Scotlan</w:t>
      </w:r>
      <w:r w:rsidR="00AC4A65" w:rsidRPr="00AC4A65">
        <w:t xml:space="preserve">d </w:t>
      </w:r>
      <w:r w:rsidR="00361072">
        <w:t>148</w:t>
      </w:r>
      <w:r w:rsidR="00AC4A65">
        <w:t xml:space="preserve"> (Bell &amp; Bradfute 1822).</w:t>
      </w:r>
    </w:p>
  </w:footnote>
  <w:footnote w:id="12">
    <w:p w:rsidR="002814B9" w:rsidRPr="007B3BE4" w:rsidRDefault="002814B9" w:rsidP="002814B9">
      <w:pPr>
        <w:pStyle w:val="FootnoteText"/>
      </w:pPr>
      <w:r>
        <w:rPr>
          <w:rStyle w:val="FootnoteReference"/>
        </w:rPr>
        <w:footnoteRef/>
      </w:r>
      <w:r>
        <w:t xml:space="preserve"> </w:t>
      </w:r>
      <w:r w:rsidR="00AC4A65" w:rsidRPr="00AC4A65">
        <w:rPr>
          <w:i/>
        </w:rPr>
        <w:t>See</w:t>
      </w:r>
      <w:r w:rsidR="00AC4A65" w:rsidRPr="00AC4A65">
        <w:t xml:space="preserve"> </w:t>
      </w:r>
      <w:r w:rsidR="00AC4A65">
        <w:t xml:space="preserve">IX Edward Thompson, The </w:t>
      </w:r>
      <w:r w:rsidR="00AC4A65" w:rsidRPr="00AC4A65">
        <w:t>American a</w:t>
      </w:r>
      <w:r w:rsidRPr="00AC4A65">
        <w:t>nd En</w:t>
      </w:r>
      <w:r w:rsidR="00AC4A65">
        <w:t>glish Encyclopedia of Law 148-50 (David S. Garland and Lucius P. McGehee, eds., Edward Thompson Co. 1898) (1888).</w:t>
      </w:r>
    </w:p>
  </w:footnote>
  <w:footnote w:id="13">
    <w:p w:rsidR="002814B9" w:rsidRPr="00BF34E9" w:rsidRDefault="002814B9" w:rsidP="002814B9">
      <w:pPr>
        <w:pStyle w:val="FootnoteText"/>
      </w:pPr>
      <w:r>
        <w:rPr>
          <w:rStyle w:val="FootnoteReference"/>
        </w:rPr>
        <w:footnoteRef/>
      </w:r>
      <w:r>
        <w:t xml:space="preserve"> </w:t>
      </w:r>
      <w:r w:rsidR="00BF34E9">
        <w:rPr>
          <w:i/>
        </w:rPr>
        <w:t xml:space="preserve">See </w:t>
      </w:r>
      <w:r w:rsidR="00AC4A65">
        <w:t>689.01(1); Act Nov. 15, 1828, § 1</w:t>
      </w:r>
      <w:r w:rsidR="00D33826">
        <w:t>.</w:t>
      </w:r>
    </w:p>
  </w:footnote>
  <w:footnote w:id="14">
    <w:p w:rsidR="002814B9" w:rsidRDefault="002814B9" w:rsidP="002814B9">
      <w:pPr>
        <w:pStyle w:val="FootnoteText"/>
      </w:pPr>
      <w:r>
        <w:rPr>
          <w:rStyle w:val="FootnoteReference"/>
        </w:rPr>
        <w:footnoteRef/>
      </w:r>
      <w:r>
        <w:t xml:space="preserve"> </w:t>
      </w:r>
      <w:r w:rsidR="000550FD">
        <w:t xml:space="preserve">James H. </w:t>
      </w:r>
      <w:r w:rsidR="00A318E4">
        <w:t xml:space="preserve">Baker, </w:t>
      </w:r>
      <w:r w:rsidRPr="00A318E4">
        <w:t>An Introduction to English Legal History</w:t>
      </w:r>
      <w:r w:rsidR="00A318E4">
        <w:t xml:space="preserve"> 319-22 (</w:t>
      </w:r>
      <w:r w:rsidRPr="00072161">
        <w:t>1979).</w:t>
      </w:r>
    </w:p>
  </w:footnote>
  <w:footnote w:id="15">
    <w:p w:rsidR="00AA34DE" w:rsidRPr="005B1E5B" w:rsidRDefault="00AA34DE">
      <w:pPr>
        <w:pStyle w:val="FootnoteText"/>
      </w:pPr>
      <w:r>
        <w:rPr>
          <w:rStyle w:val="FootnoteReference"/>
        </w:rPr>
        <w:footnoteRef/>
      </w:r>
      <w:r>
        <w:t xml:space="preserve"> </w:t>
      </w:r>
      <w:r w:rsidR="005B1E5B">
        <w:rPr>
          <w:i/>
        </w:rPr>
        <w:t xml:space="preserve">See, e.g., </w:t>
      </w:r>
      <w:r w:rsidR="005B1E5B">
        <w:t>Fla. Stat. 689.01(1) (applying to both deeds and leases).</w:t>
      </w:r>
    </w:p>
  </w:footnote>
  <w:footnote w:id="16">
    <w:p w:rsidR="00E57F05" w:rsidRDefault="00E57F05">
      <w:pPr>
        <w:pStyle w:val="FootnoteText"/>
      </w:pPr>
      <w:r w:rsidRPr="00E57F05">
        <w:rPr>
          <w:rStyle w:val="FootnoteReference"/>
          <w:highlight w:val="yellow"/>
        </w:rPr>
        <w:footnoteRef/>
      </w:r>
      <w:r w:rsidRPr="00E57F05">
        <w:rPr>
          <w:highlight w:val="yellow"/>
        </w:rPr>
        <w:t xml:space="preserve"> Insert citation.  See Staff Reports.</w:t>
      </w:r>
    </w:p>
  </w:footnote>
  <w:footnote w:id="17">
    <w:p w:rsidR="008F32D9" w:rsidRPr="008F32D9" w:rsidRDefault="008F32D9">
      <w:pPr>
        <w:pStyle w:val="FootnoteText"/>
      </w:pPr>
      <w:r>
        <w:rPr>
          <w:rStyle w:val="FootnoteReference"/>
        </w:rPr>
        <w:footnoteRef/>
      </w:r>
      <w:r>
        <w:t xml:space="preserve"> </w:t>
      </w:r>
      <w:r>
        <w:rPr>
          <w:i/>
        </w:rPr>
        <w:t>See, e.g., S&amp;I Invs.  v. Payless Flea Market, Inc.</w:t>
      </w:r>
      <w:r>
        <w:t>, 36 So. 3d 909 (Fla. 4th DCA 2010);</w:t>
      </w:r>
      <w:r>
        <w:rPr>
          <w:i/>
        </w:rPr>
        <w:t xml:space="preserve"> Bedrick v. Costilla</w:t>
      </w:r>
      <w:r>
        <w:t>, 97 So. 3d 316 (Fla. 2d DCA 2012).</w:t>
      </w:r>
    </w:p>
  </w:footnote>
  <w:footnote w:id="18">
    <w:p w:rsidR="00315224" w:rsidRPr="00315224" w:rsidRDefault="00315224">
      <w:pPr>
        <w:pStyle w:val="FootnoteText"/>
      </w:pPr>
      <w:r>
        <w:rPr>
          <w:rStyle w:val="FootnoteReference"/>
        </w:rPr>
        <w:footnoteRef/>
      </w:r>
      <w:r>
        <w:t xml:space="preserve"> </w:t>
      </w:r>
      <w:r>
        <w:rPr>
          <w:i/>
        </w:rPr>
        <w:t>E. Coast Lumber Co. v. Ellis-Young Co.</w:t>
      </w:r>
      <w:r w:rsidR="009A533B">
        <w:t xml:space="preserve">, 45 So. 826, 829 </w:t>
      </w:r>
      <w:r>
        <w:t>(</w:t>
      </w:r>
      <w:r w:rsidR="009E0FC5">
        <w:t xml:space="preserve">Fla. </w:t>
      </w:r>
      <w:r>
        <w:t>1908)</w:t>
      </w:r>
      <w:r w:rsidR="00F12198">
        <w:t>.</w:t>
      </w:r>
    </w:p>
  </w:footnote>
  <w:footnote w:id="19">
    <w:p w:rsidR="00F12198" w:rsidRDefault="00F12198">
      <w:pPr>
        <w:pStyle w:val="FootnoteText"/>
      </w:pPr>
      <w:r>
        <w:rPr>
          <w:rStyle w:val="FootnoteReference"/>
        </w:rPr>
        <w:footnoteRef/>
      </w:r>
      <w:r>
        <w:t xml:space="preserve"> </w:t>
      </w:r>
      <w:r>
        <w:rPr>
          <w:i/>
        </w:rPr>
        <w:t>Reed v. Moore</w:t>
      </w:r>
      <w:r>
        <w:t>, 109 So. 86</w:t>
      </w:r>
      <w:r w:rsidR="009A533B">
        <w:t>, 88-89</w:t>
      </w:r>
      <w:r>
        <w:t xml:space="preserve"> (Fla. 1926).</w:t>
      </w:r>
    </w:p>
  </w:footnote>
  <w:footnote w:id="20">
    <w:p w:rsidR="009205D3" w:rsidRPr="009205D3" w:rsidRDefault="009205D3">
      <w:pPr>
        <w:pStyle w:val="FootnoteText"/>
      </w:pPr>
      <w:r>
        <w:rPr>
          <w:rStyle w:val="FootnoteReference"/>
        </w:rPr>
        <w:footnoteRef/>
      </w:r>
      <w:r>
        <w:t xml:space="preserve"> </w:t>
      </w:r>
      <w:r>
        <w:rPr>
          <w:i/>
        </w:rPr>
        <w:t xml:space="preserve">Gill v. </w:t>
      </w:r>
      <w:r w:rsidRPr="00820874">
        <w:rPr>
          <w:i/>
        </w:rPr>
        <w:t>Livingston</w:t>
      </w:r>
      <w:r w:rsidRPr="00820874">
        <w:t xml:space="preserve">, 29 So. 2d 631 (Fla. 1947); </w:t>
      </w:r>
      <w:r w:rsidRPr="00820874">
        <w:rPr>
          <w:i/>
        </w:rPr>
        <w:t>In re Belize Airways Ltd. v. Aeroservice Int’l Inc.</w:t>
      </w:r>
      <w:r w:rsidR="006417CC" w:rsidRPr="00820874">
        <w:t xml:space="preserve">, 12 B.R. 387 (S.D. Fla. 1981); </w:t>
      </w:r>
      <w:r w:rsidR="006417CC" w:rsidRPr="00820874">
        <w:rPr>
          <w:i/>
        </w:rPr>
        <w:t>Skylake Ins. Agency, Inc. v. NMB Plaza, LLC</w:t>
      </w:r>
      <w:r w:rsidR="006417CC" w:rsidRPr="00820874">
        <w:t>, 23 So.3d 175 (Fla. 3d DCA 2009).</w:t>
      </w:r>
    </w:p>
  </w:footnote>
  <w:footnote w:id="21">
    <w:p w:rsidR="006417CC" w:rsidRPr="00797402" w:rsidRDefault="006417CC" w:rsidP="006417CC">
      <w:pPr>
        <w:pStyle w:val="FootnoteText"/>
      </w:pPr>
      <w:r>
        <w:rPr>
          <w:rStyle w:val="FootnoteReference"/>
        </w:rPr>
        <w:footnoteRef/>
      </w:r>
      <w:r w:rsidR="00797402">
        <w:t xml:space="preserve"> </w:t>
      </w:r>
      <w:r w:rsidR="00A53F9B" w:rsidRPr="00820874">
        <w:rPr>
          <w:i/>
        </w:rPr>
        <w:t>Bodden v. Carbonell</w:t>
      </w:r>
      <w:r w:rsidR="00A53F9B">
        <w:t xml:space="preserve">, </w:t>
      </w:r>
      <w:r>
        <w:t>354 So.2d 927 (Fla. 2</w:t>
      </w:r>
      <w:r w:rsidRPr="007E4B56">
        <w:rPr>
          <w:vertAlign w:val="superscript"/>
        </w:rPr>
        <w:t>nd</w:t>
      </w:r>
      <w:r w:rsidR="00797402">
        <w:t xml:space="preserve"> DCA 1978); </w:t>
      </w:r>
      <w:r w:rsidR="00252F5A">
        <w:rPr>
          <w:i/>
        </w:rPr>
        <w:t>Taylor v. Rosman</w:t>
      </w:r>
      <w:r w:rsidR="00252F5A">
        <w:t>, 312 So. 2d 239 (Fla. 3d DCA 1975);</w:t>
      </w:r>
      <w:r w:rsidR="00252F5A">
        <w:rPr>
          <w:i/>
        </w:rPr>
        <w:t xml:space="preserve"> Arvan</w:t>
      </w:r>
      <w:r w:rsidR="008F32D9">
        <w:rPr>
          <w:i/>
        </w:rPr>
        <w:t>e</w:t>
      </w:r>
      <w:r w:rsidR="00252F5A">
        <w:rPr>
          <w:i/>
        </w:rPr>
        <w:t>tes v. Gilbert</w:t>
      </w:r>
      <w:r w:rsidR="00252F5A">
        <w:t>, 143 So. 2d 825 (Fla. 3d DCA 1962);</w:t>
      </w:r>
      <w:r w:rsidR="00252F5A">
        <w:rPr>
          <w:i/>
        </w:rPr>
        <w:t xml:space="preserve"> </w:t>
      </w:r>
      <w:r w:rsidR="00797402">
        <w:rPr>
          <w:i/>
        </w:rPr>
        <w:t>Lipkin v. Bonita Garden Apts., Inc.</w:t>
      </w:r>
      <w:r w:rsidR="00797402">
        <w:t>, 122 So. 2d 623 (Fla. 3d DCA 1960).</w:t>
      </w:r>
    </w:p>
  </w:footnote>
  <w:footnote w:id="22">
    <w:p w:rsidR="009E0FC5" w:rsidRPr="009E0FC5" w:rsidRDefault="009E0FC5">
      <w:pPr>
        <w:pStyle w:val="FootnoteText"/>
      </w:pPr>
      <w:r>
        <w:rPr>
          <w:rStyle w:val="FootnoteReference"/>
        </w:rPr>
        <w:footnoteRef/>
      </w:r>
      <w:r>
        <w:t xml:space="preserve"> </w:t>
      </w:r>
      <w:r>
        <w:rPr>
          <w:i/>
        </w:rPr>
        <w:t>Medina v. Orange Cty.</w:t>
      </w:r>
      <w:r>
        <w:t>, 147 So. 2d 556 (Fla. 2d DCA 1962).</w:t>
      </w:r>
    </w:p>
  </w:footnote>
  <w:footnote w:id="23">
    <w:p w:rsidR="00E25810" w:rsidRPr="00797402" w:rsidRDefault="00E25810">
      <w:pPr>
        <w:pStyle w:val="FootnoteText"/>
      </w:pPr>
      <w:r>
        <w:rPr>
          <w:rStyle w:val="FootnoteReference"/>
        </w:rPr>
        <w:footnoteRef/>
      </w:r>
      <w:r>
        <w:t xml:space="preserve"> </w:t>
      </w:r>
      <w:r w:rsidRPr="00820874">
        <w:rPr>
          <w:i/>
        </w:rPr>
        <w:t>See e.g., Skylake</w:t>
      </w:r>
      <w:r>
        <w:t xml:space="preserve">, </w:t>
      </w:r>
      <w:r w:rsidR="00820874">
        <w:t>23 So.3d 175</w:t>
      </w:r>
      <w:r>
        <w:t xml:space="preserve">; </w:t>
      </w:r>
      <w:r w:rsidR="00E0747E" w:rsidRPr="00820874">
        <w:rPr>
          <w:i/>
        </w:rPr>
        <w:t>Bodden</w:t>
      </w:r>
      <w:r w:rsidR="00E0747E">
        <w:t xml:space="preserve">, </w:t>
      </w:r>
      <w:r w:rsidR="00797402">
        <w:t xml:space="preserve">354 So.2d 927; </w:t>
      </w:r>
      <w:r w:rsidR="00797402">
        <w:rPr>
          <w:i/>
        </w:rPr>
        <w:t>Lipkin</w:t>
      </w:r>
      <w:r w:rsidR="00797402">
        <w:t>, 122 So. 2d 623.</w:t>
      </w:r>
    </w:p>
  </w:footnote>
  <w:footnote w:id="24">
    <w:p w:rsidR="00DB2BE8" w:rsidRPr="0018724C" w:rsidRDefault="00DB2BE8">
      <w:pPr>
        <w:pStyle w:val="FootnoteText"/>
      </w:pPr>
      <w:r>
        <w:rPr>
          <w:rStyle w:val="FootnoteReference"/>
        </w:rPr>
        <w:footnoteRef/>
      </w:r>
      <w:r>
        <w:t xml:space="preserve"> </w:t>
      </w:r>
      <w:r w:rsidR="0018724C">
        <w:rPr>
          <w:i/>
        </w:rPr>
        <w:t xml:space="preserve">See </w:t>
      </w:r>
      <w:r w:rsidR="008801F8">
        <w:rPr>
          <w:i/>
        </w:rPr>
        <w:t>Reed</w:t>
      </w:r>
      <w:r w:rsidR="008801F8">
        <w:t>, 109 So. 86;</w:t>
      </w:r>
      <w:r w:rsidR="008801F8">
        <w:rPr>
          <w:i/>
        </w:rPr>
        <w:t xml:space="preserve"> </w:t>
      </w:r>
      <w:r w:rsidR="0018724C">
        <w:rPr>
          <w:i/>
        </w:rPr>
        <w:t>Gill</w:t>
      </w:r>
      <w:r w:rsidR="0018724C">
        <w:t xml:space="preserve">, 29 So. 2d 631; </w:t>
      </w:r>
      <w:r w:rsidR="0018724C">
        <w:rPr>
          <w:i/>
        </w:rPr>
        <w:t>Belize Airways</w:t>
      </w:r>
      <w:r w:rsidR="0018724C">
        <w:t xml:space="preserve">, 12 B.R. 387, </w:t>
      </w:r>
      <w:r w:rsidR="0018724C">
        <w:rPr>
          <w:i/>
        </w:rPr>
        <w:t>Medina</w:t>
      </w:r>
      <w:r w:rsidR="0018724C">
        <w:t>, 147 So. 2d 556.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55" w:rsidRDefault="003B1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55" w:rsidRDefault="003B1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55" w:rsidRDefault="003B1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401F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5EAAE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36BD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82D8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4A5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161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0225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A203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1E35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B221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40E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CE1C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3D09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0573B"/>
    <w:multiLevelType w:val="hybridMultilevel"/>
    <w:tmpl w:val="7A8C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C7E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2A3D9E"/>
    <w:multiLevelType w:val="multilevel"/>
    <w:tmpl w:val="2C36A1F8"/>
    <w:lvl w:ilvl="0">
      <w:start w:val="1"/>
      <w:numFmt w:val="decimal"/>
      <w:pStyle w:val="Contents1"/>
      <w:lvlText w:val="%1"/>
      <w:lvlJc w:val="left"/>
      <w:pPr>
        <w:tabs>
          <w:tab w:val="num" w:pos="1134"/>
        </w:tabs>
        <w:ind w:left="1134" w:hanging="1134"/>
      </w:pPr>
      <w:rPr>
        <w:rFonts w:ascii="Arial" w:hAnsi="Arial" w:hint="default"/>
      </w:rPr>
    </w:lvl>
    <w:lvl w:ilvl="1">
      <w:start w:val="1"/>
      <w:numFmt w:val="decimal"/>
      <w:pStyle w:val="Contents2"/>
      <w:lvlText w:val="%1.%2"/>
      <w:lvlJc w:val="left"/>
      <w:pPr>
        <w:tabs>
          <w:tab w:val="num" w:pos="2268"/>
        </w:tabs>
        <w:ind w:left="2268" w:hanging="1134"/>
      </w:pPr>
      <w:rPr>
        <w:rFonts w:ascii="Arial" w:hAnsi="Arial" w:hint="default"/>
      </w:rPr>
    </w:lvl>
    <w:lvl w:ilvl="2">
      <w:start w:val="1"/>
      <w:numFmt w:val="decimal"/>
      <w:lvlText w:val="%1.%2.%3"/>
      <w:lvlJc w:val="left"/>
      <w:pPr>
        <w:tabs>
          <w:tab w:val="num" w:pos="0"/>
        </w:tabs>
        <w:ind w:left="3402" w:hanging="1134"/>
      </w:pPr>
      <w:rPr>
        <w:rFonts w:ascii="Times New Roman" w:hAnsi="Times New Roman" w:hint="default"/>
      </w:rPr>
    </w:lvl>
    <w:lvl w:ilvl="3">
      <w:start w:val="1"/>
      <w:numFmt w:val="decimal"/>
      <w:lvlText w:val="%1.%2.%3.%4"/>
      <w:lvlJc w:val="left"/>
      <w:pPr>
        <w:tabs>
          <w:tab w:val="num" w:pos="0"/>
        </w:tabs>
        <w:ind w:left="4536" w:hanging="1134"/>
      </w:pPr>
      <w:rPr>
        <w:rFonts w:ascii="Times New Roman" w:hAnsi="Times New Roman" w:hint="default"/>
      </w:rPr>
    </w:lvl>
    <w:lvl w:ilvl="4">
      <w:start w:val="1"/>
      <w:numFmt w:val="decimal"/>
      <w:lvlText w:val="%1.%2.%3.%4.%5"/>
      <w:lvlJc w:val="left"/>
      <w:pPr>
        <w:tabs>
          <w:tab w:val="num" w:pos="0"/>
        </w:tabs>
        <w:ind w:left="5670" w:hanging="1134"/>
      </w:pPr>
      <w:rPr>
        <w:rFonts w:ascii="Times New Roman" w:hAnsi="Times New Roman" w:hint="default"/>
      </w:rPr>
    </w:lvl>
    <w:lvl w:ilvl="5">
      <w:start w:val="1"/>
      <w:numFmt w:val="decimal"/>
      <w:lvlText w:val="%1.%2.%3.%4.%5.%6"/>
      <w:lvlJc w:val="left"/>
      <w:pPr>
        <w:tabs>
          <w:tab w:val="num" w:pos="0"/>
        </w:tabs>
        <w:ind w:left="6804" w:hanging="1134"/>
      </w:pPr>
      <w:rPr>
        <w:rFonts w:ascii="Times New Roman" w:hAnsi="Times New Roman" w:hint="default"/>
      </w:rPr>
    </w:lvl>
    <w:lvl w:ilvl="6">
      <w:start w:val="1"/>
      <w:numFmt w:val="decimal"/>
      <w:lvlText w:val="%1.%2.%3.%4.%5.%6.%7"/>
      <w:lvlJc w:val="left"/>
      <w:pPr>
        <w:tabs>
          <w:tab w:val="num" w:pos="0"/>
        </w:tabs>
        <w:ind w:left="7938" w:hanging="1134"/>
      </w:pPr>
      <w:rPr>
        <w:rFonts w:ascii="Times New Roman" w:hAnsi="Times New Roman" w:hint="default"/>
      </w:rPr>
    </w:lvl>
    <w:lvl w:ilvl="7">
      <w:start w:val="1"/>
      <w:numFmt w:val="decimal"/>
      <w:lvlText w:val="%1.%2.%3.%4.%5.%6.%7.%8"/>
      <w:lvlJc w:val="left"/>
      <w:pPr>
        <w:tabs>
          <w:tab w:val="num" w:pos="0"/>
        </w:tabs>
        <w:ind w:left="9072" w:hanging="1134"/>
      </w:pPr>
      <w:rPr>
        <w:rFonts w:ascii="Times New Roman" w:hAnsi="Times New Roman" w:hint="default"/>
      </w:rPr>
    </w:lvl>
    <w:lvl w:ilvl="8">
      <w:start w:val="1"/>
      <w:numFmt w:val="decimal"/>
      <w:lvlText w:val="%1.%2.%3.%4.%5.%6.%7.%8.%9"/>
      <w:lvlJc w:val="left"/>
      <w:pPr>
        <w:tabs>
          <w:tab w:val="num" w:pos="0"/>
        </w:tabs>
        <w:ind w:left="10206" w:hanging="1134"/>
      </w:pPr>
      <w:rPr>
        <w:rFonts w:ascii="Times New Roman" w:hAnsi="Times New Roman" w:hint="default"/>
      </w:rPr>
    </w:lvl>
  </w:abstractNum>
  <w:abstractNum w:abstractNumId="16" w15:restartNumberingAfterBreak="0">
    <w:nsid w:val="447034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6"/>
  </w:num>
  <w:num w:numId="13">
    <w:abstractNumId w:val="10"/>
  </w:num>
  <w:num w:numId="14">
    <w:abstractNumId w:val="11"/>
  </w:num>
  <w:num w:numId="15">
    <w:abstractNumId w:val="12"/>
  </w:num>
  <w:num w:numId="16">
    <w:abstractNumId w:val="14"/>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85TrailerType" w:val="100"/>
    <w:docVar w:name="DocStamp_1_OptionalControlValues" w:val="ClientMatter|&amp;Client/Matter|0|%cm"/>
    <w:docVar w:name="ForteTempFile" w:val="C:\Users\koparaeke\AppData\Local\Temp\d1bddd97-0615-4a6c-9dbc-9d055c0a6965.docx"/>
    <w:docVar w:name="MPDocID" w:val="C:\Users\ajm\appdata\local\temp\netright\quickview\10320599_1_(WPBDOCS)_Art Menor Witness Article.DOCX"/>
    <w:docVar w:name="MPDocIDTemplate" w:val="%l |%n |%v"/>
    <w:docVar w:name="MPDocIDTemplateDefault" w:val="%l |%n |%v| %c.%m"/>
    <w:docVar w:name="NewDocStampType" w:val="1"/>
    <w:docVar w:name="zzmp10LastTrailerInserted" w:val="^`~#mp!@&lt;[b#⌐┝┭3==}Ŝm4m9a9p±iÙ⌆pÛũ⌍ũ⌕ſ⌗⌏Ò⌗!:⌗®⌏2⌗ª⌗7⌏N⌗@‱⌗r⌏.⌗L!å₭µ%‡Pk©éF⌑u^‹A⌠²yÞ‧P1m;åk^⌆k⌠⌄þÌMz⌏bšÁ⌌V°⌍V®é6ÜÅÂ N_⌠Z*Ŕ*₵Â⌔q‚HY/!ñ(L©a°U!œ©5⌐⁂)3⌋⌃Õ}.âb;P&gt;9`Z011"/>
    <w:docVar w:name="zzmp10LastTrailerInserted_1078" w:val="^`~#mp!@&lt;[b#⌐┝┭3==}Ŝm4m9a9p±iÙ⌆pÛũ⌍ũ⌕ſ⌗⌏Ò⌗!:⌗®⌏2⌗ª⌗7⌏N⌗@‱⌗r⌏.⌗L!å₭µ%‡Pk©éF⌑u^‹A⌠²yÞ‧P1m;åk^⌆k⌠⌄þÌMz⌏bšÁ⌌V°⌍V®é6ÜÅÂ N_⌠Z*Ŕ*₵Â⌔q‚HY/!ñ(L©a°U!œ©5⌐⁂)3⌋⌃Õ}.âb;P&gt;9`Z011"/>
    <w:docVar w:name="zzmp10mSEGsValidated" w:val="1"/>
    <w:docVar w:name="zzmpCompatibilityMode" w:val="14"/>
  </w:docVars>
  <w:rsids>
    <w:rsidRoot w:val="000B62AC"/>
    <w:rsid w:val="00000106"/>
    <w:rsid w:val="00000259"/>
    <w:rsid w:val="00013DA0"/>
    <w:rsid w:val="00020F60"/>
    <w:rsid w:val="00026BD6"/>
    <w:rsid w:val="00043690"/>
    <w:rsid w:val="000469A0"/>
    <w:rsid w:val="00054D50"/>
    <w:rsid w:val="000550FD"/>
    <w:rsid w:val="00055BC9"/>
    <w:rsid w:val="000635AF"/>
    <w:rsid w:val="00064253"/>
    <w:rsid w:val="000806B7"/>
    <w:rsid w:val="000837F5"/>
    <w:rsid w:val="000865A1"/>
    <w:rsid w:val="000A5580"/>
    <w:rsid w:val="000B62AC"/>
    <w:rsid w:val="000B6D8E"/>
    <w:rsid w:val="000C4EE2"/>
    <w:rsid w:val="000D1F02"/>
    <w:rsid w:val="000D66EE"/>
    <w:rsid w:val="000E6442"/>
    <w:rsid w:val="000F2C43"/>
    <w:rsid w:val="00102DD3"/>
    <w:rsid w:val="00103AE3"/>
    <w:rsid w:val="001143D5"/>
    <w:rsid w:val="00114BB6"/>
    <w:rsid w:val="00116A79"/>
    <w:rsid w:val="00117BE3"/>
    <w:rsid w:val="00121E87"/>
    <w:rsid w:val="0012460A"/>
    <w:rsid w:val="00131F8D"/>
    <w:rsid w:val="001322AB"/>
    <w:rsid w:val="0014213A"/>
    <w:rsid w:val="00143C8C"/>
    <w:rsid w:val="00162930"/>
    <w:rsid w:val="00162F69"/>
    <w:rsid w:val="001654D4"/>
    <w:rsid w:val="001656EB"/>
    <w:rsid w:val="0016597B"/>
    <w:rsid w:val="00173153"/>
    <w:rsid w:val="00175B77"/>
    <w:rsid w:val="00176B79"/>
    <w:rsid w:val="0018071E"/>
    <w:rsid w:val="001819E6"/>
    <w:rsid w:val="00181B97"/>
    <w:rsid w:val="0018299E"/>
    <w:rsid w:val="0018442B"/>
    <w:rsid w:val="00184596"/>
    <w:rsid w:val="0018724C"/>
    <w:rsid w:val="00190CDC"/>
    <w:rsid w:val="001912E3"/>
    <w:rsid w:val="001959C8"/>
    <w:rsid w:val="001A46EE"/>
    <w:rsid w:val="001B0E58"/>
    <w:rsid w:val="001B6DC0"/>
    <w:rsid w:val="001C3537"/>
    <w:rsid w:val="001C5B6F"/>
    <w:rsid w:val="001C62BE"/>
    <w:rsid w:val="001D7C37"/>
    <w:rsid w:val="001E4AA9"/>
    <w:rsid w:val="001F2F8A"/>
    <w:rsid w:val="00200274"/>
    <w:rsid w:val="00202E84"/>
    <w:rsid w:val="002046EF"/>
    <w:rsid w:val="002329D2"/>
    <w:rsid w:val="002334E1"/>
    <w:rsid w:val="00234383"/>
    <w:rsid w:val="00241664"/>
    <w:rsid w:val="00245C4E"/>
    <w:rsid w:val="002468F0"/>
    <w:rsid w:val="00250C75"/>
    <w:rsid w:val="00252F5A"/>
    <w:rsid w:val="002606B8"/>
    <w:rsid w:val="00262432"/>
    <w:rsid w:val="00276917"/>
    <w:rsid w:val="002814B9"/>
    <w:rsid w:val="002854A2"/>
    <w:rsid w:val="00286125"/>
    <w:rsid w:val="002870B2"/>
    <w:rsid w:val="00290BA1"/>
    <w:rsid w:val="00295F92"/>
    <w:rsid w:val="002A1730"/>
    <w:rsid w:val="002A1F81"/>
    <w:rsid w:val="002A3252"/>
    <w:rsid w:val="002A7142"/>
    <w:rsid w:val="002B32B4"/>
    <w:rsid w:val="002B5BF8"/>
    <w:rsid w:val="002B607B"/>
    <w:rsid w:val="002E0872"/>
    <w:rsid w:val="002E1BD3"/>
    <w:rsid w:val="002E7EE3"/>
    <w:rsid w:val="002F6D11"/>
    <w:rsid w:val="003029D2"/>
    <w:rsid w:val="00302C32"/>
    <w:rsid w:val="0030599D"/>
    <w:rsid w:val="00313997"/>
    <w:rsid w:val="00315224"/>
    <w:rsid w:val="00320408"/>
    <w:rsid w:val="003268A0"/>
    <w:rsid w:val="00327389"/>
    <w:rsid w:val="003279C3"/>
    <w:rsid w:val="00331DEA"/>
    <w:rsid w:val="00332D39"/>
    <w:rsid w:val="00343950"/>
    <w:rsid w:val="00346486"/>
    <w:rsid w:val="003475A6"/>
    <w:rsid w:val="00347A35"/>
    <w:rsid w:val="00361072"/>
    <w:rsid w:val="00362E9F"/>
    <w:rsid w:val="00367D1D"/>
    <w:rsid w:val="0037718D"/>
    <w:rsid w:val="00384F08"/>
    <w:rsid w:val="00385137"/>
    <w:rsid w:val="003855AF"/>
    <w:rsid w:val="003867FE"/>
    <w:rsid w:val="00387158"/>
    <w:rsid w:val="003926D9"/>
    <w:rsid w:val="003A7C47"/>
    <w:rsid w:val="003B1F55"/>
    <w:rsid w:val="003B3AE9"/>
    <w:rsid w:val="003C0AF4"/>
    <w:rsid w:val="003C5253"/>
    <w:rsid w:val="003D0FE2"/>
    <w:rsid w:val="003D6052"/>
    <w:rsid w:val="003D6EAD"/>
    <w:rsid w:val="003E6AE8"/>
    <w:rsid w:val="0040115A"/>
    <w:rsid w:val="00402F90"/>
    <w:rsid w:val="004053B8"/>
    <w:rsid w:val="004073B4"/>
    <w:rsid w:val="00407DED"/>
    <w:rsid w:val="00414149"/>
    <w:rsid w:val="004143FD"/>
    <w:rsid w:val="004159C5"/>
    <w:rsid w:val="0044711C"/>
    <w:rsid w:val="00452793"/>
    <w:rsid w:val="004530FB"/>
    <w:rsid w:val="004561BE"/>
    <w:rsid w:val="0045623C"/>
    <w:rsid w:val="0046459A"/>
    <w:rsid w:val="00465FDD"/>
    <w:rsid w:val="004736AE"/>
    <w:rsid w:val="00481123"/>
    <w:rsid w:val="004930B0"/>
    <w:rsid w:val="00493862"/>
    <w:rsid w:val="00496B04"/>
    <w:rsid w:val="004A0613"/>
    <w:rsid w:val="004B2D9B"/>
    <w:rsid w:val="004B7E2D"/>
    <w:rsid w:val="004C2DF8"/>
    <w:rsid w:val="004C4DCB"/>
    <w:rsid w:val="004C651E"/>
    <w:rsid w:val="004C6E86"/>
    <w:rsid w:val="004D1798"/>
    <w:rsid w:val="004D261B"/>
    <w:rsid w:val="004D563B"/>
    <w:rsid w:val="004E4FF7"/>
    <w:rsid w:val="004E63F4"/>
    <w:rsid w:val="004F1383"/>
    <w:rsid w:val="004F2E37"/>
    <w:rsid w:val="004F3DFD"/>
    <w:rsid w:val="00500B2A"/>
    <w:rsid w:val="00501EB8"/>
    <w:rsid w:val="00502EF8"/>
    <w:rsid w:val="00512F22"/>
    <w:rsid w:val="005147B8"/>
    <w:rsid w:val="00516A31"/>
    <w:rsid w:val="0052181D"/>
    <w:rsid w:val="00522FB3"/>
    <w:rsid w:val="00525BDF"/>
    <w:rsid w:val="00531415"/>
    <w:rsid w:val="005366FD"/>
    <w:rsid w:val="0054096A"/>
    <w:rsid w:val="00541CC1"/>
    <w:rsid w:val="005435B6"/>
    <w:rsid w:val="00546213"/>
    <w:rsid w:val="00547D5E"/>
    <w:rsid w:val="005670C2"/>
    <w:rsid w:val="0057575A"/>
    <w:rsid w:val="00580955"/>
    <w:rsid w:val="005809B3"/>
    <w:rsid w:val="00581551"/>
    <w:rsid w:val="005B1E5B"/>
    <w:rsid w:val="005B2AEC"/>
    <w:rsid w:val="005B3A8F"/>
    <w:rsid w:val="005C1759"/>
    <w:rsid w:val="005C5D74"/>
    <w:rsid w:val="005C653C"/>
    <w:rsid w:val="005C6997"/>
    <w:rsid w:val="005D1FE0"/>
    <w:rsid w:val="005D3248"/>
    <w:rsid w:val="005F79F1"/>
    <w:rsid w:val="00600542"/>
    <w:rsid w:val="00600782"/>
    <w:rsid w:val="006049AD"/>
    <w:rsid w:val="00607F0C"/>
    <w:rsid w:val="006125E0"/>
    <w:rsid w:val="00613776"/>
    <w:rsid w:val="00613B37"/>
    <w:rsid w:val="0064011D"/>
    <w:rsid w:val="006417CC"/>
    <w:rsid w:val="006443F7"/>
    <w:rsid w:val="006822EF"/>
    <w:rsid w:val="006878BE"/>
    <w:rsid w:val="006905EF"/>
    <w:rsid w:val="006909C7"/>
    <w:rsid w:val="00693103"/>
    <w:rsid w:val="006946C0"/>
    <w:rsid w:val="00697514"/>
    <w:rsid w:val="006A56A1"/>
    <w:rsid w:val="006A7088"/>
    <w:rsid w:val="006B0B02"/>
    <w:rsid w:val="006B2A69"/>
    <w:rsid w:val="006B2DEB"/>
    <w:rsid w:val="006D3229"/>
    <w:rsid w:val="006D32F0"/>
    <w:rsid w:val="006E0299"/>
    <w:rsid w:val="006E2EFC"/>
    <w:rsid w:val="006E6296"/>
    <w:rsid w:val="006F1C45"/>
    <w:rsid w:val="006F58EA"/>
    <w:rsid w:val="006F6828"/>
    <w:rsid w:val="006F73A7"/>
    <w:rsid w:val="00701D57"/>
    <w:rsid w:val="007043AC"/>
    <w:rsid w:val="00712C2D"/>
    <w:rsid w:val="0072323D"/>
    <w:rsid w:val="007248CD"/>
    <w:rsid w:val="0073275C"/>
    <w:rsid w:val="00732F3C"/>
    <w:rsid w:val="00733501"/>
    <w:rsid w:val="007354A2"/>
    <w:rsid w:val="0074134B"/>
    <w:rsid w:val="00744217"/>
    <w:rsid w:val="00754A7B"/>
    <w:rsid w:val="00754C8E"/>
    <w:rsid w:val="0075615B"/>
    <w:rsid w:val="0075674A"/>
    <w:rsid w:val="00760DC9"/>
    <w:rsid w:val="0076513F"/>
    <w:rsid w:val="007725C4"/>
    <w:rsid w:val="00773A5B"/>
    <w:rsid w:val="00774E15"/>
    <w:rsid w:val="00783B34"/>
    <w:rsid w:val="00783E07"/>
    <w:rsid w:val="00790874"/>
    <w:rsid w:val="0079194C"/>
    <w:rsid w:val="007930BB"/>
    <w:rsid w:val="00793DA1"/>
    <w:rsid w:val="00797402"/>
    <w:rsid w:val="007A44EE"/>
    <w:rsid w:val="007B3BE4"/>
    <w:rsid w:val="007C0A91"/>
    <w:rsid w:val="007C2B12"/>
    <w:rsid w:val="007C30CC"/>
    <w:rsid w:val="007C5480"/>
    <w:rsid w:val="007D7906"/>
    <w:rsid w:val="007E4B56"/>
    <w:rsid w:val="007E61FF"/>
    <w:rsid w:val="007F37E8"/>
    <w:rsid w:val="007F3A74"/>
    <w:rsid w:val="008128EB"/>
    <w:rsid w:val="0081465B"/>
    <w:rsid w:val="00814A41"/>
    <w:rsid w:val="00815005"/>
    <w:rsid w:val="00816DE9"/>
    <w:rsid w:val="008207CB"/>
    <w:rsid w:val="00820874"/>
    <w:rsid w:val="0083097A"/>
    <w:rsid w:val="00836563"/>
    <w:rsid w:val="008565EC"/>
    <w:rsid w:val="00861B1E"/>
    <w:rsid w:val="00863EA0"/>
    <w:rsid w:val="00873F38"/>
    <w:rsid w:val="008801F8"/>
    <w:rsid w:val="00880EB1"/>
    <w:rsid w:val="00883D78"/>
    <w:rsid w:val="008901F6"/>
    <w:rsid w:val="008902BB"/>
    <w:rsid w:val="00893AFB"/>
    <w:rsid w:val="0089518F"/>
    <w:rsid w:val="008977B5"/>
    <w:rsid w:val="008A12F8"/>
    <w:rsid w:val="008B04DB"/>
    <w:rsid w:val="008E5BC9"/>
    <w:rsid w:val="008E740F"/>
    <w:rsid w:val="008F1AC5"/>
    <w:rsid w:val="008F32D9"/>
    <w:rsid w:val="00902B9E"/>
    <w:rsid w:val="00904BC3"/>
    <w:rsid w:val="00907553"/>
    <w:rsid w:val="009205D3"/>
    <w:rsid w:val="009219CB"/>
    <w:rsid w:val="00927057"/>
    <w:rsid w:val="009272DC"/>
    <w:rsid w:val="00934CC5"/>
    <w:rsid w:val="00944CF2"/>
    <w:rsid w:val="009464D1"/>
    <w:rsid w:val="009519D9"/>
    <w:rsid w:val="00962A9D"/>
    <w:rsid w:val="00980713"/>
    <w:rsid w:val="00981492"/>
    <w:rsid w:val="00984553"/>
    <w:rsid w:val="00986770"/>
    <w:rsid w:val="009915A6"/>
    <w:rsid w:val="00993732"/>
    <w:rsid w:val="009A13FB"/>
    <w:rsid w:val="009A1444"/>
    <w:rsid w:val="009A4760"/>
    <w:rsid w:val="009A533B"/>
    <w:rsid w:val="009A65E1"/>
    <w:rsid w:val="009B1239"/>
    <w:rsid w:val="009C0E7F"/>
    <w:rsid w:val="009E0FC5"/>
    <w:rsid w:val="009E2035"/>
    <w:rsid w:val="009E43DF"/>
    <w:rsid w:val="009F1E81"/>
    <w:rsid w:val="009F4B19"/>
    <w:rsid w:val="009F6214"/>
    <w:rsid w:val="009F637F"/>
    <w:rsid w:val="00A01B8C"/>
    <w:rsid w:val="00A02CCC"/>
    <w:rsid w:val="00A05A8E"/>
    <w:rsid w:val="00A23B89"/>
    <w:rsid w:val="00A24D03"/>
    <w:rsid w:val="00A27ADC"/>
    <w:rsid w:val="00A318E4"/>
    <w:rsid w:val="00A32B12"/>
    <w:rsid w:val="00A3425E"/>
    <w:rsid w:val="00A40CED"/>
    <w:rsid w:val="00A4409E"/>
    <w:rsid w:val="00A512D5"/>
    <w:rsid w:val="00A53F9B"/>
    <w:rsid w:val="00A543AC"/>
    <w:rsid w:val="00A65F6D"/>
    <w:rsid w:val="00A7013E"/>
    <w:rsid w:val="00A834A8"/>
    <w:rsid w:val="00A97816"/>
    <w:rsid w:val="00AA2B18"/>
    <w:rsid w:val="00AA3385"/>
    <w:rsid w:val="00AA34DE"/>
    <w:rsid w:val="00AB5717"/>
    <w:rsid w:val="00AC4A65"/>
    <w:rsid w:val="00AC565C"/>
    <w:rsid w:val="00AC5979"/>
    <w:rsid w:val="00AD5587"/>
    <w:rsid w:val="00AD55BC"/>
    <w:rsid w:val="00AE4A21"/>
    <w:rsid w:val="00AE6B98"/>
    <w:rsid w:val="00AF04ED"/>
    <w:rsid w:val="00AF0ADD"/>
    <w:rsid w:val="00AF4F67"/>
    <w:rsid w:val="00B068D0"/>
    <w:rsid w:val="00B06DB5"/>
    <w:rsid w:val="00B0731D"/>
    <w:rsid w:val="00B136D0"/>
    <w:rsid w:val="00B1642C"/>
    <w:rsid w:val="00B21E5A"/>
    <w:rsid w:val="00B23487"/>
    <w:rsid w:val="00B26052"/>
    <w:rsid w:val="00B302FC"/>
    <w:rsid w:val="00B41FC3"/>
    <w:rsid w:val="00B5350A"/>
    <w:rsid w:val="00B548F3"/>
    <w:rsid w:val="00B5610E"/>
    <w:rsid w:val="00B744E3"/>
    <w:rsid w:val="00B7499E"/>
    <w:rsid w:val="00B752D7"/>
    <w:rsid w:val="00B80820"/>
    <w:rsid w:val="00B83A5F"/>
    <w:rsid w:val="00B84C41"/>
    <w:rsid w:val="00B85D6A"/>
    <w:rsid w:val="00BA0E7C"/>
    <w:rsid w:val="00BB0FE2"/>
    <w:rsid w:val="00BB33B6"/>
    <w:rsid w:val="00BB356B"/>
    <w:rsid w:val="00BC61A5"/>
    <w:rsid w:val="00BD2075"/>
    <w:rsid w:val="00BD6385"/>
    <w:rsid w:val="00BE6B31"/>
    <w:rsid w:val="00BE7270"/>
    <w:rsid w:val="00BE73F0"/>
    <w:rsid w:val="00BF0218"/>
    <w:rsid w:val="00BF34E9"/>
    <w:rsid w:val="00BF726C"/>
    <w:rsid w:val="00C00912"/>
    <w:rsid w:val="00C04708"/>
    <w:rsid w:val="00C05816"/>
    <w:rsid w:val="00C1202B"/>
    <w:rsid w:val="00C16E5E"/>
    <w:rsid w:val="00C20369"/>
    <w:rsid w:val="00C223E2"/>
    <w:rsid w:val="00C22871"/>
    <w:rsid w:val="00C33492"/>
    <w:rsid w:val="00C3646F"/>
    <w:rsid w:val="00C56DF7"/>
    <w:rsid w:val="00C61BD2"/>
    <w:rsid w:val="00C64144"/>
    <w:rsid w:val="00C673D4"/>
    <w:rsid w:val="00C72EE4"/>
    <w:rsid w:val="00C73BA1"/>
    <w:rsid w:val="00C745C9"/>
    <w:rsid w:val="00C843D4"/>
    <w:rsid w:val="00C85A1C"/>
    <w:rsid w:val="00C868A5"/>
    <w:rsid w:val="00C8696F"/>
    <w:rsid w:val="00C87CB0"/>
    <w:rsid w:val="00C925A5"/>
    <w:rsid w:val="00C92B9B"/>
    <w:rsid w:val="00CA17B1"/>
    <w:rsid w:val="00CA57B4"/>
    <w:rsid w:val="00CA78D1"/>
    <w:rsid w:val="00CB3CFB"/>
    <w:rsid w:val="00CB71B1"/>
    <w:rsid w:val="00CC3067"/>
    <w:rsid w:val="00CC7D24"/>
    <w:rsid w:val="00CD0856"/>
    <w:rsid w:val="00CD595F"/>
    <w:rsid w:val="00CD6D67"/>
    <w:rsid w:val="00CF0155"/>
    <w:rsid w:val="00CF1A06"/>
    <w:rsid w:val="00CF4343"/>
    <w:rsid w:val="00CF4551"/>
    <w:rsid w:val="00D1339D"/>
    <w:rsid w:val="00D16C73"/>
    <w:rsid w:val="00D203EB"/>
    <w:rsid w:val="00D26FD8"/>
    <w:rsid w:val="00D30A06"/>
    <w:rsid w:val="00D3222A"/>
    <w:rsid w:val="00D33826"/>
    <w:rsid w:val="00D35365"/>
    <w:rsid w:val="00D41856"/>
    <w:rsid w:val="00D52711"/>
    <w:rsid w:val="00D530CD"/>
    <w:rsid w:val="00D620AA"/>
    <w:rsid w:val="00D6240A"/>
    <w:rsid w:val="00D72C05"/>
    <w:rsid w:val="00D74974"/>
    <w:rsid w:val="00D80DA4"/>
    <w:rsid w:val="00D90D9B"/>
    <w:rsid w:val="00DB07CD"/>
    <w:rsid w:val="00DB2BE8"/>
    <w:rsid w:val="00DC2CD6"/>
    <w:rsid w:val="00DE1802"/>
    <w:rsid w:val="00DE5C38"/>
    <w:rsid w:val="00DE5CC1"/>
    <w:rsid w:val="00DE6DF6"/>
    <w:rsid w:val="00DF42E2"/>
    <w:rsid w:val="00E065A7"/>
    <w:rsid w:val="00E0747E"/>
    <w:rsid w:val="00E232AE"/>
    <w:rsid w:val="00E25810"/>
    <w:rsid w:val="00E26492"/>
    <w:rsid w:val="00E27A8D"/>
    <w:rsid w:val="00E32D17"/>
    <w:rsid w:val="00E357F1"/>
    <w:rsid w:val="00E3583B"/>
    <w:rsid w:val="00E35B2B"/>
    <w:rsid w:val="00E55A78"/>
    <w:rsid w:val="00E57F05"/>
    <w:rsid w:val="00E617A4"/>
    <w:rsid w:val="00E61BC3"/>
    <w:rsid w:val="00E63764"/>
    <w:rsid w:val="00E80C4C"/>
    <w:rsid w:val="00E82CFB"/>
    <w:rsid w:val="00E903FB"/>
    <w:rsid w:val="00E919A0"/>
    <w:rsid w:val="00E9415C"/>
    <w:rsid w:val="00E946E5"/>
    <w:rsid w:val="00E96328"/>
    <w:rsid w:val="00EA7DD0"/>
    <w:rsid w:val="00EB5432"/>
    <w:rsid w:val="00ED16A3"/>
    <w:rsid w:val="00ED3593"/>
    <w:rsid w:val="00ED3A40"/>
    <w:rsid w:val="00ED3B51"/>
    <w:rsid w:val="00EE16B8"/>
    <w:rsid w:val="00EE171C"/>
    <w:rsid w:val="00EE492A"/>
    <w:rsid w:val="00EF16B5"/>
    <w:rsid w:val="00EF2146"/>
    <w:rsid w:val="00EF677F"/>
    <w:rsid w:val="00F02E01"/>
    <w:rsid w:val="00F05D42"/>
    <w:rsid w:val="00F12198"/>
    <w:rsid w:val="00F1497A"/>
    <w:rsid w:val="00F23C36"/>
    <w:rsid w:val="00F27A46"/>
    <w:rsid w:val="00F33362"/>
    <w:rsid w:val="00F34A63"/>
    <w:rsid w:val="00F35143"/>
    <w:rsid w:val="00F36B7D"/>
    <w:rsid w:val="00F412A5"/>
    <w:rsid w:val="00F45C09"/>
    <w:rsid w:val="00F479B4"/>
    <w:rsid w:val="00F53BC6"/>
    <w:rsid w:val="00F53C4C"/>
    <w:rsid w:val="00F643B7"/>
    <w:rsid w:val="00F671A0"/>
    <w:rsid w:val="00F81C58"/>
    <w:rsid w:val="00F84C8A"/>
    <w:rsid w:val="00F874E6"/>
    <w:rsid w:val="00F94CDA"/>
    <w:rsid w:val="00FA67CB"/>
    <w:rsid w:val="00FA7933"/>
    <w:rsid w:val="00FB4604"/>
    <w:rsid w:val="00FC68F3"/>
    <w:rsid w:val="00FD01B6"/>
    <w:rsid w:val="00FD2688"/>
    <w:rsid w:val="00FD364E"/>
    <w:rsid w:val="00FE03C1"/>
    <w:rsid w:val="00FE6759"/>
    <w:rsid w:val="00FE79A5"/>
    <w:rsid w:val="00FF2C4D"/>
    <w:rsid w:val="00FF4BF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035"/>
    <w:rPr>
      <w:sz w:val="24"/>
      <w:szCs w:val="24"/>
    </w:rPr>
  </w:style>
  <w:style w:type="paragraph" w:styleId="Heading1">
    <w:name w:val="heading 1"/>
    <w:basedOn w:val="Normal"/>
    <w:next w:val="Normal"/>
    <w:link w:val="Heading1Char"/>
    <w:semiHidden/>
    <w:rsid w:val="002F6D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rsid w:val="002F6D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rsid w:val="002F6D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rsid w:val="002F6D11"/>
    <w:pPr>
      <w:keepNext/>
      <w:spacing w:before="240" w:after="60"/>
      <w:outlineLvl w:val="3"/>
    </w:pPr>
    <w:rPr>
      <w:b/>
      <w:bCs/>
      <w:sz w:val="28"/>
      <w:szCs w:val="28"/>
    </w:rPr>
  </w:style>
  <w:style w:type="paragraph" w:styleId="Heading5">
    <w:name w:val="heading 5"/>
    <w:basedOn w:val="Normal"/>
    <w:next w:val="Normal"/>
    <w:link w:val="Heading5Char"/>
    <w:semiHidden/>
    <w:rsid w:val="002F6D11"/>
    <w:pPr>
      <w:spacing w:before="240" w:after="60"/>
      <w:outlineLvl w:val="4"/>
    </w:pPr>
    <w:rPr>
      <w:b/>
      <w:bCs/>
      <w:i/>
      <w:iCs/>
      <w:sz w:val="26"/>
      <w:szCs w:val="26"/>
    </w:rPr>
  </w:style>
  <w:style w:type="paragraph" w:styleId="Heading6">
    <w:name w:val="heading 6"/>
    <w:basedOn w:val="Normal"/>
    <w:next w:val="Normal"/>
    <w:link w:val="Heading6Char"/>
    <w:semiHidden/>
    <w:rsid w:val="002F6D11"/>
    <w:pPr>
      <w:spacing w:before="240" w:after="60"/>
      <w:outlineLvl w:val="5"/>
    </w:pPr>
    <w:rPr>
      <w:b/>
      <w:bCs/>
      <w:sz w:val="22"/>
      <w:szCs w:val="22"/>
    </w:rPr>
  </w:style>
  <w:style w:type="paragraph" w:styleId="Heading7">
    <w:name w:val="heading 7"/>
    <w:basedOn w:val="Normal"/>
    <w:next w:val="Normal"/>
    <w:link w:val="Heading7Char"/>
    <w:semiHidden/>
    <w:rsid w:val="002F6D11"/>
    <w:pPr>
      <w:spacing w:before="240" w:after="60"/>
      <w:outlineLvl w:val="6"/>
    </w:pPr>
  </w:style>
  <w:style w:type="paragraph" w:styleId="Heading8">
    <w:name w:val="heading 8"/>
    <w:basedOn w:val="Normal"/>
    <w:next w:val="Normal"/>
    <w:link w:val="Heading8Char"/>
    <w:semiHidden/>
    <w:rsid w:val="002F6D11"/>
    <w:pPr>
      <w:spacing w:before="240" w:after="60"/>
      <w:outlineLvl w:val="7"/>
    </w:pPr>
    <w:rPr>
      <w:i/>
      <w:iCs/>
    </w:rPr>
  </w:style>
  <w:style w:type="paragraph" w:styleId="Heading9">
    <w:name w:val="heading 9"/>
    <w:basedOn w:val="Normal"/>
    <w:next w:val="Normal"/>
    <w:link w:val="Heading9Char"/>
    <w:semiHidden/>
    <w:rsid w:val="002F6D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2035"/>
    <w:pPr>
      <w:widowControl w:val="0"/>
      <w:spacing w:after="240"/>
      <w:ind w:firstLine="720"/>
    </w:pPr>
  </w:style>
  <w:style w:type="character" w:customStyle="1" w:styleId="BodyTextChar">
    <w:name w:val="Body Text Char"/>
    <w:basedOn w:val="DefaultParagraphFont"/>
    <w:link w:val="BodyText"/>
    <w:rsid w:val="002F6D11"/>
    <w:rPr>
      <w:sz w:val="24"/>
      <w:szCs w:val="24"/>
    </w:rPr>
  </w:style>
  <w:style w:type="paragraph" w:customStyle="1" w:styleId="BodyTextContinued">
    <w:name w:val="Body Text Continued"/>
    <w:basedOn w:val="BodyText"/>
    <w:next w:val="BodyText"/>
    <w:rsid w:val="009E2035"/>
    <w:pPr>
      <w:ind w:firstLine="0"/>
    </w:pPr>
    <w:rPr>
      <w:szCs w:val="20"/>
    </w:rPr>
  </w:style>
  <w:style w:type="paragraph" w:styleId="Quote">
    <w:name w:val="Quote"/>
    <w:basedOn w:val="Normal"/>
    <w:next w:val="BodyTextContinued"/>
    <w:link w:val="QuoteChar"/>
    <w:qFormat/>
    <w:rsid w:val="009E2035"/>
    <w:pPr>
      <w:spacing w:after="240"/>
      <w:ind w:left="1440" w:right="1440"/>
    </w:pPr>
    <w:rPr>
      <w:szCs w:val="20"/>
    </w:rPr>
  </w:style>
  <w:style w:type="character" w:customStyle="1" w:styleId="QuoteChar">
    <w:name w:val="Quote Char"/>
    <w:basedOn w:val="DefaultParagraphFont"/>
    <w:link w:val="Quote"/>
    <w:rsid w:val="002F6D11"/>
    <w:rPr>
      <w:sz w:val="24"/>
    </w:rPr>
  </w:style>
  <w:style w:type="paragraph" w:styleId="Header">
    <w:name w:val="header"/>
    <w:basedOn w:val="Normal"/>
    <w:link w:val="HeaderChar"/>
    <w:rsid w:val="009E2035"/>
    <w:pPr>
      <w:tabs>
        <w:tab w:val="center" w:pos="4680"/>
        <w:tab w:val="right" w:pos="9360"/>
      </w:tabs>
    </w:pPr>
  </w:style>
  <w:style w:type="character" w:customStyle="1" w:styleId="HeaderChar">
    <w:name w:val="Header Char"/>
    <w:basedOn w:val="DefaultParagraphFont"/>
    <w:link w:val="Header"/>
    <w:rsid w:val="002F6D11"/>
    <w:rPr>
      <w:sz w:val="24"/>
      <w:szCs w:val="24"/>
    </w:rPr>
  </w:style>
  <w:style w:type="paragraph" w:styleId="Footer">
    <w:name w:val="footer"/>
    <w:basedOn w:val="Normal"/>
    <w:link w:val="FooterChar"/>
    <w:uiPriority w:val="99"/>
    <w:rsid w:val="009E2035"/>
    <w:pPr>
      <w:tabs>
        <w:tab w:val="center" w:pos="4680"/>
        <w:tab w:val="right" w:pos="9360"/>
      </w:tabs>
    </w:pPr>
  </w:style>
  <w:style w:type="character" w:customStyle="1" w:styleId="FooterChar">
    <w:name w:val="Footer Char"/>
    <w:basedOn w:val="DefaultParagraphFont"/>
    <w:link w:val="Footer"/>
    <w:uiPriority w:val="99"/>
    <w:rsid w:val="002F6D11"/>
    <w:rPr>
      <w:sz w:val="24"/>
      <w:szCs w:val="24"/>
    </w:rPr>
  </w:style>
  <w:style w:type="character" w:styleId="PageNumber">
    <w:name w:val="page number"/>
    <w:basedOn w:val="DefaultParagraphFont"/>
    <w:rsid w:val="009E2035"/>
  </w:style>
  <w:style w:type="paragraph" w:customStyle="1" w:styleId="Body">
    <w:name w:val="Body"/>
    <w:basedOn w:val="Normal"/>
    <w:qFormat/>
    <w:rsid w:val="002F6D11"/>
    <w:pPr>
      <w:jc w:val="both"/>
    </w:pPr>
  </w:style>
  <w:style w:type="paragraph" w:customStyle="1" w:styleId="TitleBUAC">
    <w:name w:val="Title BUAC"/>
    <w:basedOn w:val="Normal"/>
    <w:next w:val="Body"/>
    <w:qFormat/>
    <w:rsid w:val="002F6D11"/>
    <w:pPr>
      <w:keepNext/>
      <w:spacing w:after="240"/>
      <w:jc w:val="center"/>
      <w:outlineLvl w:val="0"/>
    </w:pPr>
    <w:rPr>
      <w:b/>
      <w:caps/>
      <w:u w:val="single"/>
    </w:rPr>
  </w:style>
  <w:style w:type="paragraph" w:customStyle="1" w:styleId="BodyDblSp">
    <w:name w:val="Body Dbl Sp"/>
    <w:basedOn w:val="Normal"/>
    <w:qFormat/>
    <w:rsid w:val="002F6D11"/>
    <w:pPr>
      <w:spacing w:line="480" w:lineRule="auto"/>
    </w:pPr>
  </w:style>
  <w:style w:type="paragraph" w:customStyle="1" w:styleId="BodyDblSp5">
    <w:name w:val="Body Dbl Sp .5"/>
    <w:basedOn w:val="Normal"/>
    <w:qFormat/>
    <w:rsid w:val="002F6D11"/>
    <w:pPr>
      <w:spacing w:line="480" w:lineRule="auto"/>
      <w:ind w:firstLine="720"/>
    </w:pPr>
  </w:style>
  <w:style w:type="paragraph" w:customStyle="1" w:styleId="BodyDblSp5J">
    <w:name w:val="Body Dbl Sp .5 J"/>
    <w:basedOn w:val="Normal"/>
    <w:qFormat/>
    <w:rsid w:val="002F6D11"/>
    <w:pPr>
      <w:spacing w:line="480" w:lineRule="auto"/>
      <w:ind w:firstLine="720"/>
      <w:jc w:val="both"/>
    </w:pPr>
  </w:style>
  <w:style w:type="paragraph" w:customStyle="1" w:styleId="BodyDblSp1">
    <w:name w:val="Body Dbl Sp 1"/>
    <w:basedOn w:val="Normal"/>
    <w:qFormat/>
    <w:rsid w:val="002F6D11"/>
    <w:pPr>
      <w:spacing w:line="480" w:lineRule="auto"/>
      <w:ind w:firstLine="1440"/>
    </w:pPr>
  </w:style>
  <w:style w:type="paragraph" w:customStyle="1" w:styleId="BodyDblSp1J">
    <w:name w:val="Body Dbl Sp 1 J"/>
    <w:basedOn w:val="Normal"/>
    <w:qFormat/>
    <w:rsid w:val="002F6D11"/>
    <w:pPr>
      <w:spacing w:line="480" w:lineRule="auto"/>
      <w:ind w:firstLine="1440"/>
      <w:jc w:val="both"/>
    </w:pPr>
  </w:style>
  <w:style w:type="paragraph" w:customStyle="1" w:styleId="BodyDblSpJ">
    <w:name w:val="Body Dbl Sp J"/>
    <w:basedOn w:val="Normal"/>
    <w:qFormat/>
    <w:rsid w:val="002F6D11"/>
    <w:pPr>
      <w:spacing w:line="480" w:lineRule="auto"/>
      <w:jc w:val="both"/>
    </w:pPr>
  </w:style>
  <w:style w:type="paragraph" w:customStyle="1" w:styleId="BodySingleSp5">
    <w:name w:val="Body Single Sp .5"/>
    <w:basedOn w:val="Normal"/>
    <w:qFormat/>
    <w:rsid w:val="002F6D11"/>
    <w:pPr>
      <w:spacing w:after="240"/>
      <w:ind w:firstLine="720"/>
    </w:pPr>
  </w:style>
  <w:style w:type="paragraph" w:customStyle="1" w:styleId="BodySingleSp5J">
    <w:name w:val="Body Single Sp .5 J"/>
    <w:basedOn w:val="Normal"/>
    <w:qFormat/>
    <w:rsid w:val="002F6D11"/>
    <w:pPr>
      <w:spacing w:after="240"/>
      <w:ind w:firstLine="720"/>
      <w:jc w:val="both"/>
    </w:pPr>
  </w:style>
  <w:style w:type="paragraph" w:customStyle="1" w:styleId="BodySingleSp1">
    <w:name w:val="Body Single Sp 1"/>
    <w:basedOn w:val="Normal"/>
    <w:qFormat/>
    <w:rsid w:val="002F6D11"/>
    <w:pPr>
      <w:spacing w:after="240"/>
      <w:ind w:firstLine="1440"/>
    </w:pPr>
  </w:style>
  <w:style w:type="paragraph" w:customStyle="1" w:styleId="BodySingleSp1J">
    <w:name w:val="Body Single Sp 1 J"/>
    <w:basedOn w:val="Normal"/>
    <w:qFormat/>
    <w:rsid w:val="002F6D11"/>
    <w:pPr>
      <w:spacing w:after="240"/>
      <w:ind w:firstLine="1440"/>
      <w:jc w:val="both"/>
    </w:pPr>
  </w:style>
  <w:style w:type="paragraph" w:customStyle="1" w:styleId="BodySingleSpJ">
    <w:name w:val="Body Single Sp J"/>
    <w:basedOn w:val="Normal"/>
    <w:qFormat/>
    <w:rsid w:val="002F6D11"/>
    <w:pPr>
      <w:spacing w:after="240"/>
      <w:jc w:val="both"/>
    </w:pPr>
  </w:style>
  <w:style w:type="paragraph" w:customStyle="1" w:styleId="TitleBC">
    <w:name w:val="Title BC"/>
    <w:basedOn w:val="Normal"/>
    <w:next w:val="Body"/>
    <w:qFormat/>
    <w:rsid w:val="002F6D11"/>
    <w:pPr>
      <w:keepNext/>
      <w:spacing w:after="240"/>
      <w:jc w:val="center"/>
      <w:outlineLvl w:val="0"/>
    </w:pPr>
    <w:rPr>
      <w:b/>
    </w:rPr>
  </w:style>
  <w:style w:type="paragraph" w:customStyle="1" w:styleId="TitleBCA">
    <w:name w:val="Title BCA"/>
    <w:basedOn w:val="Normal"/>
    <w:next w:val="Body"/>
    <w:qFormat/>
    <w:rsid w:val="002F6D11"/>
    <w:pPr>
      <w:keepNext/>
      <w:spacing w:after="240"/>
      <w:jc w:val="center"/>
      <w:outlineLvl w:val="0"/>
    </w:pPr>
    <w:rPr>
      <w:b/>
      <w:caps/>
    </w:rPr>
  </w:style>
  <w:style w:type="paragraph" w:customStyle="1" w:styleId="TitleBL">
    <w:name w:val="Title BL"/>
    <w:basedOn w:val="Normal"/>
    <w:next w:val="Body"/>
    <w:qFormat/>
    <w:rsid w:val="002F6D11"/>
    <w:pPr>
      <w:keepNext/>
      <w:spacing w:after="240"/>
      <w:outlineLvl w:val="0"/>
    </w:pPr>
    <w:rPr>
      <w:b/>
    </w:rPr>
  </w:style>
  <w:style w:type="paragraph" w:customStyle="1" w:styleId="TitleBUAL">
    <w:name w:val="Title BUAL"/>
    <w:basedOn w:val="Normal"/>
    <w:next w:val="Body"/>
    <w:qFormat/>
    <w:rsid w:val="002F6D11"/>
    <w:pPr>
      <w:keepNext/>
      <w:spacing w:after="240"/>
      <w:outlineLvl w:val="0"/>
    </w:pPr>
    <w:rPr>
      <w:b/>
      <w:caps/>
      <w:u w:val="single"/>
    </w:rPr>
  </w:style>
  <w:style w:type="paragraph" w:customStyle="1" w:styleId="TitleBUC">
    <w:name w:val="Title BUC"/>
    <w:basedOn w:val="Normal"/>
    <w:next w:val="Body"/>
    <w:qFormat/>
    <w:rsid w:val="002F6D11"/>
    <w:pPr>
      <w:keepNext/>
      <w:spacing w:after="240"/>
      <w:jc w:val="center"/>
      <w:outlineLvl w:val="0"/>
    </w:pPr>
    <w:rPr>
      <w:b/>
      <w:u w:val="single"/>
    </w:rPr>
  </w:style>
  <w:style w:type="paragraph" w:customStyle="1" w:styleId="TitleBUL">
    <w:name w:val="Title BUL"/>
    <w:basedOn w:val="Normal"/>
    <w:next w:val="Body"/>
    <w:qFormat/>
    <w:rsid w:val="002F6D11"/>
    <w:pPr>
      <w:keepNext/>
      <w:spacing w:after="240"/>
      <w:outlineLvl w:val="0"/>
    </w:pPr>
    <w:rPr>
      <w:b/>
      <w:u w:val="single"/>
    </w:rPr>
  </w:style>
  <w:style w:type="paragraph" w:customStyle="1" w:styleId="TitleC">
    <w:name w:val="Title C"/>
    <w:basedOn w:val="Normal"/>
    <w:next w:val="Body"/>
    <w:qFormat/>
    <w:rsid w:val="002F6D11"/>
    <w:pPr>
      <w:keepNext/>
      <w:spacing w:after="240"/>
      <w:jc w:val="center"/>
      <w:outlineLvl w:val="0"/>
    </w:pPr>
  </w:style>
  <w:style w:type="paragraph" w:customStyle="1" w:styleId="TitleL">
    <w:name w:val="Title L"/>
    <w:basedOn w:val="Normal"/>
    <w:next w:val="Body"/>
    <w:qFormat/>
    <w:rsid w:val="002F6D11"/>
    <w:pPr>
      <w:keepNext/>
      <w:spacing w:after="240"/>
      <w:outlineLvl w:val="0"/>
    </w:pPr>
  </w:style>
  <w:style w:type="paragraph" w:customStyle="1" w:styleId="TitleUC">
    <w:name w:val="Title UC"/>
    <w:basedOn w:val="Normal"/>
    <w:next w:val="Body"/>
    <w:qFormat/>
    <w:rsid w:val="002F6D11"/>
    <w:pPr>
      <w:keepNext/>
      <w:spacing w:after="240"/>
      <w:jc w:val="center"/>
      <w:outlineLvl w:val="0"/>
    </w:pPr>
    <w:rPr>
      <w:u w:val="single"/>
    </w:rPr>
  </w:style>
  <w:style w:type="paragraph" w:customStyle="1" w:styleId="TitleUL">
    <w:name w:val="Title UL"/>
    <w:basedOn w:val="Normal"/>
    <w:next w:val="Body"/>
    <w:qFormat/>
    <w:rsid w:val="002F6D11"/>
    <w:pPr>
      <w:keepNext/>
      <w:spacing w:after="240"/>
      <w:outlineLvl w:val="0"/>
    </w:pPr>
    <w:rPr>
      <w:u w:val="single"/>
    </w:rPr>
  </w:style>
  <w:style w:type="paragraph" w:customStyle="1" w:styleId="Quote55">
    <w:name w:val="Quote .5/.5"/>
    <w:basedOn w:val="Normal"/>
    <w:next w:val="Body"/>
    <w:qFormat/>
    <w:rsid w:val="002F6D11"/>
    <w:pPr>
      <w:spacing w:after="240"/>
      <w:ind w:left="720" w:right="720"/>
    </w:pPr>
  </w:style>
  <w:style w:type="paragraph" w:customStyle="1" w:styleId="Quote55J">
    <w:name w:val="Quote .5/.5 J"/>
    <w:basedOn w:val="Normal"/>
    <w:next w:val="Body"/>
    <w:qFormat/>
    <w:rsid w:val="002F6D11"/>
    <w:pPr>
      <w:spacing w:after="240"/>
      <w:ind w:left="720" w:right="720"/>
      <w:jc w:val="both"/>
    </w:pPr>
  </w:style>
  <w:style w:type="paragraph" w:customStyle="1" w:styleId="Quote11">
    <w:name w:val="Quote 1/1"/>
    <w:basedOn w:val="Normal"/>
    <w:next w:val="Body"/>
    <w:qFormat/>
    <w:rsid w:val="002F6D11"/>
    <w:pPr>
      <w:spacing w:after="240"/>
      <w:ind w:left="1440" w:right="1440"/>
    </w:pPr>
  </w:style>
  <w:style w:type="paragraph" w:customStyle="1" w:styleId="Quote11J">
    <w:name w:val="Quote 1/1 J"/>
    <w:basedOn w:val="Normal"/>
    <w:next w:val="Body"/>
    <w:qFormat/>
    <w:rsid w:val="002F6D11"/>
    <w:pPr>
      <w:spacing w:after="240"/>
      <w:ind w:left="1440" w:right="1440"/>
      <w:jc w:val="both"/>
    </w:pPr>
  </w:style>
  <w:style w:type="paragraph" w:styleId="Signature">
    <w:name w:val="Signature"/>
    <w:basedOn w:val="Normal"/>
    <w:link w:val="SignatureChar"/>
    <w:qFormat/>
    <w:rsid w:val="002F6D11"/>
    <w:pPr>
      <w:tabs>
        <w:tab w:val="left" w:pos="4824"/>
        <w:tab w:val="right" w:leader="underscore" w:pos="9360"/>
      </w:tabs>
      <w:ind w:left="4320"/>
    </w:pPr>
  </w:style>
  <w:style w:type="character" w:customStyle="1" w:styleId="SignatureChar">
    <w:name w:val="Signature Char"/>
    <w:basedOn w:val="DefaultParagraphFont"/>
    <w:link w:val="Signature"/>
    <w:rsid w:val="002F6D11"/>
    <w:rPr>
      <w:sz w:val="24"/>
      <w:szCs w:val="24"/>
    </w:rPr>
  </w:style>
  <w:style w:type="paragraph" w:styleId="ListBullet">
    <w:name w:val="List Bullet"/>
    <w:basedOn w:val="Normal"/>
    <w:qFormat/>
    <w:rsid w:val="002F6D11"/>
    <w:pPr>
      <w:numPr>
        <w:numId w:val="1"/>
      </w:numPr>
    </w:pPr>
  </w:style>
  <w:style w:type="paragraph" w:styleId="ListBullet2">
    <w:name w:val="List Bullet 2"/>
    <w:basedOn w:val="Normal"/>
    <w:unhideWhenUsed/>
    <w:qFormat/>
    <w:rsid w:val="002F6D11"/>
    <w:pPr>
      <w:numPr>
        <w:numId w:val="3"/>
      </w:numPr>
    </w:pPr>
  </w:style>
  <w:style w:type="paragraph" w:styleId="ListBullet3">
    <w:name w:val="List Bullet 3"/>
    <w:basedOn w:val="Normal"/>
    <w:unhideWhenUsed/>
    <w:qFormat/>
    <w:rsid w:val="002F6D11"/>
    <w:pPr>
      <w:numPr>
        <w:numId w:val="4"/>
      </w:numPr>
    </w:pPr>
  </w:style>
  <w:style w:type="paragraph" w:styleId="ListBullet4">
    <w:name w:val="List Bullet 4"/>
    <w:basedOn w:val="Normal"/>
    <w:unhideWhenUsed/>
    <w:qFormat/>
    <w:rsid w:val="002F6D11"/>
    <w:pPr>
      <w:numPr>
        <w:numId w:val="5"/>
      </w:numPr>
    </w:pPr>
  </w:style>
  <w:style w:type="paragraph" w:styleId="ListBullet5">
    <w:name w:val="List Bullet 5"/>
    <w:basedOn w:val="Normal"/>
    <w:unhideWhenUsed/>
    <w:qFormat/>
    <w:rsid w:val="002F6D11"/>
    <w:pPr>
      <w:numPr>
        <w:numId w:val="6"/>
      </w:numPr>
    </w:pPr>
  </w:style>
  <w:style w:type="paragraph" w:styleId="ListNumber">
    <w:name w:val="List Number"/>
    <w:basedOn w:val="Normal"/>
    <w:qFormat/>
    <w:rsid w:val="002F6D11"/>
    <w:pPr>
      <w:numPr>
        <w:numId w:val="2"/>
      </w:numPr>
    </w:pPr>
  </w:style>
  <w:style w:type="paragraph" w:styleId="ListNumber2">
    <w:name w:val="List Number 2"/>
    <w:basedOn w:val="Normal"/>
    <w:unhideWhenUsed/>
    <w:qFormat/>
    <w:rsid w:val="002F6D11"/>
    <w:pPr>
      <w:numPr>
        <w:numId w:val="7"/>
      </w:numPr>
    </w:pPr>
  </w:style>
  <w:style w:type="paragraph" w:styleId="ListNumber3">
    <w:name w:val="List Number 3"/>
    <w:basedOn w:val="Normal"/>
    <w:unhideWhenUsed/>
    <w:qFormat/>
    <w:rsid w:val="002F6D11"/>
    <w:pPr>
      <w:numPr>
        <w:numId w:val="8"/>
      </w:numPr>
    </w:pPr>
  </w:style>
  <w:style w:type="paragraph" w:styleId="ListNumber4">
    <w:name w:val="List Number 4"/>
    <w:basedOn w:val="Normal"/>
    <w:unhideWhenUsed/>
    <w:qFormat/>
    <w:rsid w:val="002F6D11"/>
    <w:pPr>
      <w:numPr>
        <w:numId w:val="9"/>
      </w:numPr>
    </w:pPr>
  </w:style>
  <w:style w:type="paragraph" w:styleId="ListNumber5">
    <w:name w:val="List Number 5"/>
    <w:basedOn w:val="Normal"/>
    <w:unhideWhenUsed/>
    <w:qFormat/>
    <w:rsid w:val="002F6D11"/>
    <w:pPr>
      <w:numPr>
        <w:numId w:val="10"/>
      </w:numPr>
    </w:pPr>
  </w:style>
  <w:style w:type="paragraph" w:styleId="ListContinue">
    <w:name w:val="List Continue"/>
    <w:basedOn w:val="Normal"/>
    <w:qFormat/>
    <w:rsid w:val="002F6D11"/>
    <w:pPr>
      <w:spacing w:after="120"/>
      <w:ind w:left="360"/>
    </w:pPr>
  </w:style>
  <w:style w:type="paragraph" w:styleId="ListContinue2">
    <w:name w:val="List Continue 2"/>
    <w:basedOn w:val="Normal"/>
    <w:rsid w:val="002F6D11"/>
    <w:pPr>
      <w:spacing w:after="120"/>
      <w:ind w:left="720"/>
    </w:pPr>
  </w:style>
  <w:style w:type="paragraph" w:styleId="ListContinue3">
    <w:name w:val="List Continue 3"/>
    <w:basedOn w:val="Normal"/>
    <w:unhideWhenUsed/>
    <w:qFormat/>
    <w:rsid w:val="002F6D11"/>
    <w:pPr>
      <w:spacing w:after="120"/>
      <w:ind w:left="1080"/>
    </w:pPr>
  </w:style>
  <w:style w:type="paragraph" w:styleId="ListContinue4">
    <w:name w:val="List Continue 4"/>
    <w:basedOn w:val="Normal"/>
    <w:unhideWhenUsed/>
    <w:qFormat/>
    <w:rsid w:val="002F6D11"/>
    <w:pPr>
      <w:spacing w:after="120"/>
      <w:ind w:left="1440"/>
    </w:pPr>
  </w:style>
  <w:style w:type="paragraph" w:styleId="ListContinue5">
    <w:name w:val="List Continue 5"/>
    <w:basedOn w:val="Normal"/>
    <w:unhideWhenUsed/>
    <w:qFormat/>
    <w:rsid w:val="002F6D11"/>
    <w:pPr>
      <w:spacing w:after="120"/>
      <w:ind w:left="1800"/>
    </w:pPr>
  </w:style>
  <w:style w:type="paragraph" w:customStyle="1" w:styleId="Body12ptAfter">
    <w:name w:val="Body 12pt After"/>
    <w:basedOn w:val="Normal"/>
    <w:qFormat/>
    <w:rsid w:val="002F6D11"/>
    <w:pPr>
      <w:spacing w:after="240"/>
      <w:jc w:val="both"/>
    </w:pPr>
  </w:style>
  <w:style w:type="character" w:customStyle="1" w:styleId="Heading1Char">
    <w:name w:val="Heading 1 Char"/>
    <w:basedOn w:val="DefaultParagraphFont"/>
    <w:link w:val="Heading1"/>
    <w:semiHidden/>
    <w:rsid w:val="00D80DA4"/>
    <w:rPr>
      <w:rFonts w:ascii="Arial" w:hAnsi="Arial" w:cs="Arial"/>
      <w:b/>
      <w:bCs/>
      <w:kern w:val="32"/>
      <w:sz w:val="32"/>
      <w:szCs w:val="32"/>
    </w:rPr>
  </w:style>
  <w:style w:type="character" w:customStyle="1" w:styleId="Heading2Char">
    <w:name w:val="Heading 2 Char"/>
    <w:basedOn w:val="DefaultParagraphFont"/>
    <w:link w:val="Heading2"/>
    <w:semiHidden/>
    <w:rsid w:val="00D80DA4"/>
    <w:rPr>
      <w:rFonts w:ascii="Arial" w:hAnsi="Arial" w:cs="Arial"/>
      <w:b/>
      <w:bCs/>
      <w:i/>
      <w:iCs/>
      <w:sz w:val="28"/>
      <w:szCs w:val="28"/>
    </w:rPr>
  </w:style>
  <w:style w:type="character" w:customStyle="1" w:styleId="Heading3Char">
    <w:name w:val="Heading 3 Char"/>
    <w:basedOn w:val="DefaultParagraphFont"/>
    <w:link w:val="Heading3"/>
    <w:semiHidden/>
    <w:rsid w:val="00D80DA4"/>
    <w:rPr>
      <w:rFonts w:ascii="Arial" w:hAnsi="Arial" w:cs="Arial"/>
      <w:b/>
      <w:bCs/>
      <w:sz w:val="26"/>
      <w:szCs w:val="26"/>
    </w:rPr>
  </w:style>
  <w:style w:type="character" w:customStyle="1" w:styleId="Heading4Char">
    <w:name w:val="Heading 4 Char"/>
    <w:basedOn w:val="DefaultParagraphFont"/>
    <w:link w:val="Heading4"/>
    <w:semiHidden/>
    <w:rsid w:val="00D80DA4"/>
    <w:rPr>
      <w:b/>
      <w:bCs/>
      <w:sz w:val="28"/>
      <w:szCs w:val="28"/>
    </w:rPr>
  </w:style>
  <w:style w:type="character" w:customStyle="1" w:styleId="Heading5Char">
    <w:name w:val="Heading 5 Char"/>
    <w:basedOn w:val="DefaultParagraphFont"/>
    <w:link w:val="Heading5"/>
    <w:semiHidden/>
    <w:rsid w:val="00D80DA4"/>
    <w:rPr>
      <w:b/>
      <w:bCs/>
      <w:i/>
      <w:iCs/>
      <w:sz w:val="26"/>
      <w:szCs w:val="26"/>
    </w:rPr>
  </w:style>
  <w:style w:type="character" w:customStyle="1" w:styleId="Heading6Char">
    <w:name w:val="Heading 6 Char"/>
    <w:basedOn w:val="DefaultParagraphFont"/>
    <w:link w:val="Heading6"/>
    <w:semiHidden/>
    <w:rsid w:val="00D80DA4"/>
    <w:rPr>
      <w:b/>
      <w:bCs/>
      <w:sz w:val="22"/>
      <w:szCs w:val="22"/>
    </w:rPr>
  </w:style>
  <w:style w:type="character" w:customStyle="1" w:styleId="Heading7Char">
    <w:name w:val="Heading 7 Char"/>
    <w:basedOn w:val="DefaultParagraphFont"/>
    <w:link w:val="Heading7"/>
    <w:semiHidden/>
    <w:rsid w:val="00D80DA4"/>
    <w:rPr>
      <w:sz w:val="24"/>
      <w:szCs w:val="24"/>
    </w:rPr>
  </w:style>
  <w:style w:type="character" w:customStyle="1" w:styleId="Heading8Char">
    <w:name w:val="Heading 8 Char"/>
    <w:basedOn w:val="DefaultParagraphFont"/>
    <w:link w:val="Heading8"/>
    <w:semiHidden/>
    <w:rsid w:val="00D80DA4"/>
    <w:rPr>
      <w:i/>
      <w:iCs/>
      <w:sz w:val="24"/>
      <w:szCs w:val="24"/>
    </w:rPr>
  </w:style>
  <w:style w:type="character" w:customStyle="1" w:styleId="Heading9Char">
    <w:name w:val="Heading 9 Char"/>
    <w:basedOn w:val="DefaultParagraphFont"/>
    <w:link w:val="Heading9"/>
    <w:semiHidden/>
    <w:rsid w:val="00D80DA4"/>
    <w:rPr>
      <w:rFonts w:ascii="Arial" w:hAnsi="Arial" w:cs="Arial"/>
      <w:sz w:val="22"/>
      <w:szCs w:val="22"/>
    </w:rPr>
  </w:style>
  <w:style w:type="paragraph" w:styleId="FootnoteText">
    <w:name w:val="footnote text"/>
    <w:basedOn w:val="Normal"/>
    <w:link w:val="FootnoteTextChar"/>
    <w:rsid w:val="002F6D11"/>
    <w:pPr>
      <w:spacing w:after="120"/>
      <w:jc w:val="both"/>
    </w:pPr>
    <w:rPr>
      <w:sz w:val="20"/>
      <w:szCs w:val="20"/>
    </w:rPr>
  </w:style>
  <w:style w:type="character" w:customStyle="1" w:styleId="FootnoteTextChar">
    <w:name w:val="Footnote Text Char"/>
    <w:basedOn w:val="DefaultParagraphFont"/>
    <w:link w:val="FootnoteText"/>
    <w:rsid w:val="002F6D11"/>
  </w:style>
  <w:style w:type="character" w:styleId="FootnoteReference">
    <w:name w:val="footnote reference"/>
    <w:basedOn w:val="DefaultParagraphFont"/>
    <w:rsid w:val="002F6D11"/>
    <w:rPr>
      <w:vertAlign w:val="superscript"/>
    </w:rPr>
  </w:style>
  <w:style w:type="paragraph" w:styleId="Title">
    <w:name w:val="Title"/>
    <w:basedOn w:val="Normal"/>
    <w:next w:val="Body"/>
    <w:link w:val="TitleChar"/>
    <w:rsid w:val="002F6D11"/>
    <w:pPr>
      <w:keepNext/>
      <w:spacing w:after="240"/>
      <w:jc w:val="center"/>
      <w:outlineLvl w:val="0"/>
    </w:pPr>
    <w:rPr>
      <w:rFonts w:cs="Arial"/>
      <w:b/>
      <w:bCs/>
    </w:rPr>
  </w:style>
  <w:style w:type="character" w:customStyle="1" w:styleId="TitleChar">
    <w:name w:val="Title Char"/>
    <w:basedOn w:val="DefaultParagraphFont"/>
    <w:link w:val="Title"/>
    <w:rsid w:val="002F6D11"/>
    <w:rPr>
      <w:rFonts w:cs="Arial"/>
      <w:b/>
      <w:bCs/>
      <w:sz w:val="24"/>
      <w:szCs w:val="24"/>
    </w:rPr>
  </w:style>
  <w:style w:type="paragraph" w:styleId="Subtitle">
    <w:name w:val="Subtitle"/>
    <w:basedOn w:val="Normal"/>
    <w:link w:val="SubtitleChar"/>
    <w:semiHidden/>
    <w:rsid w:val="002F6D11"/>
    <w:pPr>
      <w:spacing w:after="240"/>
      <w:jc w:val="center"/>
    </w:pPr>
    <w:rPr>
      <w:rFonts w:cs="Arial"/>
    </w:rPr>
  </w:style>
  <w:style w:type="character" w:customStyle="1" w:styleId="SubtitleChar">
    <w:name w:val="Subtitle Char"/>
    <w:basedOn w:val="DefaultParagraphFont"/>
    <w:link w:val="Subtitle"/>
    <w:semiHidden/>
    <w:rsid w:val="00E27A8D"/>
    <w:rPr>
      <w:rFonts w:cs="Arial"/>
      <w:sz w:val="24"/>
      <w:szCs w:val="24"/>
    </w:rPr>
  </w:style>
  <w:style w:type="character" w:styleId="Strong">
    <w:name w:val="Strong"/>
    <w:basedOn w:val="DefaultParagraphFont"/>
    <w:semiHidden/>
    <w:rsid w:val="002F6D11"/>
    <w:rPr>
      <w:b/>
      <w:bCs/>
    </w:rPr>
  </w:style>
  <w:style w:type="paragraph" w:customStyle="1" w:styleId="MacPacTrailer">
    <w:name w:val="MacPac Trailer"/>
    <w:basedOn w:val="Normal"/>
    <w:rsid w:val="005C1759"/>
    <w:pPr>
      <w:widowControl w:val="0"/>
      <w:spacing w:line="200" w:lineRule="exact"/>
    </w:pPr>
    <w:rPr>
      <w:sz w:val="16"/>
      <w:szCs w:val="22"/>
    </w:rPr>
  </w:style>
  <w:style w:type="paragraph" w:styleId="CommentText">
    <w:name w:val="annotation text"/>
    <w:basedOn w:val="Normal"/>
    <w:link w:val="CommentTextChar"/>
    <w:rsid w:val="002F6D11"/>
    <w:rPr>
      <w:sz w:val="20"/>
      <w:szCs w:val="20"/>
    </w:rPr>
  </w:style>
  <w:style w:type="character" w:customStyle="1" w:styleId="CommentTextChar">
    <w:name w:val="Comment Text Char"/>
    <w:basedOn w:val="DefaultParagraphFont"/>
    <w:link w:val="CommentText"/>
    <w:rsid w:val="002F6D11"/>
  </w:style>
  <w:style w:type="character" w:styleId="CommentReference">
    <w:name w:val="annotation reference"/>
    <w:basedOn w:val="DefaultParagraphFont"/>
    <w:rsid w:val="002F6D11"/>
    <w:rPr>
      <w:sz w:val="16"/>
      <w:szCs w:val="16"/>
    </w:rPr>
  </w:style>
  <w:style w:type="paragraph" w:styleId="BodyTextIndent">
    <w:name w:val="Body Text Indent"/>
    <w:basedOn w:val="Normal"/>
    <w:link w:val="BodyTextIndentChar"/>
    <w:semiHidden/>
    <w:rsid w:val="002F6D11"/>
    <w:pPr>
      <w:ind w:left="720" w:hanging="720"/>
      <w:jc w:val="both"/>
    </w:pPr>
    <w:rPr>
      <w:rFonts w:ascii="Arial" w:hAnsi="Arial" w:cs="Arial"/>
      <w:lang w:val="en-GB"/>
    </w:rPr>
  </w:style>
  <w:style w:type="character" w:customStyle="1" w:styleId="BodyTextIndentChar">
    <w:name w:val="Body Text Indent Char"/>
    <w:basedOn w:val="DefaultParagraphFont"/>
    <w:link w:val="BodyTextIndent"/>
    <w:semiHidden/>
    <w:rsid w:val="00E27A8D"/>
    <w:rPr>
      <w:rFonts w:ascii="Arial" w:hAnsi="Arial" w:cs="Arial"/>
      <w:sz w:val="24"/>
      <w:szCs w:val="24"/>
      <w:lang w:val="en-GB"/>
    </w:rPr>
  </w:style>
  <w:style w:type="paragraph" w:styleId="BodyText2">
    <w:name w:val="Body Text 2"/>
    <w:basedOn w:val="Normal"/>
    <w:link w:val="BodyText2Char"/>
    <w:semiHidden/>
    <w:rsid w:val="002F6D11"/>
    <w:pPr>
      <w:spacing w:after="120" w:line="480" w:lineRule="auto"/>
    </w:pPr>
  </w:style>
  <w:style w:type="character" w:customStyle="1" w:styleId="BodyText2Char">
    <w:name w:val="Body Text 2 Char"/>
    <w:basedOn w:val="DefaultParagraphFont"/>
    <w:link w:val="BodyText2"/>
    <w:semiHidden/>
    <w:rsid w:val="00E27A8D"/>
    <w:rPr>
      <w:sz w:val="24"/>
      <w:szCs w:val="24"/>
    </w:rPr>
  </w:style>
  <w:style w:type="character" w:styleId="Emphasis">
    <w:name w:val="Emphasis"/>
    <w:basedOn w:val="DefaultParagraphFont"/>
    <w:semiHidden/>
    <w:qFormat/>
    <w:rsid w:val="002F6D11"/>
    <w:rPr>
      <w:b/>
      <w:bCs/>
      <w:i w:val="0"/>
      <w:iCs w:val="0"/>
    </w:rPr>
  </w:style>
  <w:style w:type="paragraph" w:styleId="DocumentMap">
    <w:name w:val="Document Map"/>
    <w:basedOn w:val="Normal"/>
    <w:link w:val="DocumentMapChar"/>
    <w:rsid w:val="002F6D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F6D11"/>
    <w:rPr>
      <w:rFonts w:ascii="Tahoma" w:hAnsi="Tahoma" w:cs="Tahoma"/>
      <w:shd w:val="clear" w:color="auto" w:fill="000080"/>
    </w:rPr>
  </w:style>
  <w:style w:type="paragraph" w:styleId="CommentSubject">
    <w:name w:val="annotation subject"/>
    <w:basedOn w:val="CommentText"/>
    <w:next w:val="CommentText"/>
    <w:link w:val="CommentSubjectChar"/>
    <w:rsid w:val="002F6D11"/>
    <w:rPr>
      <w:b/>
      <w:bCs/>
    </w:rPr>
  </w:style>
  <w:style w:type="character" w:customStyle="1" w:styleId="CommentSubjectChar">
    <w:name w:val="Comment Subject Char"/>
    <w:basedOn w:val="CommentTextChar"/>
    <w:link w:val="CommentSubject"/>
    <w:rsid w:val="002F6D11"/>
    <w:rPr>
      <w:b/>
      <w:bCs/>
    </w:rPr>
  </w:style>
  <w:style w:type="paragraph" w:styleId="BalloonText">
    <w:name w:val="Balloon Text"/>
    <w:basedOn w:val="Normal"/>
    <w:link w:val="BalloonTextChar"/>
    <w:rsid w:val="002F6D11"/>
    <w:rPr>
      <w:rFonts w:ascii="Tahoma" w:hAnsi="Tahoma" w:cs="Tahoma"/>
      <w:sz w:val="16"/>
      <w:szCs w:val="16"/>
    </w:rPr>
  </w:style>
  <w:style w:type="character" w:customStyle="1" w:styleId="BalloonTextChar">
    <w:name w:val="Balloon Text Char"/>
    <w:basedOn w:val="DefaultParagraphFont"/>
    <w:link w:val="BalloonText"/>
    <w:rsid w:val="002F6D11"/>
    <w:rPr>
      <w:rFonts w:ascii="Tahoma" w:hAnsi="Tahoma" w:cs="Tahoma"/>
      <w:sz w:val="16"/>
      <w:szCs w:val="16"/>
    </w:rPr>
  </w:style>
  <w:style w:type="paragraph" w:styleId="ListParagraph">
    <w:name w:val="List Paragraph"/>
    <w:basedOn w:val="Normal"/>
    <w:uiPriority w:val="34"/>
    <w:rsid w:val="002F6D11"/>
    <w:pPr>
      <w:ind w:left="720"/>
    </w:pPr>
  </w:style>
  <w:style w:type="paragraph" w:customStyle="1" w:styleId="DefaultText">
    <w:name w:val="Default Text"/>
    <w:basedOn w:val="Normal"/>
    <w:rsid w:val="002F6D11"/>
    <w:rPr>
      <w:color w:val="000000"/>
      <w:szCs w:val="20"/>
    </w:rPr>
  </w:style>
  <w:style w:type="paragraph" w:customStyle="1" w:styleId="Contents2">
    <w:name w:val="Contents2"/>
    <w:basedOn w:val="Normal"/>
    <w:rsid w:val="002F6D11"/>
    <w:pPr>
      <w:numPr>
        <w:ilvl w:val="1"/>
        <w:numId w:val="11"/>
      </w:numPr>
      <w:spacing w:before="142" w:after="85"/>
      <w:jc w:val="both"/>
    </w:pPr>
    <w:rPr>
      <w:rFonts w:ascii="Arial" w:hAnsi="Arial"/>
      <w:color w:val="000000"/>
      <w:sz w:val="22"/>
      <w:szCs w:val="20"/>
      <w:lang w:val="en-GB"/>
    </w:rPr>
  </w:style>
  <w:style w:type="paragraph" w:customStyle="1" w:styleId="Contents1">
    <w:name w:val="Contents1"/>
    <w:basedOn w:val="Normal"/>
    <w:rsid w:val="002F6D11"/>
    <w:pPr>
      <w:keepNext/>
      <w:numPr>
        <w:numId w:val="11"/>
      </w:numPr>
      <w:tabs>
        <w:tab w:val="left" w:pos="864"/>
        <w:tab w:val="left" w:pos="7881"/>
        <w:tab w:val="left" w:pos="9185"/>
        <w:tab w:val="left" w:pos="10489"/>
        <w:tab w:val="left" w:pos="11793"/>
        <w:tab w:val="left" w:pos="13097"/>
        <w:tab w:val="left" w:pos="14401"/>
      </w:tabs>
      <w:spacing w:before="142" w:after="85"/>
    </w:pPr>
    <w:rPr>
      <w:rFonts w:ascii="Arial" w:hAnsi="Arial"/>
      <w:b/>
      <w:color w:val="000000"/>
      <w:sz w:val="22"/>
      <w:szCs w:val="20"/>
    </w:rPr>
  </w:style>
  <w:style w:type="character" w:customStyle="1" w:styleId="DeltaViewInsertion">
    <w:name w:val="DeltaView Insertion"/>
    <w:rsid w:val="002F6D11"/>
    <w:rPr>
      <w:color w:val="0000FF"/>
      <w:u w:val="double"/>
    </w:rPr>
  </w:style>
  <w:style w:type="paragraph" w:customStyle="1" w:styleId="BridgeText">
    <w:name w:val="Bridge Text"/>
    <w:basedOn w:val="Normal"/>
    <w:rsid w:val="002F6D11"/>
    <w:pPr>
      <w:ind w:left="1134"/>
    </w:pPr>
    <w:rPr>
      <w:rFonts w:ascii="Arial" w:hAnsi="Arial" w:cs="Arial"/>
      <w:color w:val="000000"/>
      <w:sz w:val="22"/>
      <w:szCs w:val="20"/>
      <w:lang w:val="en-GB"/>
    </w:rPr>
  </w:style>
  <w:style w:type="character" w:styleId="PlaceholderText">
    <w:name w:val="Placeholder Text"/>
    <w:basedOn w:val="DefaultParagraphFont"/>
    <w:uiPriority w:val="99"/>
    <w:semiHidden/>
    <w:rsid w:val="005C1759"/>
    <w:rPr>
      <w:color w:val="808080"/>
    </w:rPr>
  </w:style>
  <w:style w:type="character" w:customStyle="1" w:styleId="zzmpTrailerItem">
    <w:name w:val="zzmpTrailerItem"/>
    <w:basedOn w:val="DefaultParagraphFont"/>
    <w:rsid w:val="005C1759"/>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8147</Characters>
  <Application>Microsoft Office Word</Application>
  <DocSecurity>0</DocSecurity>
  <PresentationFormat/>
  <Lines>135</Lines>
  <Paragraphs>22</Paragraphs>
  <Slides>0</Slides>
  <Notes>0</Notes>
  <HiddenSlides>0</HiddenSlides>
  <MMClips>0</MMClip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2020-06-25T13:48:44Z</cp:lastPrinted>
  <dcterms:created xsi:type="dcterms:W3CDTF">2020-06-25T13:48:00Z</dcterms:created>
  <dcterms:modified xsi:type="dcterms:W3CDTF">2020-06-25T13:48:00Z</dcterms:modified>
</cp:coreProperties>
</file>