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bookmarkStart w:id="0" w:name="_GoBack" w:displacedByCustomXml="next"/>
    <w:bookmarkEnd w:id="0" w:displacedByCustomXml="next"/>
    <w:sdt>
      <w:sdtPr>
        <w:alias w:val="LegislativeDocument"/>
        <w:tag w:val="n=LegislativeDocument|IsDocumentLinedUp=false|SessionName="/>
        <w:id w:val="1575674707"/>
        <w:richText/>
      </w:sdtPr>
      <w:sdtContent>
        <w:sdt>
          <w:sdtPr>
            <w:alias w:val="Bill"/>
            <w:tag w:val="n=Bill|BillChamber=House|BillType=General"/>
            <w:id w:val="1575674706"/>
            <w:richText/>
          </w:sdtPr>
          <w:sdtContent>
            <w:sdt>
              <w:sdtPr>
                <w:alias w:val="Title"/>
                <w:tag w:val="n=Title"/>
                <w:id w:val="1575674701"/>
                <w:richText/>
              </w:sdtPr>
              <w:sdtContent>
                <w:sdt>
                  <w:sdtPr>
                    <w:alias w:val="TitleLine"/>
                    <w:tag w:val="n=TitleLine"/>
                    <w:id w:val="1575674699"/>
                    <w:richText/>
                  </w:sdtPr>
                  <w:sdtContent>
                    <w:p w:rsidR="00D6328F" w:rsidRPr="009815AE" w:rsidP="008157BC" w14:paraId="7FB8E906" w14:textId="77777777">
                      <w:pPr>
                        <w:jc w:val="center"/>
                      </w:pPr>
                      <w:r w:rsidRPr="009815AE">
                        <w:t>A bill to be entitled</w:t>
                      </w:r>
                    </w:p>
                  </w:sdtContent>
                </w:sdt>
                <w:sdt>
                  <w:sdtPr>
                    <w:alias w:val="TitleText"/>
                    <w:tag w:val="n=TitleText"/>
                    <w:id w:val="1575674700"/>
                    <w:richText/>
                  </w:sdtPr>
                  <w:sdtContent>
                    <w:p w:rsidR="00D6328F" w:rsidRPr="009815AE" w:rsidP="008157BC" w14:paraId="73D092CC" w14:textId="77777777">
                      <w:pPr>
                        <w:ind w:left="720" w:right="720"/>
                      </w:pPr>
                      <w:r w:rsidRPr="009815AE">
                        <w:t xml:space="preserve">An act relating to real estate conveyances; amending s. 689.01, F.S.; providing that </w:t>
                      </w:r>
                      <w:r>
                        <w:t>subscribing</w:t>
                      </w:r>
                      <w:r w:rsidRPr="009815AE">
                        <w:t xml:space="preserve"> witnesses are not required to validate certain instruments conveying a leasehold interest in real property; specifying that certain instruments assigning or surrendering an estate or freehold interest must be in writing; providing an effective date.</w:t>
                      </w:r>
                    </w:p>
                  </w:sdtContent>
                </w:sdt>
              </w:sdtContent>
            </w:sdt>
            <w:p w:rsidR="00D6328F" w:rsidRPr="009815AE" w:rsidP="008157BC" w14:paraId="239C939F" w14:textId="77777777"/>
            <w:sdt>
              <w:sdtPr>
                <w:alias w:val="ERClause"/>
                <w:tag w:val="n=ERClause"/>
                <w:id w:val="1575674702"/>
                <w:richText/>
              </w:sdtPr>
              <w:sdtContent>
                <w:p w:rsidR="00D6328F" w:rsidRPr="009815AE" w:rsidP="008157BC" w14:paraId="48D809D0" w14:textId="77777777">
                  <w:r w:rsidRPr="009815AE">
                    <w:t>Be It Enacted by the Legislature of the State of Florida:</w:t>
                  </w:r>
                </w:p>
              </w:sdtContent>
            </w:sdt>
            <w:sdt>
              <w:sdtPr>
                <w:alias w:val="Body"/>
                <w:tag w:val="n=Body"/>
                <w:id w:val="1575674705"/>
                <w:richText/>
              </w:sdtPr>
              <w:sdtContent>
                <w:p w:rsidR="00D6328F" w:rsidRPr="009815AE" w:rsidP="008157BC" w14:paraId="22FD3C3E" w14:textId="77777777"/>
                <w:sdt>
                  <w:sdtPr>
                    <w:alias w:val="BillSection"/>
                    <w:tag w:val="n=BillSection|BillSectionNumber=1"/>
                    <w:id w:val="-804393718"/>
                    <w:richText/>
                  </w:sdtPr>
                  <w:sdtContent>
                    <w:p w:rsidR="00D6328F" w:rsidRPr="009815AE" w:rsidP="008157BC" w14:paraId="67FCDB88" w14:textId="77777777">
                      <w:r w:rsidRPr="009815AE">
                        <w:tab/>
                        <w:t>Section 1.  Subsection (1) of section 689.01, Florida Statutes, is amended to read:</w:t>
                      </w:r>
                    </w:p>
                    <w:p w:rsidR="00D6328F" w:rsidRPr="009815AE" w:rsidP="008157BC" w14:paraId="6A7ED568" w14:textId="77777777">
                      <w:r w:rsidRPr="009815AE">
                        <w:tab/>
                        <w:t>689.01  How real estate conveyed.—</w:t>
                      </w:r>
                    </w:p>
                    <w:p w:rsidR="00D6328F" w:rsidRPr="009815AE" w:rsidP="008157BC" w14:paraId="1ECDF14B" w14:textId="77777777">
                      <w:r w:rsidRPr="009815AE">
                        <w:tab/>
                        <w:t xml:space="preserve">(1)  </w:t>
                      </w:r>
                      <w:r w:rsidRPr="009815AE">
                        <w:rPr>
                          <w:u w:val="single"/>
                        </w:rPr>
                        <w:t>An</w:t>
                      </w:r>
                      <w:r w:rsidRPr="009815AE">
                        <w:t xml:space="preserve"> </w:t>
                      </w:r>
                      <w:r w:rsidRPr="009815AE">
                        <w:rPr>
                          <w:strike/>
                        </w:rPr>
                        <w:t>No</w:t>
                      </w:r>
                      <w:r w:rsidRPr="009815AE">
                        <w:t xml:space="preserve"> estate or </w:t>
                      </w:r>
                      <w:r w:rsidRPr="009815AE">
                        <w:rPr>
                          <w:u w:val="single"/>
                        </w:rPr>
                        <w:t>freehold</w:t>
                      </w:r>
                      <w:r w:rsidRPr="009815AE">
                        <w:t xml:space="preserve"> interest </w:t>
                      </w:r>
                      <w:r w:rsidRPr="009815AE">
                        <w:rPr>
                          <w:strike/>
                        </w:rPr>
                        <w:t>of freehold, or for a term of more than 1 year, or any uncertain interest</w:t>
                      </w:r>
                      <w:r w:rsidRPr="009815AE">
                        <w:t xml:space="preserve"> of, in</w:t>
                      </w:r>
                      <w:r w:rsidRPr="009815AE">
                        <w:rPr>
                          <w:u w:val="single"/>
                        </w:rPr>
                        <w:t>, to,</w:t>
                      </w:r>
                      <w:r w:rsidRPr="009815AE">
                        <w:t xml:space="preserve"> or out of any messuages, lands, tenements</w:t>
                      </w:r>
                      <w:r w:rsidRPr="009815AE">
                        <w:rPr>
                          <w:u w:val="single"/>
                        </w:rPr>
                        <w:t>,</w:t>
                      </w:r>
                      <w:r w:rsidRPr="009815AE">
                        <w:t xml:space="preserve"> or hereditaments </w:t>
                      </w:r>
                      <w:r w:rsidRPr="009815AE">
                        <w:rPr>
                          <w:u w:val="single"/>
                        </w:rPr>
                        <w:t>may not</w:t>
                      </w:r>
                      <w:r w:rsidRPr="009815AE">
                        <w:t xml:space="preserve"> </w:t>
                      </w:r>
                      <w:r w:rsidRPr="009815AE">
                        <w:rPr>
                          <w:strike/>
                        </w:rPr>
                        <w:t>shall</w:t>
                      </w:r>
                      <w:r w:rsidRPr="009815AE">
                        <w:t xml:space="preserve"> be created, made, granted, transferred</w:t>
                      </w:r>
                      <w:r w:rsidRPr="009815AE">
                        <w:rPr>
                          <w:u w:val="single"/>
                        </w:rPr>
                        <w:t>,</w:t>
                      </w:r>
                      <w:r w:rsidRPr="009815AE">
                        <w:t xml:space="preserve"> or released in any </w:t>
                      </w:r>
                      <w:r w:rsidRPr="009815AE">
                        <w:rPr>
                          <w:strike/>
                        </w:rPr>
                        <w:t>other</w:t>
                      </w:r>
                      <w:r w:rsidRPr="009815AE">
                        <w:t xml:space="preserve"> manner </w:t>
                      </w:r>
                      <w:r w:rsidRPr="009815AE">
                        <w:rPr>
                          <w:u w:val="single"/>
                        </w:rPr>
                        <w:t>other</w:t>
                      </w:r>
                      <w:r w:rsidRPr="009815AE">
                        <w:t xml:space="preserve"> than by instrument in writing, signed in the presence of two subscribing witnesses by the party creating, making, granting, conveying, transferring</w:t>
                      </w:r>
                      <w:r w:rsidRPr="009815AE">
                        <w:rPr>
                          <w:u w:val="single"/>
                        </w:rPr>
                        <w:t>,</w:t>
                      </w:r>
                      <w:r w:rsidRPr="009815AE">
                        <w:t xml:space="preserve"> or releasing such estate </w:t>
                      </w:r>
                      <w:r w:rsidRPr="009815AE">
                        <w:rPr>
                          <w:u w:val="single"/>
                        </w:rPr>
                        <w:t>or freehold</w:t>
                      </w:r>
                      <w:r w:rsidRPr="009815AE">
                        <w:rPr>
                          <w:strike/>
                        </w:rPr>
                        <w:t>,</w:t>
                      </w:r>
                      <w:r w:rsidRPr="009815AE">
                        <w:t xml:space="preserve"> interest, </w:t>
                      </w:r>
                      <w:r w:rsidRPr="009815AE">
                        <w:rPr>
                          <w:strike/>
                        </w:rPr>
                        <w:t>or term of more than 1 year,</w:t>
                      </w:r>
                      <w:r w:rsidRPr="009815AE">
                        <w:t xml:space="preserve"> or by the party's lawfully authorized agent, unless by will and testament, or other testamentary appointment, duly made according to law</w:t>
                      </w:r>
                      <w:r w:rsidRPr="009815AE">
                        <w:rPr>
                          <w:u w:val="single"/>
                        </w:rPr>
                        <w:t>. An</w:t>
                      </w:r>
                      <w:r w:rsidRPr="009815AE">
                        <w:rPr>
                          <w:strike/>
                        </w:rPr>
                        <w:t>; and no</w:t>
                      </w:r>
                      <w:r w:rsidRPr="009815AE">
                        <w:t xml:space="preserve"> estate or </w:t>
                      </w:r>
                      <w:r w:rsidRPr="009815AE">
                        <w:rPr>
                          <w:u w:val="single"/>
                        </w:rPr>
                        <w:t>freehold</w:t>
                      </w:r>
                      <w:r w:rsidRPr="009815AE">
                        <w:t xml:space="preserve"> interest</w:t>
                      </w:r>
                      <w:r w:rsidRPr="009815AE">
                        <w:rPr>
                          <w:strike/>
                        </w:rPr>
                        <w:t xml:space="preserve">, </w:t>
                      </w:r>
                      <w:r w:rsidRPr="009815AE">
                        <w:rPr>
                          <w:strike/>
                        </w:rPr>
                        <w:t>either of freehold, or of term of more than 1 year, or any uncertain interest</w:t>
                      </w:r>
                      <w:r w:rsidRPr="009815AE">
                        <w:t xml:space="preserve"> of, in, to, or out of any messuages, lands, tenements</w:t>
                      </w:r>
                      <w:r w:rsidRPr="009815AE">
                        <w:rPr>
                          <w:u w:val="single"/>
                        </w:rPr>
                        <w:t>,</w:t>
                      </w:r>
                      <w:r w:rsidRPr="009815AE">
                        <w:t xml:space="preserve"> or hereditaments </w:t>
                      </w:r>
                      <w:r w:rsidRPr="009815AE">
                        <w:rPr>
                          <w:u w:val="single"/>
                        </w:rPr>
                        <w:t>may not</w:t>
                      </w:r>
                      <w:r w:rsidRPr="009815AE">
                        <w:t xml:space="preserve"> </w:t>
                      </w:r>
                      <w:r w:rsidRPr="009815AE">
                        <w:rPr>
                          <w:strike/>
                        </w:rPr>
                        <w:t>,shall</w:t>
                      </w:r>
                      <w:r w:rsidRPr="009815AE">
                        <w:t xml:space="preserve"> be assigned or surrendered </w:t>
                      </w:r>
                      <w:r w:rsidRPr="009815AE">
                        <w:rPr>
                          <w:u w:val="single"/>
                        </w:rPr>
                        <w:t>in any manner other than</w:t>
                      </w:r>
                      <w:r w:rsidRPr="009815AE">
                        <w:t xml:space="preserve"> </w:t>
                      </w:r>
                      <w:r w:rsidRPr="009815AE">
                        <w:rPr>
                          <w:strike/>
                        </w:rPr>
                        <w:t>unless it be</w:t>
                      </w:r>
                      <w:r w:rsidRPr="009815AE">
                        <w:t xml:space="preserve"> by instrument </w:t>
                      </w:r>
                      <w:r w:rsidRPr="009815AE">
                        <w:rPr>
                          <w:u w:val="single"/>
                        </w:rPr>
                        <w:t>in writing,</w:t>
                      </w:r>
                      <w:r w:rsidRPr="009815AE">
                        <w:t xml:space="preserve"> signed in the presence of two subscribing witnesses by the party so assigning or surrendering, or by the party's lawfully authorized agent, or by the act and operation of law. </w:t>
                      </w:r>
                      <w:r>
                        <w:rPr>
                          <w:u w:val="single"/>
                        </w:rPr>
                        <w:t>However,</w:t>
                      </w:r>
                      <w:r w:rsidRPr="009815AE">
                        <w:rPr>
                          <w:u w:val="single"/>
                        </w:rPr>
                        <w:t xml:space="preserve"> subscribing witnesses are not required to validate an instrument in writing seeking to create, make, grant, transfer, release, assign, or surrender a leasehold interest in real property. A</w:t>
                      </w:r>
                      <w:r w:rsidRPr="009815AE">
                        <w:t xml:space="preserve"> </w:t>
                      </w:r>
                      <w:r w:rsidRPr="009815AE">
                        <w:rPr>
                          <w:strike/>
                        </w:rPr>
                        <w:t>No</w:t>
                      </w:r>
                      <w:r w:rsidRPr="009815AE">
                        <w:t xml:space="preserve"> seal </w:t>
                      </w:r>
                      <w:r w:rsidRPr="009815AE">
                        <w:rPr>
                          <w:u w:val="single"/>
                        </w:rPr>
                        <w:t>is not</w:t>
                      </w:r>
                      <w:r w:rsidRPr="009815AE">
                        <w:t xml:space="preserve"> </w:t>
                      </w:r>
                      <w:r w:rsidRPr="009815AE">
                        <w:rPr>
                          <w:strike/>
                        </w:rPr>
                        <w:t>shall be</w:t>
                      </w:r>
                      <w:r w:rsidRPr="009815AE">
                        <w:t xml:space="preserve"> necessary to give validity to any instrument executed in conformity with this section. Corporations may execute any and all conveyances in accordance with the provisions of this section or ss. 692.01 and 692.02.</w:t>
                      </w:r>
                    </w:p>
                  </w:sdtContent>
                </w:sdt>
                <w:sdt>
                  <w:sdtPr>
                    <w:alias w:val="BillSection"/>
                    <w:tag w:val="n=BillSection|BillSectionNumber=2"/>
                    <w:id w:val="2078169795"/>
                    <w:richText/>
                  </w:sdtPr>
                  <w:sdtContent>
                    <w:p w:rsidR="00D6328F" w14:paraId="5DAE7D0C" w14:textId="77777777">
                      <w:r w:rsidRPr="009815AE">
                        <w:tab/>
                        <w:t xml:space="preserve">Section 2.  This act shall take effect </w:t>
                      </w:r>
                      <w:sdt>
                        <w:sdtPr>
                          <w:alias w:val="EffectiveDate"/>
                          <w:tag w:val="n=EffectiveDate"/>
                          <w:id w:val="1575674703"/>
                          <w:richText/>
                        </w:sdtPr>
                        <w:sdtContent>
                          <w:r w:rsidRPr="009815AE">
                            <w:t>July 1, 2020</w:t>
                          </w:r>
                        </w:sdtContent>
                      </w:sdt>
                      <w:r w:rsidRPr="009815AE">
                        <w:t>.</w:t>
                      </w:r>
                    </w:p>
                  </w:sdtContent>
                </w:sdt>
              </w:sdtContent>
            </w:sdt>
          </w:sdtContent>
        </w:sdt>
      </w:sdtContent>
    </w:sdt>
    <w:sectPr w:rsidSect="00E3787D">
      <w:headerReference w:type="default" r:id="rId8"/>
      <w:footerReference w:type="even" r:id="rId9"/>
      <w:footerReference w:type="default" r:id="rId10"/>
      <w:headerReference w:type="first" r:id="rId11"/>
      <w:footerReference w:type="first" r:id="rId12"/>
      <w:endnotePr>
        <w:numFmt w:val="decimal"/>
      </w:endnotePr>
      <w:pgSz w:w="12240" w:h="15840" w:code="1"/>
      <w:pgMar w:top="2880" w:right="1440" w:bottom="1440" w:left="1440" w:header="1080" w:footer="1080" w:gutter="0"/>
      <w:pgBorders>
        <w:left w:val="single" w:sz="4" w:space="15" w:color="auto"/>
        <w:right w:val="single" w:sz="4" w:space="15" w:color="auto"/>
      </w:pgBorders>
      <w:lnNumType w:countBy="1" w:restart="continuou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C128c">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dvC128d">
    <w:altName w:val="Symbol"/>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01" w:rsidP="00C1351A" w14:paraId="0F90E7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7E01" w14:paraId="44FD44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01" w:rsidRPr="00BF3D78" w:rsidP="00C1351A" w14:paraId="3F09357E" w14:textId="77777777">
    <w:pPr>
      <w:pStyle w:val="Footer"/>
      <w:framePr w:wrap="around" w:vAnchor="text" w:hAnchor="margin" w:xAlign="center" w:y="1"/>
      <w:rPr>
        <w:rStyle w:val="PageNumber"/>
        <w:rFonts w:ascii="Arial Narrow" w:hAnsi="Arial Narrow"/>
      </w:rPr>
    </w:pPr>
    <w:r w:rsidRPr="00733932">
      <w:rPr>
        <w:rStyle w:val="PageNumber"/>
        <w:rFonts w:ascii="Arial Narrow" w:hAnsi="Arial Narrow"/>
        <w:snapToGrid w:val="0"/>
      </w:rPr>
      <w:t xml:space="preserve">Page </w:t>
    </w:r>
    <w:r w:rsidRPr="00733932" w:rsidR="00321014">
      <w:rPr>
        <w:rStyle w:val="PageNumber"/>
        <w:rFonts w:ascii="Arial Narrow" w:hAnsi="Arial Narrow"/>
        <w:snapToGrid w:val="0"/>
      </w:rPr>
      <w:fldChar w:fldCharType="begin"/>
    </w:r>
    <w:r w:rsidRPr="00733932">
      <w:rPr>
        <w:rStyle w:val="PageNumber"/>
        <w:rFonts w:ascii="Arial Narrow" w:hAnsi="Arial Narrow"/>
        <w:snapToGrid w:val="0"/>
      </w:rPr>
      <w:instrText xml:space="preserve"> PAGE </w:instrText>
    </w:r>
    <w:r w:rsidRPr="00733932" w:rsidR="00321014">
      <w:rPr>
        <w:rStyle w:val="PageNumber"/>
        <w:rFonts w:ascii="Arial Narrow" w:hAnsi="Arial Narrow"/>
        <w:snapToGrid w:val="0"/>
      </w:rPr>
      <w:fldChar w:fldCharType="separate"/>
    </w:r>
    <w:r w:rsidRPr="00733932">
      <w:rPr>
        <w:rStyle w:val="PageNumber"/>
        <w:rFonts w:ascii="Arial Narrow" w:hAnsi="Arial Narrow"/>
        <w:snapToGrid w:val="0"/>
      </w:rPr>
      <w:t>2</w:t>
    </w:r>
    <w:r w:rsidRPr="00733932" w:rsidR="00321014">
      <w:rPr>
        <w:rStyle w:val="PageNumber"/>
        <w:rFonts w:ascii="Arial Narrow" w:hAnsi="Arial Narrow"/>
        <w:snapToGrid w:val="0"/>
      </w:rPr>
      <w:fldChar w:fldCharType="end"/>
    </w:r>
    <w:r w:rsidRPr="00733932">
      <w:rPr>
        <w:rStyle w:val="PageNumber"/>
        <w:rFonts w:ascii="Arial Narrow" w:hAnsi="Arial Narrow"/>
        <w:snapToGrid w:val="0"/>
      </w:rPr>
      <w:t xml:space="preserve"> of </w:t>
    </w:r>
    <w:r w:rsidRPr="00733932" w:rsidR="00321014">
      <w:rPr>
        <w:rStyle w:val="PageNumber"/>
        <w:rFonts w:ascii="Arial Narrow" w:hAnsi="Arial Narrow"/>
        <w:snapToGrid w:val="0"/>
      </w:rPr>
      <w:fldChar w:fldCharType="begin"/>
    </w:r>
    <w:r w:rsidRPr="00733932">
      <w:rPr>
        <w:rStyle w:val="PageNumber"/>
        <w:rFonts w:ascii="Arial Narrow" w:hAnsi="Arial Narrow"/>
        <w:snapToGrid w:val="0"/>
      </w:rPr>
      <w:instrText xml:space="preserve"> NUMPAGES </w:instrText>
    </w:r>
    <w:r w:rsidRPr="00733932" w:rsidR="00321014">
      <w:rPr>
        <w:rStyle w:val="PageNumber"/>
        <w:rFonts w:ascii="Arial Narrow" w:hAnsi="Arial Narrow"/>
        <w:snapToGrid w:val="0"/>
      </w:rPr>
      <w:fldChar w:fldCharType="separate"/>
    </w:r>
    <w:r w:rsidRPr="00733932">
      <w:rPr>
        <w:rStyle w:val="PageNumber"/>
        <w:rFonts w:ascii="Arial Narrow" w:hAnsi="Arial Narrow"/>
        <w:snapToGrid w:val="0"/>
      </w:rPr>
      <w:t>2</w:t>
    </w:r>
    <w:r w:rsidRPr="00733932" w:rsidR="00321014">
      <w:rPr>
        <w:rStyle w:val="PageNumber"/>
        <w:rFonts w:ascii="Arial Narrow" w:hAnsi="Arial Narrow"/>
        <w:snapToGrid w:val="0"/>
      </w:rPr>
      <w:fldChar w:fldCharType="end"/>
    </w:r>
  </w:p>
  <w:sdt>
    <w:sdtPr>
      <w:alias w:val="BillFooter"/>
      <w:tag w:val="n=BillFooter"/>
      <w:id w:val="1575674719"/>
      <w:richText/>
    </w:sdtPr>
    <w:sdtEndPr>
      <w:rPr>
        <w:rFonts w:ascii="Arial Narrow" w:hAnsi="Arial Narrow"/>
      </w:rPr>
    </w:sdtEndPr>
    <w:sdtContent>
      <w:p w:rsidR="001C7E01" w14:paraId="5F55FE69" w14:textId="77777777">
        <w:pPr>
          <w:spacing w:line="240" w:lineRule="exact"/>
        </w:pPr>
      </w:p>
      <w:sdt>
        <w:sdtPr>
          <w:rPr>
            <w:rFonts w:ascii="Arial Narrow" w:hAnsi="Arial Narrow"/>
          </w:rPr>
          <w:alias w:val="DraftNumber"/>
          <w:tag w:val="n=DraftNumber"/>
          <w:id w:val="1575674717"/>
          <w:richText/>
        </w:sdtPr>
        <w:sdtContent>
          <w:p w:rsidR="001C7E01" w:rsidRPr="00673057" w:rsidP="003F2A10" w14:paraId="010DE19B" w14:textId="77777777">
            <w:pPr>
              <w:tabs>
                <w:tab w:val="center" w:pos="4728"/>
                <w:tab w:val="left" w:pos="5448"/>
                <w:tab w:val="left" w:pos="6168"/>
                <w:tab w:val="left" w:pos="6888"/>
                <w:tab w:val="left" w:pos="7608"/>
                <w:tab w:val="left" w:pos="8328"/>
                <w:tab w:val="left" w:pos="9048"/>
              </w:tabs>
              <w:ind w:left="-317" w:right="-403"/>
              <w:rPr>
                <w:rFonts w:ascii="Arial Narrow" w:hAnsi="Arial Narrow"/>
              </w:rPr>
            </w:pPr>
            <w:r>
              <w:rPr>
                <w:rFonts w:ascii="Arial Narrow" w:hAnsi="Arial Narrow"/>
              </w:rPr>
              <w:t>70157</w:t>
            </w:r>
          </w:p>
        </w:sdtContent>
      </w:sdt>
      <w:p w:rsidR="001C7E01" w14:paraId="0C94BA86" w14:textId="77777777">
        <w:pPr>
          <w:ind w:left="-312" w:right="-396"/>
          <w:rPr>
            <w:rFonts w:ascii="Arial Narrow" w:hAnsi="Arial Narrow"/>
            <w:color w:val="000000"/>
          </w:rPr>
        </w:pPr>
        <w:r w:rsidRPr="00354AE2">
          <w:rPr>
            <w:rFonts w:ascii="Arial Narrow" w:hAnsi="Arial Narrow"/>
          </w:rPr>
          <w:t xml:space="preserve">CODING: Words </w:t>
        </w:r>
        <w:r w:rsidRPr="00CC2E41">
          <w:rPr>
            <w:rFonts w:ascii="Arial Narrow" w:hAnsi="Arial Narrow"/>
            <w:strike/>
            <w:color w:val="FF0000"/>
          </w:rPr>
          <w:t>stricken</w:t>
        </w:r>
        <w:r w:rsidRPr="00354AE2">
          <w:rPr>
            <w:rFonts w:ascii="Arial Narrow" w:hAnsi="Arial Narrow"/>
          </w:rPr>
          <w:t xml:space="preserve"> are deletions; words </w:t>
        </w:r>
        <w:r w:rsidRPr="00700EEA">
          <w:rPr>
            <w:rFonts w:ascii="Arial Narrow" w:hAnsi="Arial Narrow"/>
            <w:color w:val="0000FF"/>
            <w:u w:val="single"/>
          </w:rPr>
          <w:t>underlined</w:t>
        </w:r>
        <w:r w:rsidRPr="00354AE2">
          <w:rPr>
            <w:rFonts w:ascii="Arial Narrow" w:hAnsi="Arial Narrow"/>
            <w:color w:val="000000"/>
          </w:rPr>
          <w:t xml:space="preserve"> are additions.</w:t>
        </w:r>
      </w:p>
      <w:sdt>
        <w:sdtPr>
          <w:rPr>
            <w:rFonts w:ascii="Arial Narrow" w:hAnsi="Arial Narrow"/>
          </w:rPr>
          <w:alias w:val="Version"/>
          <w:tag w:val="n=Version"/>
          <w:id w:val="1575674718"/>
          <w:richText/>
        </w:sdtPr>
        <w:sdtContent>
          <w:p w:rsidR="003F2A10" w:rsidRPr="00354AE2" w:rsidP="003F2A10" w14:paraId="40C45789" w14:textId="77777777">
            <w:pPr>
              <w:ind w:left="-312" w:right="-396"/>
              <w:jc w:val="right"/>
              <w:rPr>
                <w:rFonts w:ascii="Arial Narrow" w:hAnsi="Arial Narrow"/>
                <w:color w:val="000000"/>
              </w:rPr>
            </w:pPr>
            <w:r>
              <w:rPr>
                <w:rFonts w:ascii="Arial Narrow" w:hAnsi="Arial Narrow"/>
              </w:rPr>
              <w:t>V</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01" w:rsidRPr="00354AE2" w:rsidP="00C6642C" w14:paraId="57D39A91" w14:textId="77777777">
    <w:pPr>
      <w:ind w:left="-312" w:right="-396"/>
      <w:rPr>
        <w:rFonts w:ascii="Arial Narrow" w:hAnsi="Arial Narrow"/>
        <w:color w:val="000000"/>
      </w:rPr>
    </w:pPr>
    <w:r w:rsidRPr="00354AE2">
      <w:rPr>
        <w:rFonts w:ascii="Arial Narrow" w:hAnsi="Arial Narrow"/>
      </w:rPr>
      <w:t xml:space="preserve">CODING: Words </w:t>
    </w:r>
    <w:r w:rsidRPr="00CC2E41">
      <w:rPr>
        <w:rFonts w:ascii="Arial Narrow" w:hAnsi="Arial Narrow"/>
        <w:strike/>
        <w:color w:val="FF0000"/>
      </w:rPr>
      <w:t>stricken</w:t>
    </w:r>
    <w:r w:rsidRPr="00354AE2">
      <w:rPr>
        <w:rFonts w:ascii="Arial Narrow" w:hAnsi="Arial Narrow"/>
      </w:rPr>
      <w:t xml:space="preserve"> are deletions; words </w:t>
    </w:r>
    <w:r w:rsidRPr="00700EEA">
      <w:rPr>
        <w:rFonts w:ascii="Arial Narrow" w:hAnsi="Arial Narrow"/>
        <w:color w:val="0000FF"/>
        <w:u w:val="single"/>
      </w:rPr>
      <w:t>underlined</w:t>
    </w:r>
    <w:r w:rsidRPr="00354AE2">
      <w:rPr>
        <w:rFonts w:ascii="Arial Narrow" w:hAnsi="Arial Narrow"/>
        <w:color w:val="000000"/>
      </w:rPr>
      <w:t xml:space="preserve"> are additions.</w:t>
    </w:r>
  </w:p>
  <w:p w:rsidR="001C7E01" w:rsidP="00627BCB" w14:paraId="6BDD9F8A" w14:textId="77777777">
    <w:pPr>
      <w:pStyle w:val="Footer"/>
      <w:tabs>
        <w:tab w:val="clear" w:pos="4320"/>
        <w:tab w:val="left" w:pos="5940"/>
        <w:tab w:val="clear" w:pos="864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alias w:val="BillHeader"/>
      <w:tag w:val="n=BillHeader"/>
      <w:id w:val="1575674716"/>
      <w:richText/>
    </w:sdtPr>
    <w:sdtContent>
      <w:p w:rsidR="008922C7" w:rsidP="00DC5EC4" w14:paraId="52BADE5A" w14:textId="77777777">
        <w:pPr>
          <w:tabs>
            <w:tab w:val="left" w:pos="4320"/>
            <w:tab w:val="right" w:pos="9360"/>
          </w:tabs>
          <w:spacing w:line="240" w:lineRule="auto"/>
        </w:pPr>
        <w:r>
          <w:rPr>
            <w:noProof/>
          </w:rPr>
          <w:pict>
            <v:shapetype id="_x0000_t202" coordsize="21600,21600" o:spt="202" path="m,l,21600r21600,l21600,xe">
              <v:stroke joinstyle="miter"/>
              <v:path gradientshapeok="t" o:connecttype="rect"/>
            </v:shapetype>
            <v:shape id="_x0000_s2049" type="#_x0000_t202" style="width:590.4pt;height:18pt;margin-top:27.4pt;margin-left:0;mso-position-horizontal:center;mso-position-horizontal-relative:page;mso-position-vertical-relative:page;position:absolute;z-index:251659264" filled="f" stroked="f">
              <v:textbox>
                <w:txbxContent>
                  <w:p w:rsidR="00551DFC" w:rsidRPr="006D0BE1" w:rsidP="00551DFC" w14:paraId="4F5DB7F5" w14:textId="77777777">
                    <w:pPr>
                      <w:jc w:val="center"/>
                      <w:rPr>
                        <w:rFonts w:ascii="Arial" w:hAnsi="Arial"/>
                        <w:bCs/>
                        <w:caps/>
                        <w:sz w:val="20"/>
                        <w:szCs w:val="20"/>
                      </w:rPr>
                    </w:pPr>
                    <w:r w:rsidRPr="006D0BE1">
                      <w:rPr>
                        <w:rFonts w:ascii="Arial" w:hAnsi="Arial"/>
                        <w:bCs/>
                        <w:caps/>
                        <w:spacing w:val="220"/>
                        <w:sz w:val="20"/>
                        <w:szCs w:val="20"/>
                      </w:rPr>
                      <w:t>Florida House of Representative</w:t>
                    </w:r>
                    <w:r w:rsidRPr="006D0BE1">
                      <w:rPr>
                        <w:rFonts w:ascii="Arial" w:hAnsi="Arial"/>
                        <w:bCs/>
                        <w:caps/>
                        <w:sz w:val="20"/>
                        <w:szCs w:val="20"/>
                      </w:rPr>
                      <w:t>s</w:t>
                    </w:r>
                  </w:p>
                  <w:p w:rsidR="00551DFC" w:rsidP="00551DFC" w14:paraId="59671EB9" w14:textId="77777777">
                    <w:pPr>
                      <w:jc w:val="center"/>
                      <w:rPr>
                        <w:rFonts w:ascii="Arial" w:hAnsi="Arial"/>
                        <w:szCs w:val="20"/>
                      </w:rPr>
                    </w:pPr>
                  </w:p>
                  <w:p w:rsidR="00551DFC" w:rsidP="00551DFC" w14:paraId="64128E8C" w14:textId="77777777">
                    <w:pPr>
                      <w:jc w:val="center"/>
                      <w:rPr>
                        <w:rFonts w:ascii="Arial" w:hAnsi="Arial"/>
                        <w:szCs w:val="20"/>
                      </w:rPr>
                    </w:pPr>
                  </w:p>
                  <w:p w:rsidR="00551DFC" w:rsidRPr="006266A1" w:rsidP="00551DFC" w14:paraId="36F38DEA" w14:textId="77777777">
                    <w:pPr>
                      <w:rPr>
                        <w:szCs w:val="20"/>
                      </w:rPr>
                    </w:pPr>
                  </w:p>
                </w:txbxContent>
              </v:textbox>
              <w10:wrap type="square"/>
            </v:shape>
          </w:pict>
        </w:r>
        <w:sdt>
          <w:sdtPr>
            <w:alias w:val="Barcode"/>
            <w:tag w:val="n=Barcode"/>
            <w:id w:val="1575674708"/>
            <w:richText/>
          </w:sdtPr>
          <w:sdtContent/>
        </w:sdt>
        <w:r w:rsidR="00F763DA">
          <w:tab/>
        </w:r>
        <w:r w:rsidR="00F763DA">
          <w:tab/>
        </w:r>
        <w:sdt>
          <w:sdtPr>
            <w:alias w:val="Copy"/>
            <w:tag w:val="n=Copy"/>
            <w:id w:val="1575674709"/>
            <w:richText/>
          </w:sdtPr>
          <w:sdtContent/>
        </w:sdt>
      </w:p>
      <w:sdt>
        <w:sdtPr>
          <w:alias w:val="Enrolled"/>
          <w:tag w:val="n=Enrolled"/>
          <w:id w:val="1575674710"/>
          <w:richText/>
        </w:sdtPr>
        <w:sdtContent>
          <w:p w:rsidR="008922C7" w:rsidP="008922C7" w14:paraId="65F10287" w14:textId="77777777"/>
        </w:sdtContent>
      </w:sdt>
      <w:p w:rsidR="008922C7" w:rsidP="00FD4549" w14:paraId="69FADB18" w14:textId="77777777">
        <w:pPr>
          <w:tabs>
            <w:tab w:val="center" w:pos="4320"/>
            <w:tab w:val="right" w:pos="9360"/>
          </w:tabs>
        </w:pPr>
        <w:sdt>
          <w:sdtPr>
            <w:alias w:val="BillName"/>
            <w:tag w:val="n=BillName"/>
            <w:id w:val="1575674711"/>
            <w:richText/>
          </w:sdtPr>
          <w:sdtContent>
            <w:r w:rsidRPr="004D3EFF" w:rsidR="00A334C3">
              <w:rPr>
                <w:rFonts w:ascii="Arial Narrow" w:hAnsi="Arial Narrow"/>
                <w:sz w:val="22"/>
                <w:szCs w:val="22"/>
              </w:rPr>
              <w:t>BILL</w:t>
            </w:r>
          </w:sdtContent>
        </w:sdt>
        <w:sdt>
          <w:sdtPr>
            <w:alias w:val="Engrossed"/>
            <w:tag w:val="n=Engrossed"/>
            <w:id w:val="1575674712"/>
            <w:richText/>
          </w:sdtPr>
          <w:sdtContent/>
        </w:sdt>
        <w:r w:rsidR="0019493B">
          <w:tab/>
        </w:r>
        <w:sdt>
          <w:sdtPr>
            <w:alias w:val="DocumentStatus"/>
            <w:tag w:val="n=DocumentStatus"/>
            <w:id w:val="1575674713"/>
            <w:richText/>
          </w:sdtPr>
          <w:sdtContent>
            <w:r w:rsidR="00A334C3">
              <w:rPr>
                <w:rFonts w:ascii="Arial Narrow" w:hAnsi="Arial Narrow"/>
                <w:sz w:val="22"/>
                <w:szCs w:val="22"/>
              </w:rPr>
              <w:t>ORIGINAL</w:t>
            </w:r>
          </w:sdtContent>
        </w:sdt>
        <w:r w:rsidR="00ED43CD">
          <w:tab/>
        </w:r>
        <w:sdt>
          <w:sdtPr>
            <w:alias w:val="LegislativeYear"/>
            <w:tag w:val="n=LegislativeYear"/>
            <w:id w:val="1575674714"/>
            <w:richText/>
          </w:sdtPr>
          <w:sdtContent>
            <w:r w:rsidRPr="004D3EFF" w:rsidR="00A334C3">
              <w:rPr>
                <w:rFonts w:ascii="Arial Narrow" w:hAnsi="Arial Narrow"/>
                <w:sz w:val="22"/>
                <w:szCs w:val="22"/>
              </w:rPr>
              <w:t>YEAR</w:t>
            </w:r>
          </w:sdtContent>
        </w:sdt>
      </w:p>
      <w:sdt>
        <w:sdtPr>
          <w:rPr>
            <w:rStyle w:val="PlaceholderText"/>
          </w:rPr>
          <w:alias w:val="Introducers"/>
          <w:tag w:val="n=Introducers"/>
          <w:id w:val="1575674715"/>
          <w:richText/>
        </w:sdtPr>
        <w:sdtEndPr>
          <w:rPr>
            <w:rStyle w:val="DefaultParagraphFont"/>
            <w:color w:val="auto"/>
          </w:rPr>
        </w:sdtEndPr>
        <w:sdtContent>
          <w:p w:rsidR="000677B6" w:rsidP="00D8398A" w14:paraId="57B410B1" w14:textId="77777777"/>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01" w:rsidRPr="001531A4" w:rsidP="00C6642C" w14:paraId="207FA04C" w14:textId="77777777">
    <w:pPr>
      <w:pStyle w:val="Header"/>
      <w:tabs>
        <w:tab w:val="clear" w:pos="8640"/>
        <w:tab w:val="right" w:pos="9360"/>
        <w:tab w:val="right" w:pos="11520"/>
        <w:tab w:val="right" w:pos="23040"/>
        <w:tab w:val="right" w:pos="25920"/>
      </w:tabs>
      <w:rPr>
        <w:rFonts w:ascii="AdvC128d" w:hAnsi="AdvC128d"/>
        <w:sz w:val="28"/>
        <w:szCs w:val="28"/>
      </w:rPr>
    </w:pPr>
    <w:r>
      <w:rPr>
        <w:rFonts w:ascii="Arial Narrow" w:hAnsi="Arial Narrow"/>
        <w:noProof/>
        <w:sz w:val="28"/>
        <w:szCs w:val="28"/>
      </w:rPr>
      <w:pict>
        <v:shapetype id="_x0000_t202" coordsize="21600,21600" o:spt="202" path="m,l,21600r21600,l21600,xe">
          <v:stroke joinstyle="miter"/>
          <v:path gradientshapeok="t" o:connecttype="rect"/>
        </v:shapetype>
        <v:shape id="_x0000_s2050" type="#_x0000_t202" style="width:612pt;height:18pt;margin-top:27.2pt;margin-left:7.05pt;mso-position-horizontal-relative:page;mso-position-vertical-relative:page;position:absolute;z-index:251658240" filled="f" stroked="f">
          <v:textbox>
            <w:txbxContent>
              <w:p w:rsidR="001C7E01" w:rsidP="00F772F1" w14:paraId="408CE307" w14:textId="77777777">
                <w:pPr>
                  <w:jc w:val="center"/>
                  <w:rPr>
                    <w:rFonts w:ascii="Arial (W1)" w:hAnsi="Arial (W1)"/>
                    <w:bCs/>
                    <w:caps/>
                    <w:szCs w:val="20"/>
                  </w:rPr>
                </w:pPr>
                <w:r>
                  <w:rPr>
                    <w:rFonts w:ascii="Arial" w:hAnsi="Arial"/>
                    <w:bCs/>
                    <w:caps/>
                    <w:spacing w:val="220"/>
                    <w:szCs w:val="20"/>
                  </w:rPr>
                  <w:t>Florida House of Representative</w:t>
                </w:r>
                <w:r>
                  <w:rPr>
                    <w:rFonts w:ascii="Arial (W1)" w:hAnsi="Arial (W1)"/>
                    <w:bCs/>
                    <w:caps/>
                    <w:szCs w:val="20"/>
                  </w:rPr>
                  <w:t>s</w:t>
                </w:r>
              </w:p>
              <w:p w:rsidR="001C7E01" w:rsidP="00F772F1" w14:paraId="77EE6865" w14:textId="77777777">
                <w:pPr>
                  <w:jc w:val="center"/>
                  <w:rPr>
                    <w:rFonts w:ascii="Arial" w:hAnsi="Arial"/>
                    <w:szCs w:val="20"/>
                  </w:rPr>
                </w:pPr>
              </w:p>
            </w:txbxContent>
          </v:textbox>
          <w10:wrap type="square"/>
        </v:shape>
      </w:pict>
    </w:r>
    <w:r>
      <w:rPr>
        <w:rFonts w:ascii="AdvC128c" w:hAnsi="AdvC128c"/>
      </w:rPr>
      <w:sym w:font="AdvC128c" w:char="F020"/>
    </w:r>
    <w:r w:rsidRPr="00E15634">
      <w:rPr>
        <w:rFonts w:ascii="AdvC128c" w:hAnsi="AdvC128c"/>
      </w:rPr>
      <w:sym w:font="AdvC128c" w:char="F062"/>
    </w:r>
    <w:r w:rsidRPr="00E15634">
      <w:rPr>
        <w:rFonts w:ascii="AdvC128c" w:hAnsi="AdvC128c"/>
      </w:rPr>
      <w:sym w:font="AdvC128c" w:char="F032"/>
    </w:r>
    <w:r w:rsidRPr="00E15634">
      <w:rPr>
        <w:rFonts w:ascii="AdvC128c" w:hAnsi="AdvC128c"/>
      </w:rPr>
      <w:sym w:font="AdvC128c" w:char="F030"/>
    </w:r>
    <w:r w:rsidRPr="00E15634">
      <w:rPr>
        <w:rFonts w:ascii="AdvC128c" w:hAnsi="AdvC128c"/>
      </w:rPr>
      <w:sym w:font="AdvC128c" w:char="F030"/>
    </w:r>
    <w:r w:rsidRPr="00E15634">
      <w:rPr>
        <w:rFonts w:ascii="AdvC128c" w:hAnsi="AdvC128c"/>
      </w:rPr>
      <w:sym w:font="AdvC128c" w:char="F032"/>
    </w:r>
    <w:r w:rsidRPr="00E15634">
      <w:rPr>
        <w:rFonts w:ascii="AdvC128c" w:hAnsi="AdvC128c"/>
      </w:rPr>
      <w:sym w:font="AdvC128c" w:char="F035"/>
    </w:r>
    <w:r w:rsidRPr="00E15634">
      <w:rPr>
        <w:rFonts w:ascii="AdvC128c" w:hAnsi="AdvC128c"/>
      </w:rPr>
      <w:sym w:font="AdvC128c" w:char="F030"/>
    </w:r>
    <w:r w:rsidRPr="00E15634">
      <w:rPr>
        <w:rFonts w:ascii="AdvC128c" w:hAnsi="AdvC128c"/>
      </w:rPr>
      <w:sym w:font="AdvC128c" w:char="F039"/>
    </w:r>
    <w:r w:rsidRPr="00E15634">
      <w:rPr>
        <w:rFonts w:ascii="AdvC128c" w:hAnsi="AdvC128c"/>
      </w:rPr>
      <w:sym w:font="AdvC128c" w:char="F031"/>
    </w:r>
    <w:r>
      <w:rPr>
        <w:rFonts w:ascii="AdvC128c" w:hAnsi="AdvC128c"/>
      </w:rPr>
      <w:sym w:font="AdvC128c" w:char="F020"/>
    </w:r>
  </w:p>
  <w:p w:rsidR="001C7E01" w:rsidRPr="001531A4" w:rsidP="00A6122D" w14:paraId="5B35356F" w14:textId="77777777">
    <w:pPr>
      <w:pStyle w:val="Header"/>
      <w:tabs>
        <w:tab w:val="clear" w:pos="8640"/>
        <w:tab w:val="right" w:pos="9360"/>
        <w:tab w:val="right" w:pos="11520"/>
        <w:tab w:val="right" w:pos="23040"/>
        <w:tab w:val="right" w:pos="25920"/>
      </w:tabs>
      <w:rPr>
        <w:rFonts w:ascii="Arial Narrow" w:hAnsi="Arial Narrow"/>
        <w:sz w:val="28"/>
        <w:szCs w:val="28"/>
      </w:rPr>
    </w:pPr>
  </w:p>
  <w:p w:rsidR="001C7E01" w:rsidRPr="0036311A" w:rsidP="00C6642C" w14:paraId="234FDB83" w14:textId="77777777">
    <w:pPr>
      <w:pStyle w:val="Header"/>
      <w:tabs>
        <w:tab w:val="clear" w:pos="8640"/>
        <w:tab w:val="right" w:pos="9360"/>
        <w:tab w:val="right" w:pos="11520"/>
        <w:tab w:val="right" w:pos="23040"/>
        <w:tab w:val="right" w:pos="25920"/>
      </w:tabs>
      <w:rPr>
        <w:rFonts w:ascii="Arial" w:hAnsi="Arial" w:cs="Arial"/>
        <w:spacing w:val="220"/>
      </w:rPr>
    </w:pPr>
    <w:r>
      <w:rPr>
        <w:rFonts w:ascii="Arial Narrow" w:hAnsi="Arial Narrow"/>
        <w:spacing w:val="220"/>
        <w:sz w:val="22"/>
        <w:szCs w:val="22"/>
      </w:rPr>
      <w:t>BILL</w:t>
    </w:r>
    <w:r>
      <w:rPr>
        <w:rFonts w:ascii="Arial Narrow" w:hAnsi="Arial Narrow"/>
        <w:sz w:val="22"/>
        <w:szCs w:val="22"/>
      </w:rPr>
      <w:tab/>
    </w:r>
    <w:r>
      <w:rPr>
        <w:rFonts w:ascii="Arial Narrow" w:hAnsi="Arial Narrow"/>
        <w:sz w:val="22"/>
        <w:szCs w:val="22"/>
      </w:rPr>
      <w:tab/>
    </w:r>
    <w:r>
      <w:rPr>
        <w:rFonts w:ascii="Arial Narrow" w:hAnsi="Arial Narrow"/>
        <w:spacing w:val="220"/>
        <w:sz w:val="22"/>
        <w:szCs w:val="22"/>
      </w:rPr>
      <w:t xml:space="preserve">YEAR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3"/>
    <w:rsid w:val="00003313"/>
    <w:rsid w:val="0001004F"/>
    <w:rsid w:val="00021582"/>
    <w:rsid w:val="00021D96"/>
    <w:rsid w:val="000261A5"/>
    <w:rsid w:val="00052AC9"/>
    <w:rsid w:val="0005574A"/>
    <w:rsid w:val="00057F0A"/>
    <w:rsid w:val="00060C61"/>
    <w:rsid w:val="00062332"/>
    <w:rsid w:val="000677B6"/>
    <w:rsid w:val="000708A0"/>
    <w:rsid w:val="000714F5"/>
    <w:rsid w:val="0008220B"/>
    <w:rsid w:val="00084FCD"/>
    <w:rsid w:val="00095AD9"/>
    <w:rsid w:val="000A0271"/>
    <w:rsid w:val="000A168A"/>
    <w:rsid w:val="000A42D5"/>
    <w:rsid w:val="000A43CB"/>
    <w:rsid w:val="000A61AD"/>
    <w:rsid w:val="000B3976"/>
    <w:rsid w:val="000B3B1B"/>
    <w:rsid w:val="000C3C23"/>
    <w:rsid w:val="000C75A6"/>
    <w:rsid w:val="000D1324"/>
    <w:rsid w:val="000D7E90"/>
    <w:rsid w:val="000E1DD3"/>
    <w:rsid w:val="000E5B86"/>
    <w:rsid w:val="000F3738"/>
    <w:rsid w:val="000F3D00"/>
    <w:rsid w:val="000F40DF"/>
    <w:rsid w:val="000F759E"/>
    <w:rsid w:val="00111395"/>
    <w:rsid w:val="00111B75"/>
    <w:rsid w:val="00121124"/>
    <w:rsid w:val="0012243E"/>
    <w:rsid w:val="00126120"/>
    <w:rsid w:val="001338DD"/>
    <w:rsid w:val="00134B10"/>
    <w:rsid w:val="0014262A"/>
    <w:rsid w:val="00143C57"/>
    <w:rsid w:val="00146DF4"/>
    <w:rsid w:val="00146F82"/>
    <w:rsid w:val="001531A4"/>
    <w:rsid w:val="001602EA"/>
    <w:rsid w:val="001739BC"/>
    <w:rsid w:val="001754E0"/>
    <w:rsid w:val="00192E22"/>
    <w:rsid w:val="00193686"/>
    <w:rsid w:val="0019493B"/>
    <w:rsid w:val="001A143E"/>
    <w:rsid w:val="001A572B"/>
    <w:rsid w:val="001B7158"/>
    <w:rsid w:val="001C58BB"/>
    <w:rsid w:val="001C7E01"/>
    <w:rsid w:val="001E105A"/>
    <w:rsid w:val="001E4D37"/>
    <w:rsid w:val="001F6A46"/>
    <w:rsid w:val="00210013"/>
    <w:rsid w:val="00210B7A"/>
    <w:rsid w:val="00210DE6"/>
    <w:rsid w:val="002112E4"/>
    <w:rsid w:val="00211845"/>
    <w:rsid w:val="002204C6"/>
    <w:rsid w:val="00220E94"/>
    <w:rsid w:val="00222BD9"/>
    <w:rsid w:val="00224F00"/>
    <w:rsid w:val="00225723"/>
    <w:rsid w:val="00227D64"/>
    <w:rsid w:val="00230B55"/>
    <w:rsid w:val="00237890"/>
    <w:rsid w:val="00243145"/>
    <w:rsid w:val="00243883"/>
    <w:rsid w:val="00246331"/>
    <w:rsid w:val="00254436"/>
    <w:rsid w:val="00261C5C"/>
    <w:rsid w:val="00277C43"/>
    <w:rsid w:val="00281248"/>
    <w:rsid w:val="00283C05"/>
    <w:rsid w:val="00284B20"/>
    <w:rsid w:val="00292203"/>
    <w:rsid w:val="002A088D"/>
    <w:rsid w:val="002A0A20"/>
    <w:rsid w:val="002A2241"/>
    <w:rsid w:val="002B6B93"/>
    <w:rsid w:val="002C57B0"/>
    <w:rsid w:val="002C7ED3"/>
    <w:rsid w:val="002D0708"/>
    <w:rsid w:val="002D679F"/>
    <w:rsid w:val="002E6D02"/>
    <w:rsid w:val="002F499F"/>
    <w:rsid w:val="00303739"/>
    <w:rsid w:val="0030640B"/>
    <w:rsid w:val="00321014"/>
    <w:rsid w:val="00340402"/>
    <w:rsid w:val="00346B99"/>
    <w:rsid w:val="00352BAC"/>
    <w:rsid w:val="00354AE2"/>
    <w:rsid w:val="0036311A"/>
    <w:rsid w:val="00363EE9"/>
    <w:rsid w:val="0036505D"/>
    <w:rsid w:val="00365106"/>
    <w:rsid w:val="00375B14"/>
    <w:rsid w:val="0038473A"/>
    <w:rsid w:val="00392A3D"/>
    <w:rsid w:val="003944AA"/>
    <w:rsid w:val="00397007"/>
    <w:rsid w:val="003B623F"/>
    <w:rsid w:val="003D0555"/>
    <w:rsid w:val="003D6C91"/>
    <w:rsid w:val="003E0F4E"/>
    <w:rsid w:val="003F2822"/>
    <w:rsid w:val="003F2A10"/>
    <w:rsid w:val="003F50BD"/>
    <w:rsid w:val="00403ECA"/>
    <w:rsid w:val="004136A3"/>
    <w:rsid w:val="00420C6B"/>
    <w:rsid w:val="004273E2"/>
    <w:rsid w:val="00430230"/>
    <w:rsid w:val="00440BFB"/>
    <w:rsid w:val="00441EE9"/>
    <w:rsid w:val="004431CC"/>
    <w:rsid w:val="00443955"/>
    <w:rsid w:val="004518EC"/>
    <w:rsid w:val="00454898"/>
    <w:rsid w:val="0045613E"/>
    <w:rsid w:val="004565DF"/>
    <w:rsid w:val="00492797"/>
    <w:rsid w:val="004A606D"/>
    <w:rsid w:val="004C269F"/>
    <w:rsid w:val="004C6FD5"/>
    <w:rsid w:val="004D3EFF"/>
    <w:rsid w:val="004D4390"/>
    <w:rsid w:val="004F1C80"/>
    <w:rsid w:val="004F2053"/>
    <w:rsid w:val="004F3A65"/>
    <w:rsid w:val="00510A52"/>
    <w:rsid w:val="00515D9D"/>
    <w:rsid w:val="005227DD"/>
    <w:rsid w:val="005230F0"/>
    <w:rsid w:val="00530336"/>
    <w:rsid w:val="00546557"/>
    <w:rsid w:val="00551DFC"/>
    <w:rsid w:val="0055742B"/>
    <w:rsid w:val="005602AE"/>
    <w:rsid w:val="00560AAD"/>
    <w:rsid w:val="00565CD2"/>
    <w:rsid w:val="0056647D"/>
    <w:rsid w:val="00566FA3"/>
    <w:rsid w:val="00570386"/>
    <w:rsid w:val="00587893"/>
    <w:rsid w:val="00590D77"/>
    <w:rsid w:val="005912F9"/>
    <w:rsid w:val="00592B7B"/>
    <w:rsid w:val="005966E7"/>
    <w:rsid w:val="00597104"/>
    <w:rsid w:val="0059751E"/>
    <w:rsid w:val="005B08A1"/>
    <w:rsid w:val="005C3FF6"/>
    <w:rsid w:val="005D032A"/>
    <w:rsid w:val="005D0BDA"/>
    <w:rsid w:val="005D1B78"/>
    <w:rsid w:val="005D5F3E"/>
    <w:rsid w:val="005D705A"/>
    <w:rsid w:val="005F43F6"/>
    <w:rsid w:val="00603EF2"/>
    <w:rsid w:val="00605B5D"/>
    <w:rsid w:val="00617B58"/>
    <w:rsid w:val="006257D2"/>
    <w:rsid w:val="006266A1"/>
    <w:rsid w:val="00626BFA"/>
    <w:rsid w:val="00627BCB"/>
    <w:rsid w:val="00634DA5"/>
    <w:rsid w:val="00636B27"/>
    <w:rsid w:val="00642D7E"/>
    <w:rsid w:val="00645BEB"/>
    <w:rsid w:val="00653DB2"/>
    <w:rsid w:val="00653EE5"/>
    <w:rsid w:val="00673057"/>
    <w:rsid w:val="0067796E"/>
    <w:rsid w:val="006933A6"/>
    <w:rsid w:val="006A203F"/>
    <w:rsid w:val="006B0DA7"/>
    <w:rsid w:val="006B2156"/>
    <w:rsid w:val="006C1794"/>
    <w:rsid w:val="006D0BE1"/>
    <w:rsid w:val="006D4EE6"/>
    <w:rsid w:val="00700AE2"/>
    <w:rsid w:val="00700EEA"/>
    <w:rsid w:val="007062B6"/>
    <w:rsid w:val="00711943"/>
    <w:rsid w:val="007170A1"/>
    <w:rsid w:val="007203BA"/>
    <w:rsid w:val="00721D6B"/>
    <w:rsid w:val="00723DEA"/>
    <w:rsid w:val="00723E03"/>
    <w:rsid w:val="00733932"/>
    <w:rsid w:val="00735FF6"/>
    <w:rsid w:val="00753DD5"/>
    <w:rsid w:val="00760DB8"/>
    <w:rsid w:val="007626BB"/>
    <w:rsid w:val="007630A7"/>
    <w:rsid w:val="00763D43"/>
    <w:rsid w:val="0076598D"/>
    <w:rsid w:val="00773957"/>
    <w:rsid w:val="00777AC0"/>
    <w:rsid w:val="007834C2"/>
    <w:rsid w:val="00785B26"/>
    <w:rsid w:val="00786FDB"/>
    <w:rsid w:val="00791418"/>
    <w:rsid w:val="007A045C"/>
    <w:rsid w:val="007A2D23"/>
    <w:rsid w:val="007A34FF"/>
    <w:rsid w:val="007B3FED"/>
    <w:rsid w:val="007B6D0A"/>
    <w:rsid w:val="007C60E9"/>
    <w:rsid w:val="007E0101"/>
    <w:rsid w:val="007E68F2"/>
    <w:rsid w:val="007E7376"/>
    <w:rsid w:val="007F0088"/>
    <w:rsid w:val="007F3A0C"/>
    <w:rsid w:val="007F58C5"/>
    <w:rsid w:val="00804D8B"/>
    <w:rsid w:val="00812895"/>
    <w:rsid w:val="008144E3"/>
    <w:rsid w:val="008157BC"/>
    <w:rsid w:val="008236CB"/>
    <w:rsid w:val="00842F03"/>
    <w:rsid w:val="008535A0"/>
    <w:rsid w:val="00856C2A"/>
    <w:rsid w:val="00867FD2"/>
    <w:rsid w:val="008749E6"/>
    <w:rsid w:val="008759AC"/>
    <w:rsid w:val="00884745"/>
    <w:rsid w:val="008877AF"/>
    <w:rsid w:val="00890510"/>
    <w:rsid w:val="008922C7"/>
    <w:rsid w:val="0089593B"/>
    <w:rsid w:val="008A47D1"/>
    <w:rsid w:val="008A631E"/>
    <w:rsid w:val="008A687C"/>
    <w:rsid w:val="008B595D"/>
    <w:rsid w:val="008C4C94"/>
    <w:rsid w:val="008D242F"/>
    <w:rsid w:val="008D2C80"/>
    <w:rsid w:val="008F5BAD"/>
    <w:rsid w:val="00911B1D"/>
    <w:rsid w:val="00937495"/>
    <w:rsid w:val="00937EC4"/>
    <w:rsid w:val="00952BFE"/>
    <w:rsid w:val="00956CE7"/>
    <w:rsid w:val="00962315"/>
    <w:rsid w:val="00970405"/>
    <w:rsid w:val="0097729F"/>
    <w:rsid w:val="009815AE"/>
    <w:rsid w:val="0099008C"/>
    <w:rsid w:val="009903F3"/>
    <w:rsid w:val="009A4798"/>
    <w:rsid w:val="009A677D"/>
    <w:rsid w:val="009D70AE"/>
    <w:rsid w:val="009E6853"/>
    <w:rsid w:val="009E7DC5"/>
    <w:rsid w:val="009F096B"/>
    <w:rsid w:val="00A04A05"/>
    <w:rsid w:val="00A125A1"/>
    <w:rsid w:val="00A20B4A"/>
    <w:rsid w:val="00A21128"/>
    <w:rsid w:val="00A31259"/>
    <w:rsid w:val="00A334C3"/>
    <w:rsid w:val="00A43A89"/>
    <w:rsid w:val="00A535A7"/>
    <w:rsid w:val="00A6122D"/>
    <w:rsid w:val="00A64C57"/>
    <w:rsid w:val="00A75E1B"/>
    <w:rsid w:val="00A813EF"/>
    <w:rsid w:val="00A97FDA"/>
    <w:rsid w:val="00AA4614"/>
    <w:rsid w:val="00AA6640"/>
    <w:rsid w:val="00AB3916"/>
    <w:rsid w:val="00AB3A4D"/>
    <w:rsid w:val="00AB54CC"/>
    <w:rsid w:val="00AC238A"/>
    <w:rsid w:val="00AC5097"/>
    <w:rsid w:val="00AD1370"/>
    <w:rsid w:val="00AE2ADD"/>
    <w:rsid w:val="00AF7159"/>
    <w:rsid w:val="00B11940"/>
    <w:rsid w:val="00B12154"/>
    <w:rsid w:val="00B12F54"/>
    <w:rsid w:val="00B138A6"/>
    <w:rsid w:val="00B14514"/>
    <w:rsid w:val="00B17615"/>
    <w:rsid w:val="00B17D1E"/>
    <w:rsid w:val="00B27088"/>
    <w:rsid w:val="00B31713"/>
    <w:rsid w:val="00B3411C"/>
    <w:rsid w:val="00B359A9"/>
    <w:rsid w:val="00B43D90"/>
    <w:rsid w:val="00B45413"/>
    <w:rsid w:val="00B45911"/>
    <w:rsid w:val="00B5513E"/>
    <w:rsid w:val="00B627FC"/>
    <w:rsid w:val="00B65234"/>
    <w:rsid w:val="00B7427A"/>
    <w:rsid w:val="00B7653B"/>
    <w:rsid w:val="00B81E1C"/>
    <w:rsid w:val="00B87704"/>
    <w:rsid w:val="00B9530E"/>
    <w:rsid w:val="00B97571"/>
    <w:rsid w:val="00BA0ADC"/>
    <w:rsid w:val="00BC3E0C"/>
    <w:rsid w:val="00BC427C"/>
    <w:rsid w:val="00BC7239"/>
    <w:rsid w:val="00BD274D"/>
    <w:rsid w:val="00BD5CCD"/>
    <w:rsid w:val="00BF3D78"/>
    <w:rsid w:val="00BF57CA"/>
    <w:rsid w:val="00C00439"/>
    <w:rsid w:val="00C05147"/>
    <w:rsid w:val="00C1351A"/>
    <w:rsid w:val="00C2181E"/>
    <w:rsid w:val="00C22B36"/>
    <w:rsid w:val="00C35E14"/>
    <w:rsid w:val="00C36E88"/>
    <w:rsid w:val="00C42DE8"/>
    <w:rsid w:val="00C42E72"/>
    <w:rsid w:val="00C45455"/>
    <w:rsid w:val="00C45FF6"/>
    <w:rsid w:val="00C5191C"/>
    <w:rsid w:val="00C529E5"/>
    <w:rsid w:val="00C53A0E"/>
    <w:rsid w:val="00C6642C"/>
    <w:rsid w:val="00CA3495"/>
    <w:rsid w:val="00CA5059"/>
    <w:rsid w:val="00CC2E41"/>
    <w:rsid w:val="00CD047E"/>
    <w:rsid w:val="00CE1F13"/>
    <w:rsid w:val="00D17DD6"/>
    <w:rsid w:val="00D22F09"/>
    <w:rsid w:val="00D234A8"/>
    <w:rsid w:val="00D36344"/>
    <w:rsid w:val="00D5025E"/>
    <w:rsid w:val="00D6328F"/>
    <w:rsid w:val="00D6427E"/>
    <w:rsid w:val="00D8398A"/>
    <w:rsid w:val="00D85145"/>
    <w:rsid w:val="00D973BA"/>
    <w:rsid w:val="00DA03D1"/>
    <w:rsid w:val="00DA0456"/>
    <w:rsid w:val="00DA610C"/>
    <w:rsid w:val="00DB1D21"/>
    <w:rsid w:val="00DB295C"/>
    <w:rsid w:val="00DB58FD"/>
    <w:rsid w:val="00DC0447"/>
    <w:rsid w:val="00DC5EC4"/>
    <w:rsid w:val="00DC71B9"/>
    <w:rsid w:val="00DF73C4"/>
    <w:rsid w:val="00E15634"/>
    <w:rsid w:val="00E25978"/>
    <w:rsid w:val="00E3787D"/>
    <w:rsid w:val="00E40A09"/>
    <w:rsid w:val="00E44279"/>
    <w:rsid w:val="00E47A23"/>
    <w:rsid w:val="00E5767E"/>
    <w:rsid w:val="00E7513A"/>
    <w:rsid w:val="00E77932"/>
    <w:rsid w:val="00E80576"/>
    <w:rsid w:val="00E8392D"/>
    <w:rsid w:val="00E87BE2"/>
    <w:rsid w:val="00E91698"/>
    <w:rsid w:val="00E92A5A"/>
    <w:rsid w:val="00E9406C"/>
    <w:rsid w:val="00E94300"/>
    <w:rsid w:val="00EA4FA8"/>
    <w:rsid w:val="00EB2527"/>
    <w:rsid w:val="00EB2B92"/>
    <w:rsid w:val="00EB2E07"/>
    <w:rsid w:val="00EC19F3"/>
    <w:rsid w:val="00EC42C0"/>
    <w:rsid w:val="00EC7386"/>
    <w:rsid w:val="00ED3B9D"/>
    <w:rsid w:val="00ED43CD"/>
    <w:rsid w:val="00EE32AB"/>
    <w:rsid w:val="00EE3F26"/>
    <w:rsid w:val="00EE7181"/>
    <w:rsid w:val="00EE7B99"/>
    <w:rsid w:val="00EF2DB8"/>
    <w:rsid w:val="00EF3FC6"/>
    <w:rsid w:val="00EF4E72"/>
    <w:rsid w:val="00EF7063"/>
    <w:rsid w:val="00EF7355"/>
    <w:rsid w:val="00F04CE3"/>
    <w:rsid w:val="00F07CC7"/>
    <w:rsid w:val="00F16ADD"/>
    <w:rsid w:val="00F17C63"/>
    <w:rsid w:val="00F20DCE"/>
    <w:rsid w:val="00F3282F"/>
    <w:rsid w:val="00F34F10"/>
    <w:rsid w:val="00F435F1"/>
    <w:rsid w:val="00F44BAA"/>
    <w:rsid w:val="00F52844"/>
    <w:rsid w:val="00F534E9"/>
    <w:rsid w:val="00F541FD"/>
    <w:rsid w:val="00F5486A"/>
    <w:rsid w:val="00F6156E"/>
    <w:rsid w:val="00F66F7D"/>
    <w:rsid w:val="00F708AE"/>
    <w:rsid w:val="00F729CD"/>
    <w:rsid w:val="00F763DA"/>
    <w:rsid w:val="00F772F1"/>
    <w:rsid w:val="00F84EA7"/>
    <w:rsid w:val="00F90A9E"/>
    <w:rsid w:val="00FA1FF9"/>
    <w:rsid w:val="00FA3B51"/>
    <w:rsid w:val="00FA42C7"/>
    <w:rsid w:val="00FA748E"/>
    <w:rsid w:val="00FC1CAC"/>
    <w:rsid w:val="00FC6ABB"/>
    <w:rsid w:val="00FD4549"/>
    <w:rsid w:val="00FD5522"/>
    <w:rsid w:val="00FD7CFC"/>
    <w:rsid w:val="00FE407C"/>
    <w:rsid w:val="00FF1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3C955751-3B96-4882-80BD-2F489EFF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4E9"/>
    <w:pPr>
      <w:widowControl w:val="0"/>
      <w:autoSpaceDE w:val="0"/>
      <w:autoSpaceDN w:val="0"/>
      <w:adjustRightInd w:val="0"/>
      <w:spacing w:line="36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64C57"/>
  </w:style>
  <w:style w:type="character" w:styleId="LineNumber">
    <w:name w:val="line number"/>
    <w:basedOn w:val="DefaultParagraphFont"/>
    <w:rsid w:val="00A64C57"/>
  </w:style>
  <w:style w:type="paragraph" w:styleId="Header">
    <w:name w:val="header"/>
    <w:basedOn w:val="Normal"/>
    <w:rsid w:val="0012243E"/>
    <w:pPr>
      <w:tabs>
        <w:tab w:val="center" w:pos="4320"/>
        <w:tab w:val="right" w:pos="8640"/>
      </w:tabs>
    </w:pPr>
  </w:style>
  <w:style w:type="paragraph" w:styleId="Footer">
    <w:name w:val="footer"/>
    <w:basedOn w:val="Normal"/>
    <w:rsid w:val="0012243E"/>
    <w:pPr>
      <w:tabs>
        <w:tab w:val="center" w:pos="4320"/>
        <w:tab w:val="right" w:pos="8640"/>
      </w:tabs>
    </w:pPr>
  </w:style>
  <w:style w:type="character" w:styleId="PageNumber">
    <w:name w:val="page number"/>
    <w:basedOn w:val="DefaultParagraphFont"/>
    <w:rsid w:val="00B17D1E"/>
  </w:style>
  <w:style w:type="paragraph" w:styleId="BalloonText">
    <w:name w:val="Balloon Text"/>
    <w:basedOn w:val="Normal"/>
    <w:rsid w:val="00E44279"/>
    <w:rPr>
      <w:rFonts w:ascii="Tahoma" w:hAnsi="Tahoma" w:cs="Tahoma"/>
      <w:sz w:val="16"/>
      <w:szCs w:val="16"/>
    </w:rPr>
  </w:style>
  <w:style w:type="character" w:styleId="PlaceholderText">
    <w:name w:val="Placeholder Text"/>
    <w:basedOn w:val="DefaultParagraphFont"/>
    <w:rsid w:val="00F34F10"/>
    <w:rPr>
      <w:color w:val="808080"/>
    </w:rPr>
  </w:style>
  <w:style w:type="character" w:styleId="CommentReference">
    <w:name w:val="annotation reference"/>
    <w:basedOn w:val="DefaultParagraphFont"/>
    <w:semiHidden/>
    <w:unhideWhenUsed/>
    <w:rsid w:val="00937EC4"/>
    <w:rPr>
      <w:sz w:val="16"/>
      <w:szCs w:val="16"/>
    </w:rPr>
  </w:style>
  <w:style w:type="paragraph" w:styleId="CommentText">
    <w:name w:val="annotation text"/>
    <w:basedOn w:val="Normal"/>
    <w:link w:val="CommentTextChar"/>
    <w:semiHidden/>
    <w:unhideWhenUsed/>
    <w:rsid w:val="00937EC4"/>
    <w:pPr>
      <w:spacing w:line="240" w:lineRule="auto"/>
    </w:pPr>
    <w:rPr>
      <w:sz w:val="20"/>
      <w:szCs w:val="20"/>
    </w:rPr>
  </w:style>
  <w:style w:type="character" w:customStyle="1" w:styleId="CommentTextChar">
    <w:name w:val="Comment Text Char"/>
    <w:basedOn w:val="DefaultParagraphFont"/>
    <w:link w:val="CommentText"/>
    <w:semiHidden/>
    <w:rsid w:val="00937EC4"/>
    <w:rPr>
      <w:rFonts w:ascii="Courier New" w:hAnsi="Courier New" w:cs="Courier New"/>
    </w:rPr>
  </w:style>
  <w:style w:type="paragraph" w:styleId="CommentSubject">
    <w:name w:val="annotation subject"/>
    <w:basedOn w:val="CommentText"/>
    <w:next w:val="CommentText"/>
    <w:link w:val="CommentSubjectChar"/>
    <w:semiHidden/>
    <w:unhideWhenUsed/>
    <w:rsid w:val="00937EC4"/>
    <w:rPr>
      <w:b/>
      <w:bCs/>
    </w:rPr>
  </w:style>
  <w:style w:type="character" w:customStyle="1" w:styleId="CommentSubjectChar">
    <w:name w:val="Comment Subject Char"/>
    <w:basedOn w:val="CommentTextChar"/>
    <w:link w:val="CommentSubject"/>
    <w:semiHidden/>
    <w:rsid w:val="00937EC4"/>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DraftingRequestID xmlns="cdd09cd4-2eb2-4bf7-969d-f042912b556d">70157</DraftingReque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9737C94E226A41A49BE8C6F29A880A" ma:contentTypeVersion="1" ma:contentTypeDescription="Create a new document." ma:contentTypeScope="" ma:versionID="31984a1babadad662867bd49e71791d3">
  <xsd:schema xmlns:xsd="http://www.w3.org/2001/XMLSchema" xmlns:xs="http://www.w3.org/2001/XMLSchema" xmlns:p="http://schemas.microsoft.com/office/2006/metadata/properties" xmlns:ns2="cdd09cd4-2eb2-4bf7-969d-f042912b556d" targetNamespace="http://schemas.microsoft.com/office/2006/metadata/properties" ma:root="true" ma:fieldsID="a80776df5c67a4d253f7becae6f07210" ns2:_="">
    <xsd:import namespace="cdd09cd4-2eb2-4bf7-969d-f042912b556d"/>
    <xsd:element name="properties">
      <xsd:complexType>
        <xsd:sequence>
          <xsd:element name="documentManagement">
            <xsd:complexType>
              <xsd:all>
                <xsd:element ref="ns2:DraftingReque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09cd4-2eb2-4bf7-969d-f042912b556d" elementFormDefault="qualified">
    <xsd:import namespace="http://schemas.microsoft.com/office/2006/documentManagement/types"/>
    <xsd:import namespace="http://schemas.microsoft.com/office/infopath/2007/PartnerControls"/>
    <xsd:element name="DraftingRequestID" ma:index="8" nillable="true" ma:displayName="DraftingRequestID" ma:internalName="DraftingReques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99CF7-0879-472A-93C7-163F40E0394A}">
  <ds:schemaRefs>
    <ds:schemaRef ds:uri="http://schemas.microsoft.com/office/2006/metadata/properties"/>
    <ds:schemaRef ds:uri="cdd09cd4-2eb2-4bf7-969d-f042912b556d"/>
  </ds:schemaRefs>
</ds:datastoreItem>
</file>

<file path=customXml/itemProps2.xml><?xml version="1.0" encoding="utf-8"?>
<ds:datastoreItem xmlns:ds="http://schemas.openxmlformats.org/officeDocument/2006/customXml" ds:itemID="{E02F12B1-1F85-4B10-B407-36B62D80E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09cd4-2eb2-4bf7-969d-f042912b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90A4A-F8E4-4E71-8A2B-22BBCE9ACFFB}">
  <ds:schemaRefs>
    <ds:schemaRef ds:uri="http://schemas.microsoft.com/sharepoint/v3/contenttype/forms"/>
  </ds:schemaRefs>
</ds:datastoreItem>
</file>

<file path=customXml/itemProps4.xml><?xml version="1.0" encoding="utf-8"?>
<ds:datastoreItem xmlns:ds="http://schemas.openxmlformats.org/officeDocument/2006/customXml" ds:itemID="{ABC065C0-FB78-43C1-AF20-95F13D43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General Bill</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2019-09-18T18:14:39Z</dcterms:created>
  <dcterms:modified xsi:type="dcterms:W3CDTF">2019-09-18T18:14:39Z</dcterms:modified>
</cp:coreProperties>
</file>