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0" w:name="_GoBack"/>
      <w:bookmarkEnd w:id="0"/>
    </w:p>
    <w:p w:rsidR="00000000" w:rsidRDefault="00182AF3">
      <w:pPr>
        <w:widowControl w:val="0"/>
        <w:autoSpaceDE w:val="0"/>
        <w:autoSpaceDN w:val="0"/>
        <w:adjustRightInd w:val="0"/>
        <w:spacing w:after="0" w:line="240" w:lineRule="auto"/>
        <w:rPr>
          <w:rFonts w:ascii="Arial" w:hAnsi="Arial" w:cs="Arial"/>
          <w:sz w:val="24"/>
          <w:szCs w:val="24"/>
        </w:rPr>
        <w:sectPr w:rsidR="00000000">
          <w:headerReference w:type="default" r:id="rId8"/>
          <w:footerReference w:type="default" r:id="rId9"/>
          <w:pgSz w:w="12240" w:h="15840"/>
          <w:pgMar w:top="1080" w:right="1080" w:bottom="1080" w:left="1080" w:header="720" w:footer="720" w:gutter="0"/>
          <w:cols w:space="720"/>
          <w:noEndnote/>
        </w:sectPr>
      </w:pPr>
    </w:p>
    <w:p w:rsidR="00000000" w:rsidRDefault="00182AF3">
      <w:pPr>
        <w:widowControl w:val="0"/>
        <w:autoSpaceDE w:val="0"/>
        <w:autoSpaceDN w:val="0"/>
        <w:adjustRightInd w:val="0"/>
        <w:spacing w:after="0" w:line="240" w:lineRule="auto"/>
        <w:rPr>
          <w:rFonts w:ascii="Times New Roman" w:hAnsi="Times New Roman" w:cs="Times New Roman"/>
          <w:color w:val="000000"/>
          <w:sz w:val="20"/>
          <w:szCs w:val="20"/>
        </w:rPr>
      </w:pPr>
      <w:bookmarkStart w:id="1" w:name="co_document_1"/>
      <w:bookmarkStart w:id="2" w:name="Ibcfffd6e34ad11d98c35826ab923e189_Target"/>
      <w:bookmarkEnd w:id="1"/>
      <w:bookmarkEnd w:id="2"/>
    </w:p>
    <w:p w:rsidR="00000000" w:rsidRDefault="00182AF3">
      <w:pPr>
        <w:widowControl w:val="0"/>
        <w:autoSpaceDE w:val="0"/>
        <w:autoSpaceDN w:val="0"/>
        <w:adjustRightInd w:val="0"/>
        <w:spacing w:line="240" w:lineRule="auto"/>
        <w:rPr>
          <w:rFonts w:ascii="Arial" w:hAnsi="Arial" w:cs="Arial"/>
          <w:b/>
          <w:bCs/>
          <w:color w:val="000000"/>
          <w:sz w:val="20"/>
          <w:szCs w:val="20"/>
        </w:rPr>
      </w:pPr>
      <w:r>
        <w:rPr>
          <w:rFonts w:ascii="Arial" w:hAnsi="Arial" w:cs="Arial"/>
          <w:b/>
          <w:bCs/>
          <w:color w:val="000000"/>
          <w:sz w:val="20"/>
          <w:szCs w:val="20"/>
        </w:rPr>
        <w:t>11 Fla. Jur 2d Contract</w:t>
      </w:r>
      <w:r>
        <w:rPr>
          <w:rFonts w:ascii="Arial" w:hAnsi="Arial" w:cs="Arial"/>
          <w:b/>
          <w:bCs/>
          <w:color w:val="000000"/>
          <w:sz w:val="20"/>
          <w:szCs w:val="20"/>
        </w:rPr>
        <w:t xml:space="preserve">s </w:t>
      </w:r>
      <w:r>
        <w:rPr>
          <w:rFonts w:ascii="Arial" w:hAnsi="Arial" w:cs="Arial"/>
          <w:b/>
          <w:bCs/>
          <w:color w:val="000000"/>
          <w:sz w:val="20"/>
          <w:szCs w:val="20"/>
        </w:rPr>
        <w:t>§</w:t>
      </w:r>
      <w:r>
        <w:rPr>
          <w:rFonts w:ascii="Arial" w:hAnsi="Arial" w:cs="Arial"/>
          <w:b/>
          <w:bCs/>
          <w:color w:val="000000"/>
          <w:sz w:val="20"/>
          <w:szCs w:val="20"/>
        </w:rPr>
        <w:t xml:space="preserve"> 162</w:t>
      </w:r>
    </w:p>
    <w:p w:rsidR="00000000" w:rsidRDefault="00182AF3">
      <w:pPr>
        <w:widowControl w:val="0"/>
        <w:autoSpaceDE w:val="0"/>
        <w:autoSpaceDN w:val="0"/>
        <w:adjustRightInd w:val="0"/>
        <w:spacing w:before="182" w:after="0" w:line="240" w:lineRule="auto"/>
        <w:rPr>
          <w:rFonts w:ascii="Arial" w:hAnsi="Arial" w:cs="Arial"/>
          <w:color w:val="6B6B6A"/>
          <w:sz w:val="18"/>
          <w:szCs w:val="18"/>
        </w:rPr>
      </w:pPr>
      <w:r>
        <w:rPr>
          <w:rFonts w:ascii="Times New Roman" w:hAnsi="Times New Roman" w:cs="Times New Roman"/>
          <w:color w:val="6B6B6A"/>
          <w:sz w:val="18"/>
          <w:szCs w:val="18"/>
        </w:rPr>
        <w:t>Florida Jurisprudence, Second Edition</w:t>
      </w:r>
      <w:r>
        <w:rPr>
          <w:rFonts w:ascii="Times New Roman" w:hAnsi="Times New Roman" w:cs="Times New Roman"/>
          <w:color w:val="E8E9E8"/>
          <w:sz w:val="18"/>
          <w:szCs w:val="18"/>
        </w:rPr>
        <w:t xml:space="preserve"> | </w:t>
      </w:r>
      <w:r>
        <w:rPr>
          <w:rFonts w:ascii="Arial" w:hAnsi="Arial" w:cs="Arial"/>
          <w:color w:val="6B6B6A"/>
          <w:sz w:val="18"/>
          <w:szCs w:val="18"/>
        </w:rPr>
        <w:t>February 2017 Update</w:t>
      </w:r>
    </w:p>
    <w:p w:rsidR="00000000" w:rsidRDefault="00182AF3">
      <w:pPr>
        <w:widowControl w:val="0"/>
        <w:autoSpaceDE w:val="0"/>
        <w:autoSpaceDN w:val="0"/>
        <w:adjustRightInd w:val="0"/>
        <w:spacing w:after="0" w:line="240" w:lineRule="auto"/>
        <w:rPr>
          <w:rFonts w:ascii="Times New Roman" w:hAnsi="Times New Roman" w:cs="Times New Roman"/>
          <w:color w:val="6B6B6A"/>
          <w:sz w:val="18"/>
          <w:szCs w:val="18"/>
        </w:rPr>
      </w:pPr>
      <w:r>
        <w:rPr>
          <w:rFonts w:ascii="Times New Roman" w:hAnsi="Times New Roman" w:cs="Times New Roman"/>
          <w:color w:val="6B6B6A"/>
          <w:sz w:val="18"/>
          <w:szCs w:val="18"/>
        </w:rPr>
        <w:t>Contracts</w:t>
      </w:r>
    </w:p>
    <w:p w:rsidR="00000000" w:rsidRDefault="00182AF3">
      <w:pPr>
        <w:widowControl w:val="0"/>
        <w:autoSpaceDE w:val="0"/>
        <w:autoSpaceDN w:val="0"/>
        <w:adjustRightInd w:val="0"/>
        <w:spacing w:line="240" w:lineRule="auto"/>
        <w:rPr>
          <w:rFonts w:ascii="Times New Roman" w:hAnsi="Times New Roman" w:cs="Times New Roman"/>
          <w:color w:val="6B6B6A"/>
          <w:sz w:val="18"/>
          <w:szCs w:val="18"/>
        </w:rPr>
      </w:pPr>
      <w:r>
        <w:rPr>
          <w:rFonts w:ascii="Times New Roman" w:hAnsi="Times New Roman" w:cs="Times New Roman"/>
          <w:color w:val="6B6B6A"/>
          <w:sz w:val="18"/>
          <w:szCs w:val="18"/>
        </w:rPr>
        <w:t>Tammy E. Hinshaw, J.D.; Rachel M. Kane, M.A., J.D.; and Sonja Larsen, J.D.</w:t>
      </w:r>
    </w:p>
    <w:p w:rsidR="00000000" w:rsidRDefault="00182AF3">
      <w:pPr>
        <w:widowControl w:val="0"/>
        <w:autoSpaceDE w:val="0"/>
        <w:autoSpaceDN w:val="0"/>
        <w:adjustRightInd w:val="0"/>
        <w:spacing w:after="0" w:line="240" w:lineRule="auto"/>
        <w:rPr>
          <w:rFonts w:ascii="Times New Roman" w:hAnsi="Times New Roman" w:cs="Times New Roman"/>
          <w:color w:val="6B6B6A"/>
          <w:sz w:val="18"/>
          <w:szCs w:val="18"/>
        </w:rPr>
      </w:pPr>
      <w:r>
        <w:rPr>
          <w:rFonts w:ascii="Times New Roman" w:hAnsi="Times New Roman" w:cs="Times New Roman"/>
          <w:color w:val="6B6B6A"/>
          <w:sz w:val="18"/>
          <w:szCs w:val="18"/>
        </w:rPr>
        <w:t>IV. Construction and Effect of Contract</w:t>
      </w:r>
    </w:p>
    <w:p w:rsidR="00000000" w:rsidRDefault="00182AF3">
      <w:pPr>
        <w:widowControl w:val="0"/>
        <w:autoSpaceDE w:val="0"/>
        <w:autoSpaceDN w:val="0"/>
        <w:adjustRightInd w:val="0"/>
        <w:spacing w:after="0" w:line="240" w:lineRule="auto"/>
        <w:rPr>
          <w:rFonts w:ascii="Times New Roman" w:hAnsi="Times New Roman" w:cs="Times New Roman"/>
          <w:color w:val="6B6B6A"/>
          <w:sz w:val="18"/>
          <w:szCs w:val="18"/>
        </w:rPr>
      </w:pPr>
      <w:r>
        <w:rPr>
          <w:rFonts w:ascii="Times New Roman" w:hAnsi="Times New Roman" w:cs="Times New Roman"/>
          <w:color w:val="6B6B6A"/>
          <w:sz w:val="18"/>
          <w:szCs w:val="18"/>
        </w:rPr>
        <w:t>A. General Rules of Contract Construction</w:t>
      </w:r>
    </w:p>
    <w:p w:rsidR="00000000" w:rsidRDefault="00182AF3">
      <w:pPr>
        <w:widowControl w:val="0"/>
        <w:autoSpaceDE w:val="0"/>
        <w:autoSpaceDN w:val="0"/>
        <w:adjustRightInd w:val="0"/>
        <w:spacing w:after="182" w:line="240" w:lineRule="auto"/>
        <w:rPr>
          <w:rFonts w:ascii="Times New Roman" w:hAnsi="Times New Roman" w:cs="Times New Roman"/>
          <w:color w:val="6B6B6A"/>
          <w:sz w:val="18"/>
          <w:szCs w:val="18"/>
        </w:rPr>
      </w:pPr>
      <w:r>
        <w:rPr>
          <w:rFonts w:ascii="Times New Roman" w:hAnsi="Times New Roman" w:cs="Times New Roman"/>
          <w:color w:val="6B6B6A"/>
          <w:sz w:val="18"/>
          <w:szCs w:val="18"/>
        </w:rPr>
        <w:t>4. Repugnancies</w:t>
      </w:r>
    </w:p>
    <w:p w:rsidR="00000000" w:rsidRDefault="00182AF3">
      <w:pPr>
        <w:widowControl w:val="0"/>
        <w:autoSpaceDE w:val="0"/>
        <w:autoSpaceDN w:val="0"/>
        <w:adjustRightInd w:val="0"/>
        <w:spacing w:before="760" w:after="500" w:line="240" w:lineRule="auto"/>
        <w:jc w:val="center"/>
        <w:rPr>
          <w:rFonts w:ascii="Arial" w:hAnsi="Arial" w:cs="Arial"/>
          <w:color w:val="252525"/>
          <w:sz w:val="20"/>
          <w:szCs w:val="20"/>
        </w:rPr>
      </w:pPr>
      <w:r>
        <w:rPr>
          <w:rFonts w:ascii="Arial" w:hAnsi="Arial" w:cs="Arial"/>
          <w:color w:val="252525"/>
          <w:sz w:val="20"/>
          <w:szCs w:val="20"/>
        </w:rPr>
        <w:t>§</w:t>
      </w:r>
      <w:r>
        <w:rPr>
          <w:rFonts w:ascii="Arial" w:hAnsi="Arial" w:cs="Arial"/>
          <w:color w:val="252525"/>
          <w:sz w:val="20"/>
          <w:szCs w:val="20"/>
        </w:rPr>
        <w:t xml:space="preserve"> 162. Conflict between printed and written or typewritten matter</w:t>
      </w:r>
    </w:p>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10" w:history="1">
        <w:r>
          <w:rPr>
            <w:rFonts w:ascii="Times New Roman" w:hAnsi="Times New Roman" w:cs="Times New Roman"/>
            <w:color w:val="0000FF"/>
            <w:sz w:val="20"/>
            <w:szCs w:val="20"/>
          </w:rPr>
          <w:t>Topic Summary</w:t>
        </w:r>
      </w:hyperlink>
      <w:r>
        <w:rPr>
          <w:rFonts w:ascii="Times New Roman" w:hAnsi="Times New Roman" w:cs="Times New Roman"/>
          <w:color w:val="E8E9E8"/>
          <w:sz w:val="20"/>
          <w:szCs w:val="20"/>
        </w:rPr>
        <w:t xml:space="preserve"> | </w:t>
      </w:r>
      <w:hyperlink r:id="rId11" w:history="1">
        <w:r>
          <w:rPr>
            <w:rFonts w:ascii="Times New Roman" w:hAnsi="Times New Roman" w:cs="Times New Roman"/>
            <w:color w:val="0000FF"/>
            <w:sz w:val="20"/>
            <w:szCs w:val="20"/>
          </w:rPr>
          <w:t>Correlation Table</w:t>
        </w:r>
      </w:hyperlink>
      <w:r>
        <w:rPr>
          <w:rFonts w:ascii="Times New Roman" w:hAnsi="Times New Roman" w:cs="Times New Roman"/>
          <w:color w:val="E8E9E8"/>
          <w:sz w:val="20"/>
          <w:szCs w:val="20"/>
        </w:rPr>
        <w:t xml:space="preserve"> | </w:t>
      </w:r>
      <w:hyperlink r:id="rId12" w:history="1">
        <w:r>
          <w:rPr>
            <w:rFonts w:ascii="Times New Roman" w:hAnsi="Times New Roman" w:cs="Times New Roman"/>
            <w:color w:val="0000FF"/>
            <w:sz w:val="20"/>
            <w:szCs w:val="20"/>
          </w:rPr>
          <w:t>References</w:t>
        </w:r>
      </w:hyperlink>
    </w:p>
    <w:p w:rsidR="00000000" w:rsidRDefault="00182AF3">
      <w:pPr>
        <w:widowControl w:val="0"/>
        <w:pBdr>
          <w:top w:val="single" w:sz="8" w:space="0" w:color="000000"/>
          <w:left w:val="single" w:sz="8" w:space="0" w:color="000000"/>
          <w:bottom w:val="single" w:sz="8" w:space="0" w:color="000000"/>
          <w:right w:val="single" w:sz="8" w:space="0" w:color="000000"/>
        </w:pBdr>
        <w:shd w:val="solid" w:color="F9F9F9" w:fill="auto"/>
        <w:autoSpaceDE w:val="0"/>
        <w:autoSpaceDN w:val="0"/>
        <w:adjustRightInd w:val="0"/>
        <w:spacing w:after="100" w:line="240" w:lineRule="auto"/>
        <w:ind w:left="320" w:right="320"/>
        <w:rPr>
          <w:rFonts w:ascii="Times New Roman" w:hAnsi="Times New Roman" w:cs="Times New Roman"/>
          <w:b/>
          <w:bCs/>
          <w:color w:val="000000"/>
          <w:sz w:val="18"/>
          <w:szCs w:val="18"/>
        </w:rPr>
      </w:pPr>
      <w:r>
        <w:rPr>
          <w:rFonts w:ascii="Times New Roman" w:hAnsi="Times New Roman" w:cs="Times New Roman"/>
          <w:b/>
          <w:bCs/>
          <w:color w:val="000000"/>
          <w:sz w:val="18"/>
          <w:szCs w:val="18"/>
        </w:rPr>
        <w:t>West’s Key Number Digest</w:t>
      </w:r>
    </w:p>
    <w:p w:rsidR="00000000" w:rsidRDefault="00182AF3">
      <w:pPr>
        <w:widowControl w:val="0"/>
        <w:numPr>
          <w:ilvl w:val="0"/>
          <w:numId w:val="1"/>
        </w:numPr>
        <w:pBdr>
          <w:top w:val="single" w:sz="8" w:space="0" w:color="000000"/>
          <w:left w:val="single" w:sz="8" w:space="0" w:color="000000"/>
          <w:bottom w:val="single" w:sz="8" w:space="0" w:color="000000"/>
          <w:right w:val="single" w:sz="8" w:space="0" w:color="000000"/>
        </w:pBdr>
        <w:shd w:val="solid" w:color="F9F9F9" w:fill="auto"/>
        <w:autoSpaceDE w:val="0"/>
        <w:autoSpaceDN w:val="0"/>
        <w:adjustRightInd w:val="0"/>
        <w:spacing w:after="0" w:line="240" w:lineRule="auto"/>
        <w:ind w:left="320" w:right="320" w:hanging="36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West’s Key Number Digest, </w:t>
      </w:r>
      <w:hyperlink r:id="rId13" w:history="1">
        <w:r>
          <w:rPr>
            <w:rFonts w:ascii="Times New Roman" w:hAnsi="Times New Roman" w:cs="Times New Roman"/>
            <w:color w:val="0000FF"/>
            <w:sz w:val="18"/>
            <w:szCs w:val="18"/>
          </w:rPr>
          <w:t>Contracts</w:t>
        </w:r>
      </w:hyperlink>
      <w:r>
        <w:rPr>
          <w:rFonts w:ascii="Times New Roman" w:hAnsi="Times New Roman" w:cs="Times New Roman"/>
          <w:color w:val="000000"/>
          <w:sz w:val="18"/>
          <w:szCs w:val="18"/>
        </w:rPr>
        <w:t xml:space="preserve"> </w:t>
      </w:r>
      <w:r w:rsidR="00013736">
        <w:rPr>
          <w:rFonts w:ascii="Times New Roman" w:hAnsi="Times New Roman" w:cs="Times New Roman"/>
          <w:noProof/>
          <w:color w:val="000000"/>
          <w:sz w:val="18"/>
          <w:szCs w:val="18"/>
        </w:rPr>
        <w:drawing>
          <wp:inline distT="0" distB="0" distL="0" distR="0">
            <wp:extent cx="1524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Pr>
          <w:rFonts w:ascii="Times New Roman" w:hAnsi="Times New Roman" w:cs="Times New Roman"/>
          <w:color w:val="000000"/>
          <w:sz w:val="18"/>
          <w:szCs w:val="18"/>
        </w:rPr>
        <w:t>​</w:t>
      </w:r>
      <w:hyperlink r:id="rId15" w:history="1">
        <w:r>
          <w:rPr>
            <w:rFonts w:ascii="Times New Roman" w:hAnsi="Times New Roman" w:cs="Times New Roman"/>
            <w:color w:val="0000FF"/>
            <w:sz w:val="18"/>
            <w:szCs w:val="18"/>
          </w:rPr>
          <w:t>163</w:t>
        </w:r>
      </w:hyperlink>
    </w:p>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When a contract is partly printed and partly typewritten or written, the typewriting or writing controls over any inconsistent printed parts.</w:t>
      </w:r>
      <w:bookmarkStart w:id="3" w:name="co_footnoteReference_I692a49b0e25711e681"/>
      <w:bookmarkEnd w:id="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"#co_footnote_I692a49b0e25711e6810ed88f313" </w:instrText>
      </w:r>
      <w:r w:rsidR="00013736">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rule extends to the use of a rubber stamp as a means of writing.</w:t>
      </w:r>
      <w:bookmarkStart w:id="4" w:name="co_footnoteReference_I692a49b1e25711e681"/>
      <w:bookmarkEnd w:id="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"#co_footnote_I692a49b1e25711e6810ed88f313" </w:instrText>
      </w:r>
      <w:r w:rsidR="00013736">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w:t>
      </w:r>
      <w:r>
        <w:rPr>
          <w:rFonts w:ascii="Times New Roman" w:hAnsi="Times New Roman" w:cs="Times New Roman"/>
          <w:color w:val="000000"/>
          <w:sz w:val="16"/>
          <w:szCs w:val="16"/>
        </w:rPr>
        <w:fldChar w:fldCharType="end"/>
      </w:r>
    </w:p>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When a contract is printed in part and written or typewritten in part, the printed part is to be given the effect called for by its language, except insofa</w:t>
      </w:r>
      <w:r>
        <w:rPr>
          <w:rFonts w:ascii="Times New Roman" w:hAnsi="Times New Roman" w:cs="Times New Roman"/>
          <w:color w:val="000000"/>
          <w:sz w:val="20"/>
          <w:szCs w:val="20"/>
        </w:rPr>
        <w:t>r as it is inconsistent or incompatible with the written or typewritten part.</w:t>
      </w:r>
      <w:bookmarkStart w:id="5" w:name="co_footnoteReference_I692a49b2e25711e681"/>
      <w:bookmarkEnd w:id="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"#co_footnote_I692a49b2e25711e6810ed88f313" </w:instrText>
      </w:r>
      <w:r w:rsidR="00013736">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w:t>
      </w:r>
      <w:r>
        <w:rPr>
          <w:rFonts w:ascii="Times New Roman" w:hAnsi="Times New Roman" w:cs="Times New Roman"/>
          <w:color w:val="000000"/>
          <w:sz w:val="16"/>
          <w:szCs w:val="16"/>
        </w:rPr>
        <w:fldChar w:fldCharType="end"/>
      </w:r>
    </w:p>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82AF3">
      <w:pPr>
        <w:widowControl w:val="0"/>
        <w:autoSpaceDE w:val="0"/>
        <w:autoSpaceDN w:val="0"/>
        <w:adjustRightInd w:val="0"/>
        <w:spacing w:before="20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Observation:</w:t>
      </w:r>
    </w:p>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The reason for the accord</w:t>
      </w:r>
      <w:r>
        <w:rPr>
          <w:rFonts w:ascii="Times New Roman" w:hAnsi="Times New Roman" w:cs="Times New Roman"/>
          <w:color w:val="000000"/>
          <w:sz w:val="20"/>
          <w:szCs w:val="20"/>
        </w:rPr>
        <w:t>ing of greater effect to the written or typed portion of a contract as against the printed portion, if they are inconsistent, is that the written or typed words are the immediate language and terms selected by the parties themselves to express their meanin</w:t>
      </w:r>
      <w:r>
        <w:rPr>
          <w:rFonts w:ascii="Times New Roman" w:hAnsi="Times New Roman" w:cs="Times New Roman"/>
          <w:color w:val="000000"/>
          <w:sz w:val="20"/>
          <w:szCs w:val="20"/>
        </w:rPr>
        <w:t>g, while the printed form is intended for general use without reference to particular objects and aims.</w:t>
      </w:r>
      <w:bookmarkStart w:id="6" w:name="co_footnoteReference_I692a49b3e25711e681"/>
      <w:bookmarkEnd w:id="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"#co_footnote_I692a49b3e25711e6810ed88f313" </w:instrText>
      </w:r>
      <w:r w:rsidR="00013736">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4</w:t>
      </w:r>
      <w:r>
        <w:rPr>
          <w:rFonts w:ascii="Times New Roman" w:hAnsi="Times New Roman" w:cs="Times New Roman"/>
          <w:color w:val="000000"/>
          <w:sz w:val="16"/>
          <w:szCs w:val="16"/>
        </w:rPr>
        <w:fldChar w:fldCharType="end"/>
      </w:r>
    </w:p>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82AF3">
      <w:pPr>
        <w:widowControl w:val="0"/>
        <w:autoSpaceDE w:val="0"/>
        <w:autoSpaceDN w:val="0"/>
        <w:adjustRightInd w:val="0"/>
        <w:spacing w:before="420" w:after="0" w:line="240" w:lineRule="auto"/>
        <w:jc w:val="both"/>
        <w:rPr>
          <w:rFonts w:ascii="Times New Roman" w:hAnsi="Times New Roman" w:cs="Times New Roman"/>
          <w:color w:val="757575"/>
          <w:sz w:val="16"/>
          <w:szCs w:val="16"/>
        </w:rPr>
      </w:pPr>
      <w:r>
        <w:rPr>
          <w:rFonts w:ascii="Times New Roman" w:hAnsi="Times New Roman" w:cs="Times New Roman"/>
          <w:color w:val="757575"/>
          <w:sz w:val="16"/>
          <w:szCs w:val="16"/>
        </w:rPr>
        <w:t xml:space="preserve">Westlaw. </w:t>
      </w:r>
      <w:r>
        <w:rPr>
          <w:rFonts w:ascii="Times New Roman" w:hAnsi="Times New Roman" w:cs="Times New Roman"/>
          <w:color w:val="757575"/>
          <w:sz w:val="16"/>
          <w:szCs w:val="16"/>
        </w:rPr>
        <w:t>©</w:t>
      </w:r>
      <w:r>
        <w:rPr>
          <w:rFonts w:ascii="Times New Roman" w:hAnsi="Times New Roman" w:cs="Times New Roman"/>
          <w:color w:val="757575"/>
          <w:sz w:val="16"/>
          <w:szCs w:val="16"/>
        </w:rPr>
        <w:t xml:space="preserve"> 2</w:t>
      </w:r>
      <w:r>
        <w:rPr>
          <w:rFonts w:ascii="Times New Roman" w:hAnsi="Times New Roman" w:cs="Times New Roman"/>
          <w:color w:val="757575"/>
          <w:sz w:val="16"/>
          <w:szCs w:val="16"/>
        </w:rPr>
        <w:t>017 Thomson Reuters. No Claim to Orig. U.S. Govt. Works.</w:t>
      </w:r>
    </w:p>
    <w:tbl>
      <w:tblPr>
        <w:tblW w:w="0" w:type="auto"/>
        <w:tblLayout w:type="fixed"/>
        <w:tblCellMar>
          <w:left w:w="0" w:type="dxa"/>
          <w:right w:w="0" w:type="dxa"/>
        </w:tblCellMar>
        <w:tblLook w:val="0000" w:firstRow="0" w:lastRow="0" w:firstColumn="0" w:lastColumn="0" w:noHBand="0" w:noVBand="0"/>
      </w:tblPr>
      <w:tblGrid>
        <w:gridCol w:w="780"/>
        <w:gridCol w:w="9300"/>
      </w:tblGrid>
      <w:tr w:rsidR="00000000">
        <w:tblPrEx>
          <w:tblCellMar>
            <w:top w:w="0" w:type="dxa"/>
            <w:left w:w="0" w:type="dxa"/>
            <w:bottom w:w="0" w:type="dxa"/>
            <w:right w:w="0" w:type="dxa"/>
          </w:tblCellMar>
        </w:tblPrEx>
        <w:tc>
          <w:tcPr>
            <w:tcW w:w="10080" w:type="dxa"/>
            <w:gridSpan w:val="2"/>
            <w:tcBorders>
              <w:top w:val="nil"/>
              <w:left w:val="nil"/>
              <w:bottom w:val="nil"/>
              <w:right w:val="nil"/>
            </w:tcBorders>
            <w:tcMar>
              <w:top w:w="200" w:type="dxa"/>
            </w:tcMar>
          </w:tcPr>
          <w:p w:rsidR="00000000" w:rsidRDefault="00182AF3">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Footnotes</w:t>
            </w:r>
          </w:p>
          <w:p w:rsidR="00000000" w:rsidRDefault="00182AF3">
            <w:pPr>
              <w:widowControl w:val="0"/>
              <w:autoSpaceDE w:val="0"/>
              <w:autoSpaceDN w:val="0"/>
              <w:adjustRightInd w:val="0"/>
              <w:spacing w:after="0" w:line="240" w:lineRule="auto"/>
              <w:rPr>
                <w:rFonts w:ascii="Times New Roman" w:hAnsi="Times New Roman" w:cs="Times New Roman"/>
                <w:color w:val="000000"/>
                <w:sz w:val="20"/>
                <w:szCs w:val="20"/>
              </w:rPr>
            </w:pPr>
          </w:p>
        </w:tc>
      </w:tr>
      <w:bookmarkStart w:id="7" w:name="co_footnote_I692a49b0e25711e6810ed88f313"/>
      <w:bookmarkEnd w:id="7"/>
      <w:tr w:rsidR="00000000">
        <w:tblPrEx>
          <w:tblCellMar>
            <w:top w:w="0" w:type="dxa"/>
            <w:left w:w="0" w:type="dxa"/>
            <w:bottom w:w="0" w:type="dxa"/>
            <w:right w:w="0" w:type="dxa"/>
          </w:tblCellMar>
        </w:tblPrEx>
        <w:tc>
          <w:tcPr>
            <w:tcW w:w="780" w:type="dxa"/>
            <w:tcBorders>
              <w:top w:val="nil"/>
              <w:left w:val="nil"/>
              <w:bottom w:val="nil"/>
              <w:right w:val="nil"/>
            </w:tcBorders>
          </w:tcPr>
          <w:p w:rsidR="00000000" w:rsidRDefault="00182AF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HYPERLINK "#co_footnoteReference_I692a49b0e25711e681" </w:instrText>
            </w:r>
            <w:r w:rsidR="00013736">
              <w:rPr>
                <w:rFonts w:ascii="Times New Roman" w:hAnsi="Times New Roman" w:cs="Times New Roman"/>
                <w:color w:val="000000"/>
                <w:sz w:val="18"/>
                <w:szCs w:val="18"/>
              </w:rPr>
            </w:r>
            <w:r>
              <w:rPr>
                <w:rFonts w:ascii="Times New Roman" w:hAnsi="Times New Roman" w:cs="Times New Roman"/>
                <w:color w:val="000000"/>
                <w:sz w:val="18"/>
                <w:szCs w:val="18"/>
              </w:rPr>
              <w:fldChar w:fldCharType="separate"/>
            </w:r>
            <w:r>
              <w:rPr>
                <w:rFonts w:ascii="Times New Roman" w:hAnsi="Times New Roman" w:cs="Times New Roman"/>
                <w:color w:val="0000FF"/>
                <w:sz w:val="18"/>
                <w:szCs w:val="18"/>
                <w:vertAlign w:val="superscript"/>
              </w:rPr>
              <w:t>1</w:t>
            </w:r>
            <w:r>
              <w:rPr>
                <w:rFonts w:ascii="Times New Roman" w:hAnsi="Times New Roman" w:cs="Times New Roman"/>
                <w:color w:val="000000"/>
                <w:sz w:val="18"/>
                <w:szCs w:val="18"/>
              </w:rPr>
              <w:fldChar w:fldCharType="end"/>
            </w:r>
          </w:p>
          <w:p w:rsidR="00000000" w:rsidRDefault="00182AF3">
            <w:pPr>
              <w:widowControl w:val="0"/>
              <w:autoSpaceDE w:val="0"/>
              <w:autoSpaceDN w:val="0"/>
              <w:adjustRightInd w:val="0"/>
              <w:spacing w:after="0" w:line="240" w:lineRule="auto"/>
              <w:rPr>
                <w:rFonts w:ascii="Times New Roman" w:hAnsi="Times New Roman" w:cs="Times New Roman"/>
                <w:color w:val="000000"/>
                <w:sz w:val="18"/>
                <w:szCs w:val="18"/>
              </w:rPr>
            </w:pPr>
          </w:p>
        </w:tc>
        <w:tc>
          <w:tcPr>
            <w:tcW w:w="9300" w:type="dxa"/>
            <w:tcBorders>
              <w:top w:val="nil"/>
              <w:left w:val="nil"/>
              <w:bottom w:val="nil"/>
              <w:right w:val="nil"/>
            </w:tcBorders>
          </w:tcPr>
          <w:p w:rsidR="00000000" w:rsidRDefault="00182AF3">
            <w:pPr>
              <w:widowControl w:val="0"/>
              <w:autoSpaceDE w:val="0"/>
              <w:autoSpaceDN w:val="0"/>
              <w:adjustRightInd w:val="0"/>
              <w:spacing w:after="0" w:line="240" w:lineRule="auto"/>
              <w:ind w:left="1000"/>
              <w:jc w:val="both"/>
              <w:rPr>
                <w:rFonts w:ascii="Times New Roman" w:hAnsi="Times New Roman" w:cs="Times New Roman"/>
                <w:color w:val="000000"/>
                <w:sz w:val="18"/>
                <w:szCs w:val="18"/>
              </w:rPr>
            </w:pPr>
            <w:hyperlink r:id="rId16" w:history="1">
              <w:r>
                <w:rPr>
                  <w:rFonts w:ascii="Times New Roman" w:hAnsi="Times New Roman" w:cs="Times New Roman"/>
                  <w:color w:val="0000FF"/>
                  <w:sz w:val="18"/>
                  <w:szCs w:val="18"/>
                </w:rPr>
                <w:t>Burdines, Inc. v. Pan-Atlantic S.S. Corp., 199 F.2d 571 (5th Cir. 1952)</w:t>
              </w:r>
            </w:hyperlink>
            <w:r>
              <w:rPr>
                <w:rFonts w:ascii="Times New Roman" w:hAnsi="Times New Roman" w:cs="Times New Roman"/>
                <w:color w:val="000000"/>
                <w:sz w:val="18"/>
                <w:szCs w:val="18"/>
              </w:rPr>
              <w:t xml:space="preserve">; </w:t>
            </w:r>
            <w:hyperlink r:id="rId17" w:history="1">
              <w:r>
                <w:rPr>
                  <w:rFonts w:ascii="Times New Roman" w:hAnsi="Times New Roman" w:cs="Times New Roman"/>
                  <w:color w:val="0000FF"/>
                  <w:sz w:val="18"/>
                  <w:szCs w:val="18"/>
                </w:rPr>
                <w:t>Antillean Marine Shipping Corp. v. La Universal De Seguros C. Por A., 359 So. 2d 516 (Fla. 3d DCA 1978)</w:t>
              </w:r>
            </w:hyperlink>
            <w:r>
              <w:rPr>
                <w:rFonts w:ascii="Times New Roman" w:hAnsi="Times New Roman" w:cs="Times New Roman"/>
                <w:color w:val="000000"/>
                <w:sz w:val="18"/>
                <w:szCs w:val="18"/>
              </w:rPr>
              <w:t xml:space="preserve">; </w:t>
            </w:r>
            <w:hyperlink r:id="rId18" w:history="1">
              <w:r>
                <w:rPr>
                  <w:rFonts w:ascii="Times New Roman" w:hAnsi="Times New Roman" w:cs="Times New Roman"/>
                  <w:color w:val="0000FF"/>
                  <w:sz w:val="18"/>
                  <w:szCs w:val="18"/>
                </w:rPr>
                <w:t>MacIntyre v. Green’s Pool Service, Inc., 347 So. 2d 10</w:t>
              </w:r>
              <w:r>
                <w:rPr>
                  <w:rFonts w:ascii="Times New Roman" w:hAnsi="Times New Roman" w:cs="Times New Roman"/>
                  <w:color w:val="0000FF"/>
                  <w:sz w:val="18"/>
                  <w:szCs w:val="18"/>
                </w:rPr>
                <w:t>81 (Fla. 3d DCA 1977)</w:t>
              </w:r>
            </w:hyperlink>
            <w:r>
              <w:rPr>
                <w:rFonts w:ascii="Times New Roman" w:hAnsi="Times New Roman" w:cs="Times New Roman"/>
                <w:color w:val="000000"/>
                <w:sz w:val="18"/>
                <w:szCs w:val="18"/>
              </w:rPr>
              <w:t>.</w:t>
            </w:r>
          </w:p>
          <w:p w:rsidR="00000000" w:rsidRDefault="00182AF3">
            <w:pPr>
              <w:widowControl w:val="0"/>
              <w:autoSpaceDE w:val="0"/>
              <w:autoSpaceDN w:val="0"/>
              <w:adjustRightInd w:val="0"/>
              <w:spacing w:after="0" w:line="240" w:lineRule="auto"/>
              <w:ind w:left="1000"/>
              <w:jc w:val="both"/>
              <w:rPr>
                <w:rFonts w:ascii="Times New Roman" w:hAnsi="Times New Roman" w:cs="Times New Roman"/>
                <w:color w:val="000000"/>
                <w:sz w:val="18"/>
                <w:szCs w:val="18"/>
              </w:rPr>
            </w:pPr>
          </w:p>
        </w:tc>
      </w:tr>
      <w:bookmarkStart w:id="8" w:name="co_footnote_I692a49b1e25711e6810ed88f313"/>
      <w:bookmarkEnd w:id="8"/>
      <w:tr w:rsidR="00000000">
        <w:tblPrEx>
          <w:tblCellMar>
            <w:top w:w="0" w:type="dxa"/>
            <w:left w:w="0" w:type="dxa"/>
            <w:bottom w:w="0" w:type="dxa"/>
            <w:right w:w="0" w:type="dxa"/>
          </w:tblCellMar>
        </w:tblPrEx>
        <w:tc>
          <w:tcPr>
            <w:tcW w:w="780" w:type="dxa"/>
            <w:tcBorders>
              <w:top w:val="nil"/>
              <w:left w:val="nil"/>
              <w:bottom w:val="nil"/>
              <w:right w:val="nil"/>
            </w:tcBorders>
          </w:tcPr>
          <w:p w:rsidR="00000000" w:rsidRDefault="00182AF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HYPERLINK "#co_footnoteReference_I692a49b1e25711e681" </w:instrText>
            </w:r>
            <w:r w:rsidR="00013736">
              <w:rPr>
                <w:rFonts w:ascii="Times New Roman" w:hAnsi="Times New Roman" w:cs="Times New Roman"/>
                <w:color w:val="000000"/>
                <w:sz w:val="18"/>
                <w:szCs w:val="18"/>
              </w:rPr>
            </w:r>
            <w:r>
              <w:rPr>
                <w:rFonts w:ascii="Times New Roman" w:hAnsi="Times New Roman" w:cs="Times New Roman"/>
                <w:color w:val="000000"/>
                <w:sz w:val="18"/>
                <w:szCs w:val="18"/>
              </w:rPr>
              <w:fldChar w:fldCharType="separate"/>
            </w:r>
            <w:r>
              <w:rPr>
                <w:rFonts w:ascii="Times New Roman" w:hAnsi="Times New Roman" w:cs="Times New Roman"/>
                <w:color w:val="0000FF"/>
                <w:sz w:val="18"/>
                <w:szCs w:val="18"/>
                <w:vertAlign w:val="superscript"/>
              </w:rPr>
              <w:t>2</w:t>
            </w:r>
            <w:r>
              <w:rPr>
                <w:rFonts w:ascii="Times New Roman" w:hAnsi="Times New Roman" w:cs="Times New Roman"/>
                <w:color w:val="000000"/>
                <w:sz w:val="18"/>
                <w:szCs w:val="18"/>
              </w:rPr>
              <w:fldChar w:fldCharType="end"/>
            </w:r>
          </w:p>
          <w:p w:rsidR="00000000" w:rsidRDefault="00182AF3">
            <w:pPr>
              <w:widowControl w:val="0"/>
              <w:autoSpaceDE w:val="0"/>
              <w:autoSpaceDN w:val="0"/>
              <w:adjustRightInd w:val="0"/>
              <w:spacing w:after="0" w:line="240" w:lineRule="auto"/>
              <w:rPr>
                <w:rFonts w:ascii="Times New Roman" w:hAnsi="Times New Roman" w:cs="Times New Roman"/>
                <w:color w:val="000000"/>
                <w:sz w:val="18"/>
                <w:szCs w:val="18"/>
              </w:rPr>
            </w:pPr>
          </w:p>
        </w:tc>
        <w:tc>
          <w:tcPr>
            <w:tcW w:w="9300" w:type="dxa"/>
            <w:tcBorders>
              <w:top w:val="nil"/>
              <w:left w:val="nil"/>
              <w:bottom w:val="nil"/>
              <w:right w:val="nil"/>
            </w:tcBorders>
          </w:tcPr>
          <w:p w:rsidR="00000000" w:rsidRDefault="00182AF3">
            <w:pPr>
              <w:widowControl w:val="0"/>
              <w:autoSpaceDE w:val="0"/>
              <w:autoSpaceDN w:val="0"/>
              <w:adjustRightInd w:val="0"/>
              <w:spacing w:after="0" w:line="240" w:lineRule="auto"/>
              <w:ind w:left="1000"/>
              <w:jc w:val="both"/>
              <w:rPr>
                <w:rFonts w:ascii="Times New Roman" w:hAnsi="Times New Roman" w:cs="Times New Roman"/>
                <w:color w:val="000000"/>
                <w:sz w:val="18"/>
                <w:szCs w:val="18"/>
              </w:rPr>
            </w:pPr>
            <w:hyperlink r:id="rId19" w:history="1">
              <w:r>
                <w:rPr>
                  <w:rFonts w:ascii="Times New Roman" w:hAnsi="Times New Roman" w:cs="Times New Roman"/>
                  <w:color w:val="0000FF"/>
                  <w:sz w:val="18"/>
                  <w:szCs w:val="18"/>
                </w:rPr>
                <w:t>Burdines, Inc. v. Pan-Atlantic S.S. Corp., 199 F.2d 571 (5th Cir. 1952)</w:t>
              </w:r>
            </w:hyperlink>
            <w:r>
              <w:rPr>
                <w:rFonts w:ascii="Times New Roman" w:hAnsi="Times New Roman" w:cs="Times New Roman"/>
                <w:color w:val="000000"/>
                <w:sz w:val="18"/>
                <w:szCs w:val="18"/>
              </w:rPr>
              <w:t xml:space="preserve">; </w:t>
            </w:r>
            <w:hyperlink r:id="rId20" w:history="1">
              <w:r>
                <w:rPr>
                  <w:rFonts w:ascii="Times New Roman" w:hAnsi="Times New Roman" w:cs="Times New Roman"/>
                  <w:color w:val="0000FF"/>
                  <w:sz w:val="18"/>
                  <w:szCs w:val="18"/>
                </w:rPr>
                <w:t>Nat Harrison Associates, Inc. v. Florida Power &amp; Light Co., 162 So. 2d 298 (Fla. 3d DCA 1964)</w:t>
              </w:r>
            </w:hyperlink>
            <w:r>
              <w:rPr>
                <w:rFonts w:ascii="Times New Roman" w:hAnsi="Times New Roman" w:cs="Times New Roman"/>
                <w:color w:val="000000"/>
                <w:sz w:val="18"/>
                <w:szCs w:val="18"/>
              </w:rPr>
              <w:t>.</w:t>
            </w:r>
          </w:p>
          <w:p w:rsidR="00000000" w:rsidRDefault="00182AF3">
            <w:pPr>
              <w:widowControl w:val="0"/>
              <w:autoSpaceDE w:val="0"/>
              <w:autoSpaceDN w:val="0"/>
              <w:adjustRightInd w:val="0"/>
              <w:spacing w:after="0" w:line="240" w:lineRule="auto"/>
              <w:ind w:left="1000"/>
              <w:jc w:val="both"/>
              <w:rPr>
                <w:rFonts w:ascii="Times New Roman" w:hAnsi="Times New Roman" w:cs="Times New Roman"/>
                <w:color w:val="000000"/>
                <w:sz w:val="18"/>
                <w:szCs w:val="18"/>
              </w:rPr>
            </w:pPr>
          </w:p>
        </w:tc>
      </w:tr>
      <w:bookmarkStart w:id="9" w:name="co_footnote_I692a49b2e25711e6810ed88f313"/>
      <w:bookmarkEnd w:id="9"/>
      <w:tr w:rsidR="00000000">
        <w:tblPrEx>
          <w:tblCellMar>
            <w:top w:w="0" w:type="dxa"/>
            <w:left w:w="0" w:type="dxa"/>
            <w:bottom w:w="0" w:type="dxa"/>
            <w:right w:w="0" w:type="dxa"/>
          </w:tblCellMar>
        </w:tblPrEx>
        <w:tc>
          <w:tcPr>
            <w:tcW w:w="780" w:type="dxa"/>
            <w:tcBorders>
              <w:top w:val="nil"/>
              <w:left w:val="nil"/>
              <w:bottom w:val="nil"/>
              <w:right w:val="nil"/>
            </w:tcBorders>
          </w:tcPr>
          <w:p w:rsidR="00000000" w:rsidRDefault="00182AF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HYPERLINK "#co_footnoteReference_I692a49b2e25711e681" </w:instrText>
            </w:r>
            <w:r w:rsidR="00013736">
              <w:rPr>
                <w:rFonts w:ascii="Times New Roman" w:hAnsi="Times New Roman" w:cs="Times New Roman"/>
                <w:color w:val="000000"/>
                <w:sz w:val="18"/>
                <w:szCs w:val="18"/>
              </w:rPr>
            </w:r>
            <w:r>
              <w:rPr>
                <w:rFonts w:ascii="Times New Roman" w:hAnsi="Times New Roman" w:cs="Times New Roman"/>
                <w:color w:val="000000"/>
                <w:sz w:val="18"/>
                <w:szCs w:val="18"/>
              </w:rPr>
              <w:fldChar w:fldCharType="separate"/>
            </w:r>
            <w:r>
              <w:rPr>
                <w:rFonts w:ascii="Times New Roman" w:hAnsi="Times New Roman" w:cs="Times New Roman"/>
                <w:color w:val="0000FF"/>
                <w:sz w:val="18"/>
                <w:szCs w:val="18"/>
                <w:vertAlign w:val="superscript"/>
              </w:rPr>
              <w:t>3</w:t>
            </w:r>
            <w:r>
              <w:rPr>
                <w:rFonts w:ascii="Times New Roman" w:hAnsi="Times New Roman" w:cs="Times New Roman"/>
                <w:color w:val="000000"/>
                <w:sz w:val="18"/>
                <w:szCs w:val="18"/>
              </w:rPr>
              <w:fldChar w:fldCharType="end"/>
            </w:r>
          </w:p>
          <w:p w:rsidR="00000000" w:rsidRDefault="00182AF3">
            <w:pPr>
              <w:widowControl w:val="0"/>
              <w:autoSpaceDE w:val="0"/>
              <w:autoSpaceDN w:val="0"/>
              <w:adjustRightInd w:val="0"/>
              <w:spacing w:after="0" w:line="240" w:lineRule="auto"/>
              <w:rPr>
                <w:rFonts w:ascii="Times New Roman" w:hAnsi="Times New Roman" w:cs="Times New Roman"/>
                <w:color w:val="000000"/>
                <w:sz w:val="18"/>
                <w:szCs w:val="18"/>
              </w:rPr>
            </w:pPr>
          </w:p>
        </w:tc>
        <w:tc>
          <w:tcPr>
            <w:tcW w:w="9300" w:type="dxa"/>
            <w:tcBorders>
              <w:top w:val="nil"/>
              <w:left w:val="nil"/>
              <w:bottom w:val="nil"/>
              <w:right w:val="nil"/>
            </w:tcBorders>
          </w:tcPr>
          <w:p w:rsidR="00000000" w:rsidRDefault="00182AF3">
            <w:pPr>
              <w:widowControl w:val="0"/>
              <w:autoSpaceDE w:val="0"/>
              <w:autoSpaceDN w:val="0"/>
              <w:adjustRightInd w:val="0"/>
              <w:spacing w:after="0" w:line="240" w:lineRule="auto"/>
              <w:ind w:left="1000"/>
              <w:jc w:val="both"/>
              <w:rPr>
                <w:rFonts w:ascii="Times New Roman" w:hAnsi="Times New Roman" w:cs="Times New Roman"/>
                <w:color w:val="000000"/>
                <w:sz w:val="18"/>
                <w:szCs w:val="18"/>
              </w:rPr>
            </w:pPr>
            <w:hyperlink r:id="rId21" w:history="1">
              <w:r>
                <w:rPr>
                  <w:rFonts w:ascii="Times New Roman" w:hAnsi="Times New Roman" w:cs="Times New Roman"/>
                  <w:color w:val="0000FF"/>
                  <w:sz w:val="18"/>
                  <w:szCs w:val="18"/>
                </w:rPr>
                <w:t>The Addison E. Bullard, 258 F. 180 (C.C.A. 5th Cir. 1919)</w:t>
              </w:r>
            </w:hyperlink>
            <w:r>
              <w:rPr>
                <w:rFonts w:ascii="Times New Roman" w:hAnsi="Times New Roman" w:cs="Times New Roman"/>
                <w:color w:val="000000"/>
                <w:sz w:val="18"/>
                <w:szCs w:val="18"/>
              </w:rPr>
              <w:t>.</w:t>
            </w:r>
          </w:p>
          <w:p w:rsidR="00000000" w:rsidRDefault="00182AF3">
            <w:pPr>
              <w:widowControl w:val="0"/>
              <w:autoSpaceDE w:val="0"/>
              <w:autoSpaceDN w:val="0"/>
              <w:adjustRightInd w:val="0"/>
              <w:spacing w:after="0" w:line="240" w:lineRule="auto"/>
              <w:ind w:left="1000"/>
              <w:jc w:val="both"/>
              <w:rPr>
                <w:rFonts w:ascii="Times New Roman" w:hAnsi="Times New Roman" w:cs="Times New Roman"/>
                <w:color w:val="000000"/>
                <w:sz w:val="18"/>
                <w:szCs w:val="18"/>
              </w:rPr>
            </w:pPr>
          </w:p>
        </w:tc>
      </w:tr>
      <w:bookmarkStart w:id="10" w:name="co_footnote_I692a49b3e25711e6810ed88f313"/>
      <w:bookmarkEnd w:id="10"/>
      <w:tr w:rsidR="00000000">
        <w:tblPrEx>
          <w:tblCellMar>
            <w:top w:w="0" w:type="dxa"/>
            <w:left w:w="0" w:type="dxa"/>
            <w:bottom w:w="0" w:type="dxa"/>
            <w:right w:w="0" w:type="dxa"/>
          </w:tblCellMar>
        </w:tblPrEx>
        <w:tc>
          <w:tcPr>
            <w:tcW w:w="780" w:type="dxa"/>
            <w:tcBorders>
              <w:top w:val="nil"/>
              <w:left w:val="nil"/>
              <w:bottom w:val="nil"/>
              <w:right w:val="nil"/>
            </w:tcBorders>
          </w:tcPr>
          <w:p w:rsidR="00000000" w:rsidRDefault="00182AF3">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HYPERLINK "#co_footnoteReference_I692a49b3e25711e681" </w:instrText>
            </w:r>
            <w:r w:rsidR="00013736">
              <w:rPr>
                <w:rFonts w:ascii="Times New Roman" w:hAnsi="Times New Roman" w:cs="Times New Roman"/>
                <w:color w:val="000000"/>
                <w:sz w:val="18"/>
                <w:szCs w:val="18"/>
              </w:rPr>
            </w:r>
            <w:r>
              <w:rPr>
                <w:rFonts w:ascii="Times New Roman" w:hAnsi="Times New Roman" w:cs="Times New Roman"/>
                <w:color w:val="000000"/>
                <w:sz w:val="18"/>
                <w:szCs w:val="18"/>
              </w:rPr>
              <w:fldChar w:fldCharType="separate"/>
            </w:r>
            <w:r>
              <w:rPr>
                <w:rFonts w:ascii="Times New Roman" w:hAnsi="Times New Roman" w:cs="Times New Roman"/>
                <w:color w:val="0000FF"/>
                <w:sz w:val="18"/>
                <w:szCs w:val="18"/>
                <w:vertAlign w:val="superscript"/>
              </w:rPr>
              <w:t>4</w:t>
            </w:r>
            <w:r>
              <w:rPr>
                <w:rFonts w:ascii="Times New Roman" w:hAnsi="Times New Roman" w:cs="Times New Roman"/>
                <w:color w:val="000000"/>
                <w:sz w:val="18"/>
                <w:szCs w:val="18"/>
              </w:rPr>
              <w:fldChar w:fldCharType="end"/>
            </w:r>
          </w:p>
          <w:p w:rsidR="00000000" w:rsidRDefault="00182AF3">
            <w:pPr>
              <w:widowControl w:val="0"/>
              <w:autoSpaceDE w:val="0"/>
              <w:autoSpaceDN w:val="0"/>
              <w:adjustRightInd w:val="0"/>
              <w:spacing w:after="0" w:line="240" w:lineRule="auto"/>
              <w:rPr>
                <w:rFonts w:ascii="Times New Roman" w:hAnsi="Times New Roman" w:cs="Times New Roman"/>
                <w:color w:val="000000"/>
                <w:sz w:val="18"/>
                <w:szCs w:val="18"/>
              </w:rPr>
            </w:pPr>
          </w:p>
        </w:tc>
        <w:tc>
          <w:tcPr>
            <w:tcW w:w="9300" w:type="dxa"/>
            <w:tcBorders>
              <w:top w:val="nil"/>
              <w:left w:val="nil"/>
              <w:bottom w:val="nil"/>
              <w:right w:val="nil"/>
            </w:tcBorders>
          </w:tcPr>
          <w:p w:rsidR="00000000" w:rsidRDefault="00182AF3">
            <w:pPr>
              <w:widowControl w:val="0"/>
              <w:autoSpaceDE w:val="0"/>
              <w:autoSpaceDN w:val="0"/>
              <w:adjustRightInd w:val="0"/>
              <w:spacing w:after="0" w:line="240" w:lineRule="auto"/>
              <w:ind w:left="1000"/>
              <w:jc w:val="both"/>
              <w:rPr>
                <w:rFonts w:ascii="Times New Roman" w:hAnsi="Times New Roman" w:cs="Times New Roman"/>
                <w:color w:val="000000"/>
                <w:sz w:val="18"/>
                <w:szCs w:val="18"/>
              </w:rPr>
            </w:pPr>
            <w:hyperlink r:id="rId22" w:history="1">
              <w:r>
                <w:rPr>
                  <w:rFonts w:ascii="Times New Roman" w:hAnsi="Times New Roman" w:cs="Times New Roman"/>
                  <w:color w:val="0000FF"/>
                  <w:sz w:val="18"/>
                  <w:szCs w:val="18"/>
                </w:rPr>
                <w:t>Mitchell v. DiMare, 936 So. 2d 1178 (Fla. 5th DCA 2006)</w:t>
              </w:r>
            </w:hyperlink>
            <w:r>
              <w:rPr>
                <w:rFonts w:ascii="Times New Roman" w:hAnsi="Times New Roman" w:cs="Times New Roman"/>
                <w:color w:val="000000"/>
                <w:sz w:val="18"/>
                <w:szCs w:val="18"/>
              </w:rPr>
              <w:t>.</w:t>
            </w:r>
          </w:p>
          <w:p w:rsidR="00000000" w:rsidRDefault="00182AF3">
            <w:pPr>
              <w:widowControl w:val="0"/>
              <w:autoSpaceDE w:val="0"/>
              <w:autoSpaceDN w:val="0"/>
              <w:adjustRightInd w:val="0"/>
              <w:spacing w:after="0" w:line="240" w:lineRule="auto"/>
              <w:ind w:left="1000"/>
              <w:jc w:val="both"/>
              <w:rPr>
                <w:rFonts w:ascii="Times New Roman" w:hAnsi="Times New Roman" w:cs="Times New Roman"/>
                <w:color w:val="000000"/>
                <w:sz w:val="18"/>
                <w:szCs w:val="18"/>
              </w:rPr>
            </w:pPr>
          </w:p>
        </w:tc>
      </w:tr>
    </w:tbl>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20"/>
          <w:szCs w:val="20"/>
        </w:r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000000">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rsidR="00000000" w:rsidRDefault="00182AF3">
            <w:pPr>
              <w:widowControl w:val="0"/>
              <w:autoSpaceDE w:val="0"/>
              <w:autoSpaceDN w:val="0"/>
              <w:adjustRightInd w:val="0"/>
              <w:spacing w:after="0" w:line="240" w:lineRule="auto"/>
              <w:ind w:left="24" w:right="24"/>
              <w:rPr>
                <w:rFonts w:ascii="Times New Roman" w:hAnsi="Times New Roman" w:cs="Times New Roman"/>
                <w:b/>
                <w:bCs/>
                <w:color w:val="777777"/>
                <w:sz w:val="16"/>
                <w:szCs w:val="16"/>
              </w:rPr>
            </w:pPr>
            <w:r>
              <w:rPr>
                <w:rFonts w:ascii="Times New Roman" w:hAnsi="Times New Roman" w:cs="Times New Roman"/>
                <w:b/>
                <w:bCs/>
                <w:color w:val="777777"/>
                <w:sz w:val="16"/>
                <w:szCs w:val="16"/>
              </w:rPr>
              <w:t>End of Document</w:t>
            </w:r>
          </w:p>
          <w:p w:rsidR="00000000" w:rsidRDefault="00182AF3">
            <w:pPr>
              <w:widowControl w:val="0"/>
              <w:autoSpaceDE w:val="0"/>
              <w:autoSpaceDN w:val="0"/>
              <w:adjustRightInd w:val="0"/>
              <w:spacing w:after="0" w:line="240" w:lineRule="auto"/>
              <w:ind w:left="24" w:right="24"/>
              <w:rPr>
                <w:rFonts w:ascii="Times New Roman" w:hAnsi="Times New Roman" w:cs="Times New Roman"/>
                <w:b/>
                <w:bCs/>
                <w:color w:val="777777"/>
                <w:sz w:val="16"/>
                <w:szCs w:val="16"/>
              </w:rPr>
            </w:pPr>
          </w:p>
        </w:tc>
        <w:tc>
          <w:tcPr>
            <w:tcW w:w="5760" w:type="dxa"/>
            <w:tcBorders>
              <w:top w:val="single" w:sz="4" w:space="0" w:color="777777"/>
              <w:left w:val="nil"/>
              <w:bottom w:val="nil"/>
              <w:right w:val="nil"/>
            </w:tcBorders>
            <w:tcMar>
              <w:top w:w="100" w:type="dxa"/>
              <w:left w:w="30" w:type="dxa"/>
              <w:right w:w="30" w:type="dxa"/>
            </w:tcMar>
          </w:tcPr>
          <w:p w:rsidR="00000000" w:rsidRDefault="00182AF3">
            <w:pPr>
              <w:widowControl w:val="0"/>
              <w:autoSpaceDE w:val="0"/>
              <w:autoSpaceDN w:val="0"/>
              <w:adjustRightInd w:val="0"/>
              <w:spacing w:after="0" w:line="240" w:lineRule="auto"/>
              <w:ind w:left="30" w:right="30"/>
              <w:jc w:val="right"/>
              <w:rPr>
                <w:rFonts w:ascii="Times New Roman" w:hAnsi="Times New Roman" w:cs="Times New Roman"/>
                <w:color w:val="777777"/>
                <w:sz w:val="20"/>
                <w:szCs w:val="20"/>
              </w:rPr>
            </w:pPr>
            <w:r>
              <w:rPr>
                <w:rFonts w:ascii="Times New Roman" w:hAnsi="Times New Roman" w:cs="Times New Roman"/>
                <w:color w:val="777777"/>
                <w:sz w:val="20"/>
                <w:szCs w:val="20"/>
              </w:rPr>
              <w:t>©</w:t>
            </w:r>
            <w:r>
              <w:rPr>
                <w:rFonts w:ascii="Times New Roman" w:hAnsi="Times New Roman" w:cs="Times New Roman"/>
                <w:color w:val="777777"/>
                <w:sz w:val="20"/>
                <w:szCs w:val="20"/>
              </w:rPr>
              <w:t xml:space="preserve"> 2017 Thomson Reuters. No claim to original U.S. Government Works.</w:t>
            </w:r>
          </w:p>
          <w:p w:rsidR="00000000" w:rsidRDefault="00182AF3">
            <w:pPr>
              <w:widowControl w:val="0"/>
              <w:autoSpaceDE w:val="0"/>
              <w:autoSpaceDN w:val="0"/>
              <w:adjustRightInd w:val="0"/>
              <w:spacing w:after="0" w:line="240" w:lineRule="auto"/>
              <w:ind w:left="30" w:right="30"/>
              <w:jc w:val="right"/>
              <w:rPr>
                <w:rFonts w:ascii="Times New Roman" w:hAnsi="Times New Roman" w:cs="Times New Roman"/>
                <w:color w:val="777777"/>
                <w:sz w:val="20"/>
                <w:szCs w:val="20"/>
              </w:rPr>
            </w:pPr>
          </w:p>
        </w:tc>
      </w:tr>
    </w:tbl>
    <w:p w:rsidR="00000000" w:rsidRDefault="00182AF3">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182AF3" w:rsidRDefault="00182AF3">
      <w:pPr>
        <w:widowControl w:val="0"/>
        <w:autoSpaceDE w:val="0"/>
        <w:autoSpaceDN w:val="0"/>
        <w:adjustRightInd w:val="0"/>
        <w:spacing w:after="0" w:line="240" w:lineRule="auto"/>
        <w:rPr>
          <w:rFonts w:ascii="Arial" w:hAnsi="Arial" w:cs="Arial"/>
          <w:sz w:val="24"/>
          <w:szCs w:val="24"/>
        </w:rPr>
      </w:pPr>
    </w:p>
    <w:sectPr w:rsidR="00182AF3">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F3" w:rsidRDefault="00182AF3">
      <w:pPr>
        <w:spacing w:after="0" w:line="240" w:lineRule="auto"/>
      </w:pPr>
      <w:r>
        <w:separator/>
      </w:r>
    </w:p>
  </w:endnote>
  <w:endnote w:type="continuationSeparator" w:id="0">
    <w:p w:rsidR="00182AF3" w:rsidRDefault="0018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000000">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rsidR="00000000" w:rsidRDefault="00013736">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extent cx="7429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5250"/>
                        </a:xfrm>
                        <a:prstGeom prst="rect">
                          <a:avLst/>
                        </a:prstGeom>
                        <a:noFill/>
                        <a:ln>
                          <a:noFill/>
                        </a:ln>
                      </pic:spPr>
                    </pic:pic>
                  </a:graphicData>
                </a:graphic>
              </wp:inline>
            </w:drawing>
          </w:r>
          <w:r w:rsidR="00182AF3">
            <w:rPr>
              <w:rFonts w:ascii="Arial" w:hAnsi="Arial" w:cs="Arial"/>
              <w:color w:val="AAAAAA"/>
              <w:sz w:val="20"/>
              <w:szCs w:val="20"/>
            </w:rPr>
            <w:t xml:space="preserve"> </w:t>
          </w:r>
          <w:r w:rsidR="00182AF3">
            <w:rPr>
              <w:rFonts w:ascii="Arial" w:hAnsi="Arial" w:cs="Arial"/>
              <w:color w:val="AAAAAA"/>
              <w:sz w:val="20"/>
              <w:szCs w:val="20"/>
            </w:rPr>
            <w:t>©</w:t>
          </w:r>
          <w:r w:rsidR="00182AF3">
            <w:rPr>
              <w:rFonts w:ascii="Arial" w:hAnsi="Arial" w:cs="Arial"/>
              <w:color w:val="AAAAAA"/>
              <w:sz w:val="20"/>
              <w:szCs w:val="20"/>
            </w:rPr>
            <w:t xml:space="preserve"> 2017 Thomson Reuters. No claim to original U.S. Government Works.</w:t>
          </w:r>
        </w:p>
      </w:tc>
      <w:tc>
        <w:tcPr>
          <w:tcW w:w="700" w:type="dxa"/>
          <w:tcBorders>
            <w:top w:val="single" w:sz="8" w:space="0" w:color="AAAAAA"/>
            <w:left w:val="nil"/>
            <w:bottom w:val="nil"/>
            <w:right w:val="nil"/>
          </w:tcBorders>
          <w:tcMar>
            <w:top w:w="60" w:type="dxa"/>
          </w:tcMar>
        </w:tcPr>
        <w:p w:rsidR="00000000" w:rsidRDefault="00182AF3">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000000" w:rsidRDefault="00182AF3">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F3" w:rsidRDefault="00182AF3">
      <w:pPr>
        <w:spacing w:after="0" w:line="240" w:lineRule="auto"/>
      </w:pPr>
      <w:r>
        <w:separator/>
      </w:r>
    </w:p>
  </w:footnote>
  <w:footnote w:type="continuationSeparator" w:id="0">
    <w:p w:rsidR="00182AF3" w:rsidRDefault="00182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000000">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rsidR="00000000" w:rsidRDefault="00182AF3">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w:t>
          </w:r>
          <w:r>
            <w:rPr>
              <w:rFonts w:ascii="Arial" w:hAnsi="Arial" w:cs="Arial"/>
              <w:b/>
              <w:bCs/>
              <w:color w:val="555555"/>
              <w:sz w:val="18"/>
              <w:szCs w:val="18"/>
            </w:rPr>
            <w:t xml:space="preserve"> 162.Conflict between printed and written or typewritten matter, 11 Fla. Jur 2d...</w:t>
          </w:r>
        </w:p>
      </w:tc>
      <w:tc>
        <w:tcPr>
          <w:tcW w:w="700" w:type="dxa"/>
          <w:tcBorders>
            <w:top w:val="nil"/>
            <w:left w:val="nil"/>
            <w:bottom w:val="single" w:sz="8" w:space="0" w:color="AAAAAA"/>
            <w:right w:val="nil"/>
          </w:tcBorders>
          <w:tcMar>
            <w:top w:w="400" w:type="dxa"/>
            <w:bottom w:w="60" w:type="dxa"/>
          </w:tcMar>
        </w:tcPr>
        <w:p w:rsidR="00000000" w:rsidRDefault="00182AF3">
          <w:pPr>
            <w:widowControl w:val="0"/>
            <w:autoSpaceDE w:val="0"/>
            <w:autoSpaceDN w:val="0"/>
            <w:adjustRightInd w:val="0"/>
            <w:spacing w:after="0" w:line="240" w:lineRule="auto"/>
            <w:jc w:val="right"/>
            <w:rPr>
              <w:rFonts w:ascii="Arial" w:hAnsi="Arial" w:cs="Arial"/>
              <w:color w:val="000000"/>
              <w:sz w:val="18"/>
              <w:szCs w:val="18"/>
            </w:rPr>
          </w:pPr>
        </w:p>
      </w:tc>
    </w:tr>
    <w:tr w:rsidR="00000000">
      <w:tblPrEx>
        <w:tblCellMar>
          <w:top w:w="0" w:type="dxa"/>
          <w:left w:w="0" w:type="dxa"/>
          <w:bottom w:w="0" w:type="dxa"/>
          <w:right w:w="0" w:type="dxa"/>
        </w:tblCellMar>
      </w:tblPrEx>
      <w:tc>
        <w:tcPr>
          <w:tcW w:w="10080" w:type="dxa"/>
          <w:gridSpan w:val="2"/>
          <w:tcBorders>
            <w:top w:val="nil"/>
            <w:left w:val="nil"/>
            <w:bottom w:val="nil"/>
            <w:right w:val="nil"/>
          </w:tcBorders>
        </w:tcPr>
        <w:p w:rsidR="00000000" w:rsidRDefault="00182AF3">
          <w:pPr>
            <w:widowControl w:val="0"/>
            <w:autoSpaceDE w:val="0"/>
            <w:autoSpaceDN w:val="0"/>
            <w:adjustRightInd w:val="0"/>
            <w:spacing w:after="0" w:line="240" w:lineRule="auto"/>
            <w:rPr>
              <w:rFonts w:ascii="Arial" w:hAnsi="Arial" w:cs="Arial"/>
              <w:color w:val="000000"/>
              <w:sz w:val="18"/>
              <w:szCs w:val="18"/>
            </w:rPr>
          </w:pPr>
        </w:p>
      </w:tc>
    </w:tr>
  </w:tbl>
  <w:p w:rsidR="00000000" w:rsidRDefault="00182AF3">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BB29"/>
    <w:multiLevelType w:val="singleLevel"/>
    <w:tmpl w:val="0D573F58"/>
    <w:lvl w:ilv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36"/>
    <w:rsid w:val="00013736"/>
    <w:rsid w:val="0018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estlaw.com/Browse/Home/KeyNumber/95/View.html?docGuid=Ibcfffd6e34ad11d98c35826ab923e189&amp;originationContext=document&amp;vr=3.0&amp;rs=cblt1.0&amp;transitionType=DocumentItem&amp;contextData=(sc.Category)" TargetMode="External"/><Relationship Id="rId18" Type="http://schemas.openxmlformats.org/officeDocument/2006/relationships/hyperlink" Target="http://www.westlaw.com/Link/Document/FullText?findType=Y&amp;serNum=1977138596&amp;pubNum=0000735&amp;originatingDoc=Ibcfffd6e34ad11d98c35826ab923e189&amp;refType=RP&amp;originationContext=document&amp;vr=3.0&amp;rs=cblt1.0&amp;transitionType=DocumentItem&amp;contextData=(sc.Category)" TargetMode="External"/><Relationship Id="rId3" Type="http://schemas.microsoft.com/office/2007/relationships/stylesWithEffects" Target="stylesWithEffects.xml"/><Relationship Id="rId21" Type="http://schemas.openxmlformats.org/officeDocument/2006/relationships/hyperlink" Target="http://www.westlaw.com/Link/Document/FullText?findType=Y&amp;serNum=1919101952&amp;pubNum=0000348&amp;originatingDoc=Ibcfffd6e34ad11d98c35826ab923e189&amp;refType=RP&amp;originationContext=document&amp;vr=3.0&amp;rs=cblt1.0&amp;transitionType=DocumentItem&amp;contextData=(sc.Category)" TargetMode="External"/><Relationship Id="rId7" Type="http://schemas.openxmlformats.org/officeDocument/2006/relationships/endnotes" Target="endnotes.xml"/><Relationship Id="rId12" Type="http://schemas.openxmlformats.org/officeDocument/2006/relationships/hyperlink" Target="http://www.westlaw.com/Link/Document/FullText?findType=Y&amp;pubNum=114518&amp;cite=FLJUR+CONTRACTS+IV+A+REF&amp;originatingDoc=Ibcfffd6e34ad11d98c35826ab923e189&amp;refType=DA&amp;originationContext=document&amp;vr=3.0&amp;rs=cblt1.0&amp;transitionType=DocumentItem&amp;contextData=(sc.Category)" TargetMode="External"/><Relationship Id="rId17" Type="http://schemas.openxmlformats.org/officeDocument/2006/relationships/hyperlink" Target="http://www.westlaw.com/Link/Document/FullText?findType=Y&amp;serNum=1978136513&amp;pubNum=0000735&amp;originatingDoc=Ibcfffd6e34ad11d98c35826ab923e189&amp;refType=RP&amp;originationContext=document&amp;vr=3.0&amp;rs=cblt1.0&amp;transitionType=DocumentItem&amp;contextData=(sc.Category)" TargetMode="External"/><Relationship Id="rId2" Type="http://schemas.openxmlformats.org/officeDocument/2006/relationships/styles" Target="styles.xml"/><Relationship Id="rId16" Type="http://schemas.openxmlformats.org/officeDocument/2006/relationships/hyperlink" Target="http://www.westlaw.com/Link/Document/FullText?findType=Y&amp;serNum=1952116479&amp;pubNum=0000350&amp;originatingDoc=Ibcfffd6e34ad11d98c35826ab923e189&amp;refType=RP&amp;originationContext=document&amp;vr=3.0&amp;rs=cblt1.0&amp;transitionType=DocumentItem&amp;contextData=(sc.Category)" TargetMode="External"/><Relationship Id="rId20" Type="http://schemas.openxmlformats.org/officeDocument/2006/relationships/hyperlink" Target="http://www.westlaw.com/Link/Document/FullText?findType=Y&amp;serNum=1964130171&amp;pubNum=0000735&amp;originatingDoc=Ibcfffd6e34ad11d98c35826ab923e189&amp;refType=RP&amp;originationContext=document&amp;vr=3.0&amp;rs=cblt1.0&amp;transitionType=DocumentItem&amp;contextData=(sc.Categor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stlaw.com/Link/Document/FullText?findType=Y&amp;pubNum=114518&amp;cite=FLJUR+CONTRACTS+COR&amp;originatingDoc=Ibcfffd6e34ad11d98c35826ab923e189&amp;refType=DA&amp;originationContext=document&amp;vr=3.0&amp;rs=cblt1.0&amp;transitionType=DocumentItem&amp;contextData=(sc.Catego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stlaw.com/Browse/Home/KeyNumber/95k163/View.html?docGuid=Ibcfffd6e34ad11d98c35826ab923e189&amp;originationContext=document&amp;vr=3.0&amp;rs=cblt1.0&amp;transitionType=DocumentItem&amp;contextData=(sc.Category)" TargetMode="External"/><Relationship Id="rId23" Type="http://schemas.openxmlformats.org/officeDocument/2006/relationships/fontTable" Target="fontTable.xml"/><Relationship Id="rId10" Type="http://schemas.openxmlformats.org/officeDocument/2006/relationships/hyperlink" Target="http://www.westlaw.com/Link/Document/FullText?findType=Y&amp;pubNum=114518&amp;cite=FLJUR+CONTRACTS+SUM&amp;originatingDoc=Ibcfffd6e34ad11d98c35826ab923e189&amp;refType=DA&amp;originationContext=document&amp;vr=3.0&amp;rs=cblt1.0&amp;transitionType=DocumentItem&amp;contextData=(sc.Category)" TargetMode="External"/><Relationship Id="rId19" Type="http://schemas.openxmlformats.org/officeDocument/2006/relationships/hyperlink" Target="http://www.westlaw.com/Link/Document/FullText?findType=Y&amp;serNum=1952116479&amp;pubNum=0000350&amp;originatingDoc=Ibcfffd6e34ad11d98c35826ab923e189&amp;refType=RP&amp;originationContext=document&amp;vr=3.0&amp;rs=cblt1.0&amp;transitionType=DocumentItem&amp;contextData=(sc.Catego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westlaw.com/Link/Document/FullText?findType=Y&amp;serNum=2009786914&amp;pubNum=0000735&amp;originatingDoc=Ibcfffd6e34ad11d98c35826ab923e189&amp;refType=RP&amp;originationContext=document&amp;vr=3.0&amp;rs=cblt1.0&amp;transitionType=DocumentItem&amp;contextData=(sc.Catego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4785</Characters>
  <Application>Microsoft Office Word</Application>
  <DocSecurity>0</DocSecurity>
  <Lines>39</Lines>
  <Paragraphs>11</Paragraphs>
  <ScaleCrop>false</ScaleCrop>
  <Company>Hewlett-Packard Company</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2</cp:revision>
  <dcterms:created xsi:type="dcterms:W3CDTF">2017-03-16T14:20:00Z</dcterms:created>
  <dcterms:modified xsi:type="dcterms:W3CDTF">2017-03-16T14:20:00Z</dcterms:modified>
</cp:coreProperties>
</file>