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02600" w14:textId="77777777" w:rsidR="001D5269" w:rsidRDefault="00634212" w:rsidP="00184359">
      <w:pPr>
        <w:spacing w:line="280" w:lineRule="auto"/>
      </w:pPr>
      <w:r>
        <w:rPr>
          <w:rFonts w:ascii="Georgia" w:eastAsia="Georgia" w:hAnsi="Georgia" w:cs="Georgia"/>
          <w:b/>
          <w:bCs/>
          <w:sz w:val="20"/>
        </w:rPr>
        <w:t xml:space="preserve">50 </w:t>
      </w:r>
      <w:proofErr w:type="spellStart"/>
      <w:r>
        <w:rPr>
          <w:rFonts w:ascii="Georgia" w:eastAsia="Georgia" w:hAnsi="Georgia" w:cs="Georgia"/>
          <w:b/>
          <w:bCs/>
          <w:sz w:val="20"/>
        </w:rPr>
        <w:t>So.3d</w:t>
      </w:r>
      <w:proofErr w:type="spellEnd"/>
      <w:r>
        <w:rPr>
          <w:rFonts w:ascii="Georgia" w:eastAsia="Georgia" w:hAnsi="Georgia" w:cs="Georgia"/>
          <w:b/>
          <w:bCs/>
          <w:sz w:val="20"/>
        </w:rPr>
        <w:t xml:space="preserve"> 672</w:t>
      </w:r>
      <w:r>
        <w:rPr>
          <w:rFonts w:ascii="Georgia" w:eastAsia="Georgia" w:hAnsi="Georgia" w:cs="Georgia"/>
          <w:b/>
          <w:bCs/>
          <w:sz w:val="20"/>
        </w:rPr>
        <w:br/>
      </w:r>
      <w:r>
        <w:rPr>
          <w:rFonts w:ascii="Georgia" w:eastAsia="Georgia" w:hAnsi="Georgia" w:cs="Georgia"/>
          <w:b/>
          <w:bCs/>
          <w:sz w:val="20"/>
        </w:rPr>
        <w:br/>
        <w:t xml:space="preserve">Myron </w:t>
      </w:r>
      <w:proofErr w:type="spellStart"/>
      <w:r>
        <w:rPr>
          <w:rFonts w:ascii="Georgia" w:eastAsia="Georgia" w:hAnsi="Georgia" w:cs="Georgia"/>
          <w:b/>
          <w:bCs/>
          <w:sz w:val="20"/>
        </w:rPr>
        <w:t>Alphesus</w:t>
      </w:r>
      <w:proofErr w:type="spellEnd"/>
      <w:r>
        <w:rPr>
          <w:rFonts w:ascii="Georgia" w:eastAsia="Georgia" w:hAnsi="Georgia" w:cs="Georgia"/>
          <w:b/>
          <w:bCs/>
          <w:sz w:val="20"/>
        </w:rPr>
        <w:t xml:space="preserve"> STANLEY, Jr., </w:t>
      </w:r>
      <w:bookmarkStart w:id="0" w:name="_GoBack"/>
      <w:bookmarkEnd w:id="0"/>
      <w:r>
        <w:rPr>
          <w:rFonts w:ascii="Georgia" w:eastAsia="Georgia" w:hAnsi="Georgia" w:cs="Georgia"/>
          <w:b/>
          <w:bCs/>
          <w:sz w:val="20"/>
        </w:rPr>
        <w:t>Appellant,</w:t>
      </w:r>
      <w:r>
        <w:rPr>
          <w:rFonts w:ascii="Georgia" w:eastAsia="Georgia" w:hAnsi="Georgia" w:cs="Georgia"/>
          <w:b/>
          <w:bCs/>
          <w:sz w:val="20"/>
        </w:rPr>
        <w:br/>
        <w:t>v.</w:t>
      </w:r>
      <w:r>
        <w:rPr>
          <w:rFonts w:ascii="Georgia" w:eastAsia="Georgia" w:hAnsi="Georgia" w:cs="Georgia"/>
          <w:b/>
          <w:bCs/>
          <w:sz w:val="20"/>
        </w:rPr>
        <w:br/>
        <w:t>QUEST INTERNATIONAL INVESTMENT, INC., Appellee.</w:t>
      </w:r>
      <w:r>
        <w:rPr>
          <w:rFonts w:ascii="Georgia" w:eastAsia="Georgia" w:hAnsi="Georgia" w:cs="Georgia"/>
          <w:b/>
          <w:bCs/>
          <w:sz w:val="20"/>
        </w:rPr>
        <w:br/>
      </w:r>
      <w:r>
        <w:rPr>
          <w:rFonts w:ascii="Georgia" w:eastAsia="Georgia" w:hAnsi="Georgia" w:cs="Georgia"/>
          <w:b/>
          <w:bCs/>
          <w:sz w:val="20"/>
        </w:rPr>
        <w:br/>
      </w:r>
      <w:r>
        <w:rPr>
          <w:rFonts w:ascii="Georgia" w:eastAsia="Georgia" w:hAnsi="Georgia" w:cs="Georgia"/>
          <w:sz w:val="20"/>
        </w:rPr>
        <w:t xml:space="preserve">No. </w:t>
      </w:r>
      <w:proofErr w:type="spellStart"/>
      <w:r>
        <w:rPr>
          <w:rFonts w:ascii="Georgia" w:eastAsia="Georgia" w:hAnsi="Georgia" w:cs="Georgia"/>
          <w:sz w:val="20"/>
        </w:rPr>
        <w:t>4D09</w:t>
      </w:r>
      <w:proofErr w:type="spellEnd"/>
      <w:r>
        <w:rPr>
          <w:rFonts w:ascii="Georgia" w:eastAsia="Georgia" w:hAnsi="Georgia" w:cs="Georgia"/>
          <w:sz w:val="20"/>
        </w:rPr>
        <w:t>-1690.</w:t>
      </w:r>
      <w:r>
        <w:rPr>
          <w:rFonts w:ascii="Georgia" w:eastAsia="Georgia" w:hAnsi="Georgia" w:cs="Georgia"/>
          <w:sz w:val="20"/>
        </w:rPr>
        <w:br/>
      </w:r>
      <w:r>
        <w:rPr>
          <w:rFonts w:ascii="Georgia" w:eastAsia="Georgia" w:hAnsi="Georgia" w:cs="Georgia"/>
          <w:sz w:val="20"/>
        </w:rPr>
        <w:br/>
      </w:r>
      <w:r>
        <w:rPr>
          <w:rFonts w:ascii="Georgia" w:eastAsia="Georgia" w:hAnsi="Georgia" w:cs="Georgia"/>
          <w:b/>
          <w:bCs/>
          <w:sz w:val="20"/>
        </w:rPr>
        <w:t>District Court of Appeal of Florida,</w:t>
      </w:r>
      <w:r>
        <w:rPr>
          <w:rFonts w:ascii="Georgia" w:eastAsia="Georgia" w:hAnsi="Georgia" w:cs="Georgia"/>
          <w:b/>
          <w:bCs/>
          <w:sz w:val="20"/>
        </w:rPr>
        <w:br/>
        <w:t>Fourth District.</w:t>
      </w:r>
      <w:r>
        <w:rPr>
          <w:rFonts w:ascii="Georgia" w:eastAsia="Georgia" w:hAnsi="Georgia" w:cs="Georgia"/>
          <w:b/>
          <w:bCs/>
          <w:sz w:val="20"/>
        </w:rPr>
        <w:br/>
      </w:r>
      <w:r>
        <w:rPr>
          <w:rFonts w:ascii="Georgia" w:eastAsia="Georgia" w:hAnsi="Georgia" w:cs="Georgia"/>
          <w:b/>
          <w:bCs/>
          <w:sz w:val="20"/>
        </w:rPr>
        <w:br/>
      </w:r>
      <w:r>
        <w:rPr>
          <w:rFonts w:ascii="Georgia" w:eastAsia="Georgia" w:hAnsi="Georgia" w:cs="Georgia"/>
          <w:sz w:val="20"/>
        </w:rPr>
        <w:t>Dec. 1, 2010.</w:t>
      </w:r>
      <w:r>
        <w:rPr>
          <w:rFonts w:ascii="Georgia" w:eastAsia="Georgia" w:hAnsi="Georgia" w:cs="Georgia"/>
          <w:sz w:val="20"/>
        </w:rPr>
        <w:br/>
        <w:t>Rehearing Denied Jan. 26, 2011.</w:t>
      </w:r>
    </w:p>
    <w:p w14:paraId="1B0E9EA0" w14:textId="77777777" w:rsidR="001D5269" w:rsidRDefault="00634212" w:rsidP="00184359">
      <w:pPr>
        <w:spacing w:before="240" w:after="240" w:line="280" w:lineRule="auto"/>
      </w:pPr>
      <w:r>
        <w:rPr>
          <w:rFonts w:ascii="Georgia" w:eastAsia="Georgia" w:hAnsi="Georgia" w:cs="Georgia"/>
          <w:sz w:val="20"/>
        </w:rPr>
        <w:t xml:space="preserve">[50 </w:t>
      </w:r>
      <w:proofErr w:type="spellStart"/>
      <w:r>
        <w:rPr>
          <w:rFonts w:ascii="Georgia" w:eastAsia="Georgia" w:hAnsi="Georgia" w:cs="Georgia"/>
          <w:sz w:val="20"/>
        </w:rPr>
        <w:t>So.3d</w:t>
      </w:r>
      <w:proofErr w:type="spellEnd"/>
      <w:r>
        <w:rPr>
          <w:rFonts w:ascii="Georgia" w:eastAsia="Georgia" w:hAnsi="Georgia" w:cs="Georgia"/>
          <w:sz w:val="20"/>
        </w:rPr>
        <w:t xml:space="preserve"> 672]</w:t>
      </w:r>
    </w:p>
    <w:p w14:paraId="1AE824B0" w14:textId="77777777" w:rsidR="001D5269" w:rsidRDefault="00634212">
      <w:pPr>
        <w:spacing w:before="240" w:after="240" w:line="280" w:lineRule="auto"/>
        <w:jc w:val="both"/>
      </w:pPr>
      <w:r>
        <w:rPr>
          <w:rFonts w:ascii="Georgia" w:eastAsia="Georgia" w:hAnsi="Georgia" w:cs="Georgia"/>
          <w:sz w:val="20"/>
        </w:rPr>
        <w:t xml:space="preserve">        Eric A. </w:t>
      </w:r>
      <w:r>
        <w:rPr>
          <w:rFonts w:ascii="Georgia" w:eastAsia="Georgia" w:hAnsi="Georgia" w:cs="Georgia"/>
          <w:sz w:val="20"/>
        </w:rPr>
        <w:t xml:space="preserve">Jacobs and </w:t>
      </w:r>
      <w:proofErr w:type="spellStart"/>
      <w:r>
        <w:rPr>
          <w:rFonts w:ascii="Georgia" w:eastAsia="Georgia" w:hAnsi="Georgia" w:cs="Georgia"/>
          <w:sz w:val="20"/>
        </w:rPr>
        <w:t>Liron</w:t>
      </w:r>
      <w:proofErr w:type="spellEnd"/>
      <w:r>
        <w:rPr>
          <w:rFonts w:ascii="Georgia" w:eastAsia="Georgia" w:hAnsi="Georgia" w:cs="Georgia"/>
          <w:sz w:val="20"/>
        </w:rPr>
        <w:t xml:space="preserve"> </w:t>
      </w:r>
      <w:proofErr w:type="spellStart"/>
      <w:r>
        <w:rPr>
          <w:rFonts w:ascii="Georgia" w:eastAsia="Georgia" w:hAnsi="Georgia" w:cs="Georgia"/>
          <w:sz w:val="20"/>
        </w:rPr>
        <w:t>Offir</w:t>
      </w:r>
      <w:proofErr w:type="spellEnd"/>
      <w:r>
        <w:rPr>
          <w:rFonts w:ascii="Georgia" w:eastAsia="Georgia" w:hAnsi="Georgia" w:cs="Georgia"/>
          <w:sz w:val="20"/>
        </w:rPr>
        <w:t xml:space="preserve"> of Jacobs/</w:t>
      </w:r>
      <w:proofErr w:type="spellStart"/>
      <w:r>
        <w:rPr>
          <w:rFonts w:ascii="Georgia" w:eastAsia="Georgia" w:hAnsi="Georgia" w:cs="Georgia"/>
          <w:sz w:val="20"/>
        </w:rPr>
        <w:t>Offir</w:t>
      </w:r>
      <w:proofErr w:type="spellEnd"/>
      <w:r>
        <w:rPr>
          <w:rFonts w:ascii="Georgia" w:eastAsia="Georgia" w:hAnsi="Georgia" w:cs="Georgia"/>
          <w:sz w:val="20"/>
        </w:rPr>
        <w:t>, PL, Hollywood, for appellant.</w:t>
      </w:r>
    </w:p>
    <w:p w14:paraId="56D42F21" w14:textId="77777777" w:rsidR="001D5269" w:rsidRDefault="00634212">
      <w:pPr>
        <w:spacing w:before="240" w:after="240" w:line="280" w:lineRule="auto"/>
        <w:jc w:val="both"/>
      </w:pPr>
      <w:r>
        <w:rPr>
          <w:rFonts w:ascii="Georgia" w:eastAsia="Georgia" w:hAnsi="Georgia" w:cs="Georgia"/>
          <w:sz w:val="20"/>
        </w:rPr>
        <w:t>        No appearance filed for appellee.</w:t>
      </w:r>
    </w:p>
    <w:p w14:paraId="2520F1DC" w14:textId="77777777" w:rsidR="001D5269" w:rsidRDefault="00634212">
      <w:pPr>
        <w:spacing w:before="240" w:after="240" w:line="280" w:lineRule="auto"/>
        <w:jc w:val="both"/>
      </w:pPr>
      <w:r>
        <w:rPr>
          <w:rFonts w:ascii="Georgia" w:eastAsia="Georgia" w:hAnsi="Georgia" w:cs="Georgia"/>
          <w:sz w:val="20"/>
        </w:rPr>
        <w:t>        </w:t>
      </w:r>
      <w:r>
        <w:rPr>
          <w:rFonts w:ascii="Georgia" w:eastAsia="Georgia" w:hAnsi="Georgia" w:cs="Georgia"/>
          <w:b/>
          <w:bCs/>
          <w:sz w:val="20"/>
        </w:rPr>
        <w:t>MAY, J.</w:t>
      </w:r>
    </w:p>
    <w:p w14:paraId="7BEB5BD6" w14:textId="77777777" w:rsidR="001D5269" w:rsidRDefault="00634212">
      <w:pPr>
        <w:spacing w:before="240" w:after="240" w:line="280" w:lineRule="auto"/>
        <w:jc w:val="both"/>
      </w:pPr>
      <w:r>
        <w:rPr>
          <w:rFonts w:ascii="Georgia" w:eastAsia="Georgia" w:hAnsi="Georgia" w:cs="Georgia"/>
          <w:sz w:val="20"/>
        </w:rPr>
        <w:t>        This landlord-tenant dispute comes to us on the following certified question from the County Court for Broward County.</w:t>
      </w:r>
    </w:p>
    <w:p w14:paraId="0F2F158F" w14:textId="77777777" w:rsidR="001D5269" w:rsidRDefault="00634212">
      <w:pPr>
        <w:spacing w:before="240" w:after="240" w:line="280" w:lineRule="auto"/>
        <w:ind w:left="600" w:right="600"/>
        <w:jc w:val="both"/>
      </w:pPr>
      <w:r>
        <w:rPr>
          <w:rFonts w:ascii="Georgia" w:eastAsia="Georgia" w:hAnsi="Georgia" w:cs="Georgia"/>
          <w:sz w:val="20"/>
        </w:rPr>
        <w:t>W</w:t>
      </w:r>
      <w:r>
        <w:rPr>
          <w:rFonts w:ascii="Georgia" w:eastAsia="Georgia" w:hAnsi="Georgia" w:cs="Georgia"/>
          <w:sz w:val="20"/>
        </w:rPr>
        <w:t>HETHER A TENANT CLAIMING A DEFECTIVE OR NON-EXISTENT THREE-DAY NOTICE IN A RESIDENTIAL EVICTION IS REQUIRED TO TENDER UNDISPUTED RENT INTO THE COURT REGISTRY AS SET FORTH IN FLORIDA STATUTE § 83.60(2) IN ORDER TO DEFEND THE ACTION BASED ON THE DEFECTIVE OR</w:t>
      </w:r>
      <w:r>
        <w:rPr>
          <w:rFonts w:ascii="Georgia" w:eastAsia="Georgia" w:hAnsi="Georgia" w:cs="Georgia"/>
          <w:sz w:val="20"/>
        </w:rPr>
        <w:t xml:space="preserve"> NON-EXISTENT THREE-DAY NOTICE.</w:t>
      </w:r>
    </w:p>
    <w:p w14:paraId="1C5AC952" w14:textId="77777777" w:rsidR="001D5269" w:rsidRDefault="00634212">
      <w:pPr>
        <w:spacing w:line="280" w:lineRule="auto"/>
        <w:jc w:val="both"/>
      </w:pPr>
      <w:r>
        <w:rPr>
          <w:rFonts w:ascii="Georgia" w:eastAsia="Georgia" w:hAnsi="Georgia" w:cs="Georgia"/>
          <w:sz w:val="20"/>
        </w:rPr>
        <w:t>We answer the question in the affirmative and affirm the decision of the County Court.</w:t>
      </w:r>
    </w:p>
    <w:p w14:paraId="61EA155F" w14:textId="77777777" w:rsidR="001D5269" w:rsidRDefault="00634212">
      <w:pPr>
        <w:spacing w:before="240" w:after="240" w:line="280" w:lineRule="auto"/>
        <w:jc w:val="both"/>
      </w:pPr>
      <w:r>
        <w:rPr>
          <w:rFonts w:ascii="Georgia" w:eastAsia="Georgia" w:hAnsi="Georgia" w:cs="Georgia"/>
          <w:sz w:val="20"/>
        </w:rPr>
        <w:t xml:space="preserve">        The landlord filed a removal action against the tenant using a Florida Bar fill-in-the-blank form for the complaint and for the </w:t>
      </w:r>
      <w:r>
        <w:rPr>
          <w:rFonts w:ascii="Georgia" w:eastAsia="Georgia" w:hAnsi="Georgia" w:cs="Georgia"/>
          <w:sz w:val="20"/>
        </w:rPr>
        <w:t>a</w:t>
      </w:r>
      <w:r>
        <w:rPr>
          <w:rFonts w:ascii="Georgia" w:eastAsia="Georgia" w:hAnsi="Georgia" w:cs="Georgia"/>
          <w:sz w:val="20"/>
        </w:rPr>
        <w:t xml:space="preserve">ttached notice of "demand for payment or possession." </w:t>
      </w:r>
      <w:hyperlink w:anchor="FR0_1" w:history="1">
        <w:bookmarkStart w:id="1" w:name="FN0_1"/>
        <w:r>
          <w:rPr>
            <w:rFonts w:ascii="Georgia" w:eastAsia="Georgia" w:hAnsi="Georgia" w:cs="Georgia"/>
            <w:color w:val="0000EE"/>
            <w:sz w:val="20"/>
            <w:szCs w:val="25"/>
            <w:u w:val="single"/>
            <w:vertAlign w:val="superscript"/>
          </w:rPr>
          <w:t>1</w:t>
        </w:r>
      </w:hyperlink>
      <w:bookmarkEnd w:id="1"/>
      <w:r>
        <w:rPr>
          <w:rFonts w:ascii="Georgia" w:eastAsia="Georgia" w:hAnsi="Georgia" w:cs="Georgia"/>
          <w:sz w:val="20"/>
        </w:rPr>
        <w:t xml:space="preserve"> The tenant filed a timely motion to dismiss, or in the alternative, motion to determine rent, but did not</w:t>
      </w:r>
    </w:p>
    <w:p w14:paraId="6C42BB65" w14:textId="77777777" w:rsidR="001D5269" w:rsidRDefault="00634212">
      <w:pPr>
        <w:spacing w:before="240" w:after="240" w:line="280" w:lineRule="auto"/>
        <w:jc w:val="both"/>
      </w:pPr>
      <w:r>
        <w:rPr>
          <w:rFonts w:ascii="Georgia" w:eastAsia="Georgia" w:hAnsi="Georgia" w:cs="Georgia"/>
          <w:sz w:val="20"/>
        </w:rPr>
        <w:t xml:space="preserve">[50 </w:t>
      </w:r>
      <w:proofErr w:type="spellStart"/>
      <w:r>
        <w:rPr>
          <w:rFonts w:ascii="Georgia" w:eastAsia="Georgia" w:hAnsi="Georgia" w:cs="Georgia"/>
          <w:sz w:val="20"/>
        </w:rPr>
        <w:t>So.3d</w:t>
      </w:r>
      <w:proofErr w:type="spellEnd"/>
      <w:r>
        <w:rPr>
          <w:rFonts w:ascii="Georgia" w:eastAsia="Georgia" w:hAnsi="Georgia" w:cs="Georgia"/>
          <w:sz w:val="20"/>
        </w:rPr>
        <w:t xml:space="preserve"> 673]</w:t>
      </w:r>
    </w:p>
    <w:p w14:paraId="571C0262" w14:textId="77777777" w:rsidR="001D5269" w:rsidRDefault="00634212">
      <w:pPr>
        <w:spacing w:line="280" w:lineRule="auto"/>
        <w:jc w:val="both"/>
      </w:pPr>
      <w:r>
        <w:rPr>
          <w:rFonts w:ascii="Georgia" w:eastAsia="Georgia" w:hAnsi="Georgia" w:cs="Georgia"/>
          <w:sz w:val="20"/>
        </w:rPr>
        <w:t>deposit the undisputed rent into the court registry as</w:t>
      </w:r>
      <w:r>
        <w:rPr>
          <w:rFonts w:ascii="Georgia" w:eastAsia="Georgia" w:hAnsi="Georgia" w:cs="Georgia"/>
          <w:sz w:val="20"/>
        </w:rPr>
        <w:t xml:space="preserve"> required by section 83.60(2), Florida Statutes (2009).</w:t>
      </w:r>
    </w:p>
    <w:p w14:paraId="68944AA2" w14:textId="77777777" w:rsidR="001D5269" w:rsidRDefault="00634212">
      <w:pPr>
        <w:spacing w:before="240" w:after="240" w:line="280" w:lineRule="auto"/>
        <w:jc w:val="both"/>
      </w:pPr>
      <w:r>
        <w:rPr>
          <w:rFonts w:ascii="Georgia" w:eastAsia="Georgia" w:hAnsi="Georgia" w:cs="Georgia"/>
          <w:sz w:val="20"/>
        </w:rPr>
        <w:t xml:space="preserve">        The County Court Judge entered a detailed "ORDER OF DEFAULT, ORDER DENYING TENANT'S MOTION TO DISMISS COMPLAINT, AND CERTIFICATION TO THIS COURT AS A QUESTION OF GREAT PUBLIC IMPORTANCE." The </w:t>
      </w:r>
      <w:r>
        <w:rPr>
          <w:rFonts w:ascii="Georgia" w:eastAsia="Georgia" w:hAnsi="Georgia" w:cs="Georgia"/>
          <w:sz w:val="20"/>
        </w:rPr>
        <w:t>court held "if the [tenant] desired to defend the action based on a defective three-day notice, then he was required, at a minimum, to have tendered the undisputed rent into the court registry." The court certified a question of great public importance due</w:t>
      </w:r>
      <w:r>
        <w:rPr>
          <w:rFonts w:ascii="Georgia" w:eastAsia="Georgia" w:hAnsi="Georgia" w:cs="Georgia"/>
          <w:sz w:val="20"/>
        </w:rPr>
        <w:t xml:space="preserve"> to conflicting decisions within the circuit. The court contemporaneously entered a default judgment for eviction. From the order and judgment, the tenant appealed directly to this court.</w:t>
      </w:r>
    </w:p>
    <w:p w14:paraId="1C000B4F" w14:textId="77777777" w:rsidR="001D5269" w:rsidRDefault="00634212">
      <w:pPr>
        <w:spacing w:before="240" w:after="240" w:line="280" w:lineRule="auto"/>
        <w:jc w:val="both"/>
      </w:pPr>
      <w:r>
        <w:rPr>
          <w:rFonts w:ascii="Georgia" w:eastAsia="Georgia" w:hAnsi="Georgia" w:cs="Georgia"/>
          <w:sz w:val="20"/>
        </w:rPr>
        <w:t xml:space="preserve">        We have </w:t>
      </w:r>
      <w:r>
        <w:rPr>
          <w:rFonts w:ascii="Georgia" w:eastAsia="Georgia" w:hAnsi="Georgia" w:cs="Georgia"/>
          <w:i/>
          <w:iCs/>
          <w:sz w:val="20"/>
        </w:rPr>
        <w:t>de novo</w:t>
      </w:r>
      <w:r>
        <w:rPr>
          <w:rFonts w:ascii="Georgia" w:eastAsia="Georgia" w:hAnsi="Georgia" w:cs="Georgia"/>
          <w:sz w:val="20"/>
        </w:rPr>
        <w:t xml:space="preserve"> review of questions involving statutory inte</w:t>
      </w:r>
      <w:r>
        <w:rPr>
          <w:rFonts w:ascii="Georgia" w:eastAsia="Georgia" w:hAnsi="Georgia" w:cs="Georgia"/>
          <w:sz w:val="20"/>
        </w:rPr>
        <w:t xml:space="preserve">rpretation. </w:t>
      </w:r>
      <w:proofErr w:type="spellStart"/>
      <w:r>
        <w:rPr>
          <w:rFonts w:ascii="Georgia" w:eastAsia="Georgia" w:hAnsi="Georgia" w:cs="Georgia"/>
          <w:i/>
          <w:iCs/>
          <w:sz w:val="20"/>
        </w:rPr>
        <w:t>E.A.R</w:t>
      </w:r>
      <w:proofErr w:type="spellEnd"/>
      <w:r>
        <w:rPr>
          <w:rFonts w:ascii="Georgia" w:eastAsia="Georgia" w:hAnsi="Georgia" w:cs="Georgia"/>
          <w:i/>
          <w:iCs/>
          <w:sz w:val="20"/>
        </w:rPr>
        <w:t>. v. State,</w:t>
      </w:r>
      <w:r>
        <w:rPr>
          <w:rFonts w:ascii="Georgia" w:eastAsia="Georgia" w:hAnsi="Georgia" w:cs="Georgia"/>
          <w:sz w:val="20"/>
        </w:rPr>
        <w:t xml:space="preserve"> 4 </w:t>
      </w:r>
      <w:proofErr w:type="spellStart"/>
      <w:r>
        <w:rPr>
          <w:rFonts w:ascii="Georgia" w:eastAsia="Georgia" w:hAnsi="Georgia" w:cs="Georgia"/>
          <w:sz w:val="20"/>
        </w:rPr>
        <w:t>So.3d</w:t>
      </w:r>
      <w:proofErr w:type="spellEnd"/>
      <w:r>
        <w:rPr>
          <w:rFonts w:ascii="Georgia" w:eastAsia="Georgia" w:hAnsi="Georgia" w:cs="Georgia"/>
          <w:sz w:val="20"/>
        </w:rPr>
        <w:t xml:space="preserve"> 614, 629 (</w:t>
      </w:r>
      <w:proofErr w:type="spellStart"/>
      <w:r>
        <w:rPr>
          <w:rFonts w:ascii="Georgia" w:eastAsia="Georgia" w:hAnsi="Georgia" w:cs="Georgia"/>
          <w:sz w:val="20"/>
        </w:rPr>
        <w:t>Fla.2009</w:t>
      </w:r>
      <w:proofErr w:type="spellEnd"/>
      <w:r>
        <w:rPr>
          <w:rFonts w:ascii="Georgia" w:eastAsia="Georgia" w:hAnsi="Georgia" w:cs="Georgia"/>
          <w:sz w:val="20"/>
        </w:rPr>
        <w:t>). "The intent of the Legislature is the polestar of statutory construction. To discern this intent, the Court looks 'primarily' to the plain text of the relevant statute, and when the text is unambigu</w:t>
      </w:r>
      <w:r>
        <w:rPr>
          <w:rFonts w:ascii="Georgia" w:eastAsia="Georgia" w:hAnsi="Georgia" w:cs="Georgia"/>
          <w:sz w:val="20"/>
        </w:rPr>
        <w:t xml:space="preserve">ous, our inquiry is at an end." </w:t>
      </w:r>
      <w:r>
        <w:rPr>
          <w:rFonts w:ascii="Georgia" w:eastAsia="Georgia" w:hAnsi="Georgia" w:cs="Georgia"/>
          <w:i/>
          <w:iCs/>
          <w:sz w:val="20"/>
        </w:rPr>
        <w:t>Id.</w:t>
      </w:r>
      <w:r>
        <w:rPr>
          <w:rFonts w:ascii="Georgia" w:eastAsia="Georgia" w:hAnsi="Georgia" w:cs="Georgia"/>
          <w:sz w:val="20"/>
        </w:rPr>
        <w:t xml:space="preserve"> (internal citations omitted).</w:t>
      </w:r>
    </w:p>
    <w:p w14:paraId="48BEA31A" w14:textId="77777777" w:rsidR="001D5269" w:rsidRDefault="00634212">
      <w:pPr>
        <w:spacing w:before="240" w:after="240" w:line="280" w:lineRule="auto"/>
        <w:jc w:val="both"/>
      </w:pPr>
      <w:r>
        <w:rPr>
          <w:rFonts w:ascii="Georgia" w:eastAsia="Georgia" w:hAnsi="Georgia" w:cs="Georgia"/>
          <w:sz w:val="20"/>
        </w:rPr>
        <w:t>        The tenant argues that a proper three-day notice is a statutory condition precedent to filing an action for removal of a tenant and a defective notice deprives the trial court of jur</w:t>
      </w:r>
      <w:r>
        <w:rPr>
          <w:rFonts w:ascii="Georgia" w:eastAsia="Georgia" w:hAnsi="Georgia" w:cs="Georgia"/>
          <w:sz w:val="20"/>
        </w:rPr>
        <w:t>isdiction to remove the tenant. The landlord responds that the deposit of rent into the court registry is a prerequisite to any defense other than payment. We find the statute's plain language answers the question. We agree with the landlord and affirm the</w:t>
      </w:r>
      <w:r>
        <w:rPr>
          <w:rFonts w:ascii="Georgia" w:eastAsia="Georgia" w:hAnsi="Georgia" w:cs="Georgia"/>
          <w:sz w:val="20"/>
        </w:rPr>
        <w:t xml:space="preserve"> decision of the county court.</w:t>
      </w:r>
    </w:p>
    <w:p w14:paraId="5483E846" w14:textId="77777777" w:rsidR="001D5269" w:rsidRDefault="00634212">
      <w:pPr>
        <w:spacing w:before="240" w:after="240" w:line="280" w:lineRule="auto"/>
        <w:jc w:val="both"/>
      </w:pPr>
      <w:r>
        <w:rPr>
          <w:rFonts w:ascii="Georgia" w:eastAsia="Georgia" w:hAnsi="Georgia" w:cs="Georgia"/>
          <w:sz w:val="20"/>
        </w:rPr>
        <w:lastRenderedPageBreak/>
        <w:t>        Section 83.60(2), Florida Statutes (2009), defines the tenant's responsibilities in a suit with the landlord.</w:t>
      </w:r>
    </w:p>
    <w:p w14:paraId="63729860" w14:textId="77777777" w:rsidR="001D5269" w:rsidRDefault="00634212">
      <w:pPr>
        <w:spacing w:before="240" w:after="240" w:line="280" w:lineRule="auto"/>
        <w:ind w:left="600" w:right="600"/>
        <w:jc w:val="both"/>
      </w:pPr>
      <w:r>
        <w:rPr>
          <w:rFonts w:ascii="Georgia" w:eastAsia="Georgia" w:hAnsi="Georgia" w:cs="Georgia"/>
          <w:sz w:val="20"/>
        </w:rPr>
        <w:t xml:space="preserve">In an action by the landlord for possession of a dwelling unit, if the tenant interposes </w:t>
      </w:r>
      <w:r>
        <w:rPr>
          <w:rFonts w:ascii="Georgia" w:eastAsia="Georgia" w:hAnsi="Georgia" w:cs="Georgia"/>
          <w:b/>
          <w:bCs/>
          <w:sz w:val="20"/>
        </w:rPr>
        <w:t>any</w:t>
      </w:r>
      <w:r>
        <w:rPr>
          <w:rFonts w:ascii="Georgia" w:eastAsia="Georgia" w:hAnsi="Georgia" w:cs="Georgia"/>
          <w:sz w:val="20"/>
        </w:rPr>
        <w:t xml:space="preserve"> defense other </w:t>
      </w:r>
      <w:r>
        <w:rPr>
          <w:rFonts w:ascii="Georgia" w:eastAsia="Georgia" w:hAnsi="Georgia" w:cs="Georgia"/>
          <w:sz w:val="20"/>
        </w:rPr>
        <w:t>than payment, the tenant shall pay into the registry of the court the accrued rent.... The clerk shall notify the tenant of such requirement in the summons. Failure of the tenant to pay the rent into the registry of the court or to file a motion to determi</w:t>
      </w:r>
      <w:r>
        <w:rPr>
          <w:rFonts w:ascii="Georgia" w:eastAsia="Georgia" w:hAnsi="Georgia" w:cs="Georgia"/>
          <w:sz w:val="20"/>
        </w:rPr>
        <w:t xml:space="preserve">ne the amount of rent to be paid ... constitutes an </w:t>
      </w:r>
      <w:r>
        <w:rPr>
          <w:rFonts w:ascii="Georgia" w:eastAsia="Georgia" w:hAnsi="Georgia" w:cs="Georgia"/>
          <w:b/>
          <w:bCs/>
          <w:sz w:val="20"/>
        </w:rPr>
        <w:t>absolute</w:t>
      </w:r>
      <w:r>
        <w:rPr>
          <w:rFonts w:ascii="Georgia" w:eastAsia="Georgia" w:hAnsi="Georgia" w:cs="Georgia"/>
          <w:sz w:val="20"/>
        </w:rPr>
        <w:t xml:space="preserve"> waiver of the tenant's defenses other than payment, and the landlord is entitled to an </w:t>
      </w:r>
      <w:r>
        <w:rPr>
          <w:rFonts w:ascii="Georgia" w:eastAsia="Georgia" w:hAnsi="Georgia" w:cs="Georgia"/>
          <w:b/>
          <w:bCs/>
          <w:sz w:val="20"/>
        </w:rPr>
        <w:t>immediate</w:t>
      </w:r>
      <w:r>
        <w:rPr>
          <w:rFonts w:ascii="Georgia" w:eastAsia="Georgia" w:hAnsi="Georgia" w:cs="Georgia"/>
          <w:sz w:val="20"/>
        </w:rPr>
        <w:t xml:space="preserve"> default judgment for removal of the tenant ... to issue </w:t>
      </w:r>
      <w:r>
        <w:rPr>
          <w:rFonts w:ascii="Georgia" w:eastAsia="Georgia" w:hAnsi="Georgia" w:cs="Georgia"/>
          <w:b/>
          <w:bCs/>
          <w:sz w:val="20"/>
        </w:rPr>
        <w:t>without</w:t>
      </w:r>
      <w:r>
        <w:rPr>
          <w:rFonts w:ascii="Georgia" w:eastAsia="Georgia" w:hAnsi="Georgia" w:cs="Georgia"/>
          <w:sz w:val="20"/>
        </w:rPr>
        <w:t xml:space="preserve"> further notice or hearing thereon.</w:t>
      </w:r>
    </w:p>
    <w:p w14:paraId="3E4C77A3" w14:textId="77777777" w:rsidR="001D5269" w:rsidRDefault="00634212">
      <w:pPr>
        <w:spacing w:line="280" w:lineRule="auto"/>
        <w:jc w:val="both"/>
      </w:pPr>
      <w:r>
        <w:rPr>
          <w:rFonts w:ascii="Georgia" w:eastAsia="Georgia" w:hAnsi="Georgia" w:cs="Georgia"/>
          <w:sz w:val="20"/>
        </w:rPr>
        <w:t>§ 83.60(2), Fla. Stat. (2009) (emphasis added). The statute plainly requires the payment of rent if the tenant chooses to assert any defense other than payment, and failure to make the necessary deposit constitutes an absolute waiver allowing for immediat</w:t>
      </w:r>
      <w:r>
        <w:rPr>
          <w:rFonts w:ascii="Georgia" w:eastAsia="Georgia" w:hAnsi="Georgia" w:cs="Georgia"/>
          <w:sz w:val="20"/>
        </w:rPr>
        <w:t>e default judgment in favor of the landlord.</w:t>
      </w:r>
    </w:p>
    <w:p w14:paraId="16967D1D" w14:textId="77777777" w:rsidR="001D5269" w:rsidRDefault="00634212">
      <w:pPr>
        <w:spacing w:before="240" w:after="240" w:line="280" w:lineRule="auto"/>
        <w:jc w:val="both"/>
      </w:pPr>
      <w:r>
        <w:rPr>
          <w:rFonts w:ascii="Georgia" w:eastAsia="Georgia" w:hAnsi="Georgia" w:cs="Georgia"/>
          <w:sz w:val="20"/>
        </w:rPr>
        <w:t xml:space="preserve">        We have previously held the notice requirement unnecessary to establish subject matter jurisdiction. </w:t>
      </w:r>
      <w:r>
        <w:rPr>
          <w:rFonts w:ascii="Georgia" w:eastAsia="Georgia" w:hAnsi="Georgia" w:cs="Georgia"/>
          <w:i/>
          <w:iCs/>
          <w:sz w:val="20"/>
        </w:rPr>
        <w:t xml:space="preserve">Bell v. </w:t>
      </w:r>
      <w:proofErr w:type="spellStart"/>
      <w:r>
        <w:rPr>
          <w:rFonts w:ascii="Georgia" w:eastAsia="Georgia" w:hAnsi="Georgia" w:cs="Georgia"/>
          <w:i/>
          <w:iCs/>
          <w:sz w:val="20"/>
        </w:rPr>
        <w:t>Kornblatt</w:t>
      </w:r>
      <w:proofErr w:type="spellEnd"/>
      <w:r>
        <w:rPr>
          <w:rFonts w:ascii="Georgia" w:eastAsia="Georgia" w:hAnsi="Georgia" w:cs="Georgia"/>
          <w:i/>
          <w:iCs/>
          <w:sz w:val="20"/>
        </w:rPr>
        <w:t>,</w:t>
      </w:r>
      <w:r>
        <w:rPr>
          <w:rFonts w:ascii="Georgia" w:eastAsia="Georgia" w:hAnsi="Georgia" w:cs="Georgia"/>
          <w:sz w:val="20"/>
        </w:rPr>
        <w:t xml:space="preserve"> 705 </w:t>
      </w:r>
      <w:proofErr w:type="spellStart"/>
      <w:r>
        <w:rPr>
          <w:rFonts w:ascii="Georgia" w:eastAsia="Georgia" w:hAnsi="Georgia" w:cs="Georgia"/>
          <w:sz w:val="20"/>
        </w:rPr>
        <w:t>So.2d</w:t>
      </w:r>
      <w:proofErr w:type="spellEnd"/>
      <w:r>
        <w:rPr>
          <w:rFonts w:ascii="Georgia" w:eastAsia="Georgia" w:hAnsi="Georgia" w:cs="Georgia"/>
          <w:sz w:val="20"/>
        </w:rPr>
        <w:t xml:space="preserve"> 113, 114 (Fla. 4th </w:t>
      </w:r>
      <w:proofErr w:type="spellStart"/>
      <w:r>
        <w:rPr>
          <w:rFonts w:ascii="Georgia" w:eastAsia="Georgia" w:hAnsi="Georgia" w:cs="Georgia"/>
          <w:sz w:val="20"/>
        </w:rPr>
        <w:t>DCA</w:t>
      </w:r>
      <w:proofErr w:type="spellEnd"/>
      <w:r>
        <w:rPr>
          <w:rFonts w:ascii="Georgia" w:eastAsia="Georgia" w:hAnsi="Georgia" w:cs="Georgia"/>
          <w:sz w:val="20"/>
        </w:rPr>
        <w:t xml:space="preserve"> 1998). Nevertheless, the tenant suggests that givi</w:t>
      </w:r>
      <w:r>
        <w:rPr>
          <w:rFonts w:ascii="Georgia" w:eastAsia="Georgia" w:hAnsi="Georgia" w:cs="Georgia"/>
          <w:sz w:val="20"/>
        </w:rPr>
        <w:t>ng the statute its plain meaning offends public policy because the landlord can obtain a default judgment regardless of whether proper notice is given. Despite any emotional appeal of the tenant's policy argument, it is not our place to disregard plain sta</w:t>
      </w:r>
      <w:r>
        <w:rPr>
          <w:rFonts w:ascii="Georgia" w:eastAsia="Georgia" w:hAnsi="Georgia" w:cs="Georgia"/>
          <w:sz w:val="20"/>
        </w:rPr>
        <w:t xml:space="preserve">tutory text. Policy decisions belong to the legislature. </w:t>
      </w:r>
      <w:r>
        <w:rPr>
          <w:rFonts w:ascii="Georgia" w:eastAsia="Georgia" w:hAnsi="Georgia" w:cs="Georgia"/>
          <w:i/>
          <w:iCs/>
          <w:sz w:val="20"/>
        </w:rPr>
        <w:t>Barr v. State,</w:t>
      </w:r>
      <w:r>
        <w:rPr>
          <w:rFonts w:ascii="Georgia" w:eastAsia="Georgia" w:hAnsi="Georgia" w:cs="Georgia"/>
          <w:sz w:val="20"/>
        </w:rPr>
        <w:t xml:space="preserve"> 507 </w:t>
      </w:r>
      <w:proofErr w:type="spellStart"/>
      <w:r>
        <w:rPr>
          <w:rFonts w:ascii="Georgia" w:eastAsia="Georgia" w:hAnsi="Georgia" w:cs="Georgia"/>
          <w:sz w:val="20"/>
        </w:rPr>
        <w:t>So.2d</w:t>
      </w:r>
      <w:proofErr w:type="spellEnd"/>
      <w:r>
        <w:rPr>
          <w:rFonts w:ascii="Georgia" w:eastAsia="Georgia" w:hAnsi="Georgia" w:cs="Georgia"/>
          <w:sz w:val="20"/>
        </w:rPr>
        <w:t xml:space="preserve"> 175, 176 (Fla. </w:t>
      </w:r>
      <w:proofErr w:type="spellStart"/>
      <w:r>
        <w:rPr>
          <w:rFonts w:ascii="Georgia" w:eastAsia="Georgia" w:hAnsi="Georgia" w:cs="Georgia"/>
          <w:sz w:val="20"/>
        </w:rPr>
        <w:t>3d</w:t>
      </w:r>
      <w:proofErr w:type="spellEnd"/>
      <w:r>
        <w:rPr>
          <w:rFonts w:ascii="Georgia" w:eastAsia="Georgia" w:hAnsi="Georgia" w:cs="Georgia"/>
          <w:sz w:val="20"/>
        </w:rPr>
        <w:t xml:space="preserve"> </w:t>
      </w:r>
      <w:proofErr w:type="spellStart"/>
      <w:r>
        <w:rPr>
          <w:rFonts w:ascii="Georgia" w:eastAsia="Georgia" w:hAnsi="Georgia" w:cs="Georgia"/>
          <w:sz w:val="20"/>
        </w:rPr>
        <w:t>DCA</w:t>
      </w:r>
      <w:proofErr w:type="spellEnd"/>
      <w:r>
        <w:rPr>
          <w:rFonts w:ascii="Georgia" w:eastAsia="Georgia" w:hAnsi="Georgia" w:cs="Georgia"/>
          <w:sz w:val="20"/>
        </w:rPr>
        <w:t xml:space="preserve"> 1987).</w:t>
      </w:r>
    </w:p>
    <w:p w14:paraId="264A6D4C" w14:textId="77777777" w:rsidR="001D5269" w:rsidRDefault="00634212">
      <w:pPr>
        <w:spacing w:before="240" w:after="240" w:line="280" w:lineRule="auto"/>
        <w:jc w:val="both"/>
      </w:pPr>
      <w:r>
        <w:rPr>
          <w:rFonts w:ascii="Georgia" w:eastAsia="Georgia" w:hAnsi="Georgia" w:cs="Georgia"/>
          <w:sz w:val="20"/>
        </w:rPr>
        <w:t>        As Judge Lee wrote:</w:t>
      </w:r>
    </w:p>
    <w:p w14:paraId="104FB316" w14:textId="77777777" w:rsidR="001D5269" w:rsidRDefault="00634212">
      <w:pPr>
        <w:spacing w:before="240" w:after="240" w:line="280" w:lineRule="auto"/>
        <w:jc w:val="both"/>
      </w:pPr>
      <w:r>
        <w:rPr>
          <w:rFonts w:ascii="Georgia" w:eastAsia="Georgia" w:hAnsi="Georgia" w:cs="Georgia"/>
          <w:sz w:val="20"/>
        </w:rPr>
        <w:t xml:space="preserve">[50 </w:t>
      </w:r>
      <w:proofErr w:type="spellStart"/>
      <w:r>
        <w:rPr>
          <w:rFonts w:ascii="Georgia" w:eastAsia="Georgia" w:hAnsi="Georgia" w:cs="Georgia"/>
          <w:sz w:val="20"/>
        </w:rPr>
        <w:t>So.3d</w:t>
      </w:r>
      <w:proofErr w:type="spellEnd"/>
      <w:r>
        <w:rPr>
          <w:rFonts w:ascii="Georgia" w:eastAsia="Georgia" w:hAnsi="Georgia" w:cs="Georgia"/>
          <w:sz w:val="20"/>
        </w:rPr>
        <w:t xml:space="preserve"> 674]</w:t>
      </w:r>
    </w:p>
    <w:p w14:paraId="5C96087D" w14:textId="77777777" w:rsidR="001D5269" w:rsidRDefault="00634212">
      <w:pPr>
        <w:spacing w:before="240" w:after="240" w:line="280" w:lineRule="auto"/>
        <w:ind w:left="600" w:right="600"/>
        <w:jc w:val="both"/>
      </w:pPr>
      <w:r>
        <w:rPr>
          <w:rFonts w:ascii="Georgia" w:eastAsia="Georgia" w:hAnsi="Georgia" w:cs="Georgia"/>
          <w:sz w:val="20"/>
        </w:rPr>
        <w:t xml:space="preserve">The Legislature has provided that failure to post unpaid rent is not merely a waiver; it is an </w:t>
      </w:r>
      <w:r>
        <w:rPr>
          <w:rFonts w:ascii="Georgia" w:eastAsia="Georgia" w:hAnsi="Georgia" w:cs="Georgia"/>
          <w:i/>
          <w:iCs/>
          <w:sz w:val="20"/>
        </w:rPr>
        <w:t>absolute</w:t>
      </w:r>
      <w:r>
        <w:rPr>
          <w:rFonts w:ascii="Georgia" w:eastAsia="Georgia" w:hAnsi="Georgia" w:cs="Georgia"/>
          <w:sz w:val="20"/>
        </w:rPr>
        <w:t xml:space="preserve"> waiver. The landlord is not merely entitled to a judgment; the landlord is entitled to an </w:t>
      </w:r>
      <w:r>
        <w:rPr>
          <w:rFonts w:ascii="Georgia" w:eastAsia="Georgia" w:hAnsi="Georgia" w:cs="Georgia"/>
          <w:i/>
          <w:iCs/>
          <w:sz w:val="20"/>
        </w:rPr>
        <w:t>immediate</w:t>
      </w:r>
      <w:r>
        <w:rPr>
          <w:rFonts w:ascii="Georgia" w:eastAsia="Georgia" w:hAnsi="Georgia" w:cs="Georgia"/>
          <w:sz w:val="20"/>
        </w:rPr>
        <w:t xml:space="preserve"> judgment. The use of such strong language indicates to this Court that the Legislature was comprehensive in its intentions as to the effect of the </w:t>
      </w:r>
      <w:r>
        <w:rPr>
          <w:rFonts w:ascii="Georgia" w:eastAsia="Georgia" w:hAnsi="Georgia" w:cs="Georgia"/>
          <w:sz w:val="20"/>
        </w:rPr>
        <w:t>statute.</w:t>
      </w:r>
    </w:p>
    <w:p w14:paraId="02D097C7" w14:textId="77777777" w:rsidR="001D5269" w:rsidRDefault="00634212">
      <w:pPr>
        <w:spacing w:line="280" w:lineRule="auto"/>
        <w:jc w:val="both"/>
        <w:rPr>
          <w:i/>
          <w:iCs/>
        </w:rPr>
      </w:pPr>
      <w:r>
        <w:rPr>
          <w:rFonts w:ascii="Georgia" w:eastAsia="Georgia" w:hAnsi="Georgia" w:cs="Georgia"/>
          <w:i/>
          <w:iCs/>
          <w:sz w:val="20"/>
        </w:rPr>
        <w:t>Quest Int'l Inv., Inc. v. Stanley,</w:t>
      </w:r>
      <w:r>
        <w:rPr>
          <w:rFonts w:ascii="Georgia" w:eastAsia="Georgia" w:hAnsi="Georgia" w:cs="Georgia"/>
          <w:sz w:val="20"/>
        </w:rPr>
        <w:t xml:space="preserve"> 16 Fla. L. Weekly Supp. </w:t>
      </w:r>
      <w:proofErr w:type="spellStart"/>
      <w:r>
        <w:rPr>
          <w:rFonts w:ascii="Georgia" w:eastAsia="Georgia" w:hAnsi="Georgia" w:cs="Georgia"/>
          <w:sz w:val="20"/>
        </w:rPr>
        <w:t>586b</w:t>
      </w:r>
      <w:proofErr w:type="spellEnd"/>
      <w:r>
        <w:rPr>
          <w:rFonts w:ascii="Georgia" w:eastAsia="Georgia" w:hAnsi="Georgia" w:cs="Georgia"/>
          <w:sz w:val="20"/>
        </w:rPr>
        <w:t xml:space="preserve"> (Fla. Broward </w:t>
      </w:r>
      <w:proofErr w:type="spellStart"/>
      <w:r>
        <w:rPr>
          <w:rFonts w:ascii="Georgia" w:eastAsia="Georgia" w:hAnsi="Georgia" w:cs="Georgia"/>
          <w:sz w:val="20"/>
        </w:rPr>
        <w:t>Cty</w:t>
      </w:r>
      <w:proofErr w:type="spellEnd"/>
      <w:r>
        <w:rPr>
          <w:rFonts w:ascii="Georgia" w:eastAsia="Georgia" w:hAnsi="Georgia" w:cs="Georgia"/>
          <w:sz w:val="20"/>
        </w:rPr>
        <w:t xml:space="preserve">. Ct. Apr. 14, 2009) (alterations in original). The tenant is required to deposit the disputed rent into the court registry to assert any defense other than payment. </w:t>
      </w:r>
      <w:r>
        <w:rPr>
          <w:rFonts w:ascii="Georgia" w:eastAsia="Georgia" w:hAnsi="Georgia" w:cs="Georgia"/>
          <w:sz w:val="20"/>
        </w:rPr>
        <w:t>The plain language of the statute requires it. The court correctly entered the default judgment.</w:t>
      </w:r>
    </w:p>
    <w:p w14:paraId="175B6425" w14:textId="77777777" w:rsidR="001D5269" w:rsidRDefault="00634212">
      <w:pPr>
        <w:spacing w:before="240" w:after="240" w:line="280" w:lineRule="auto"/>
        <w:jc w:val="both"/>
      </w:pPr>
      <w:r>
        <w:rPr>
          <w:rFonts w:ascii="Georgia" w:eastAsia="Georgia" w:hAnsi="Georgia" w:cs="Georgia"/>
          <w:sz w:val="20"/>
        </w:rPr>
        <w:t>        We answer the certified question in the affirmative and affirm the order and default judgment.</w:t>
      </w:r>
    </w:p>
    <w:p w14:paraId="281D916C" w14:textId="77777777" w:rsidR="001D5269" w:rsidRDefault="00634212">
      <w:pPr>
        <w:spacing w:before="240" w:after="240" w:line="280" w:lineRule="auto"/>
        <w:jc w:val="both"/>
      </w:pPr>
      <w:r>
        <w:rPr>
          <w:rFonts w:ascii="Georgia" w:eastAsia="Georgia" w:hAnsi="Georgia" w:cs="Georgia"/>
          <w:sz w:val="20"/>
        </w:rPr>
        <w:t>        </w:t>
      </w:r>
      <w:r>
        <w:rPr>
          <w:rFonts w:ascii="Georgia" w:eastAsia="Georgia" w:hAnsi="Georgia" w:cs="Georgia"/>
          <w:i/>
          <w:iCs/>
          <w:sz w:val="20"/>
        </w:rPr>
        <w:t>Affirmed.</w:t>
      </w:r>
    </w:p>
    <w:p w14:paraId="1160ACA3" w14:textId="77777777" w:rsidR="001D5269" w:rsidRDefault="00634212">
      <w:pPr>
        <w:spacing w:before="240" w:after="240" w:line="280" w:lineRule="auto"/>
        <w:jc w:val="both"/>
      </w:pPr>
      <w:r>
        <w:rPr>
          <w:rFonts w:ascii="Georgia" w:eastAsia="Georgia" w:hAnsi="Georgia" w:cs="Georgia"/>
          <w:sz w:val="20"/>
        </w:rPr>
        <w:t>        </w:t>
      </w:r>
      <w:proofErr w:type="spellStart"/>
      <w:r>
        <w:rPr>
          <w:rFonts w:ascii="Georgia" w:eastAsia="Georgia" w:hAnsi="Georgia" w:cs="Georgia"/>
          <w:b/>
          <w:bCs/>
          <w:sz w:val="20"/>
        </w:rPr>
        <w:t>DAMOORGIAN</w:t>
      </w:r>
      <w:proofErr w:type="spellEnd"/>
      <w:r>
        <w:rPr>
          <w:rFonts w:ascii="Georgia" w:eastAsia="Georgia" w:hAnsi="Georgia" w:cs="Georgia"/>
          <w:b/>
          <w:bCs/>
          <w:sz w:val="20"/>
        </w:rPr>
        <w:t xml:space="preserve"> and GERBER, </w:t>
      </w:r>
      <w:proofErr w:type="spellStart"/>
      <w:r>
        <w:rPr>
          <w:rFonts w:ascii="Georgia" w:eastAsia="Georgia" w:hAnsi="Georgia" w:cs="Georgia"/>
          <w:b/>
          <w:bCs/>
          <w:sz w:val="20"/>
        </w:rPr>
        <w:t>JJ</w:t>
      </w:r>
      <w:proofErr w:type="spellEnd"/>
      <w:r>
        <w:rPr>
          <w:rFonts w:ascii="Georgia" w:eastAsia="Georgia" w:hAnsi="Georgia" w:cs="Georgia"/>
          <w:b/>
          <w:bCs/>
          <w:sz w:val="20"/>
        </w:rPr>
        <w:t>., co</w:t>
      </w:r>
      <w:r>
        <w:rPr>
          <w:rFonts w:ascii="Georgia" w:eastAsia="Georgia" w:hAnsi="Georgia" w:cs="Georgia"/>
          <w:b/>
          <w:bCs/>
          <w:sz w:val="20"/>
        </w:rPr>
        <w:t>ncur.</w:t>
      </w:r>
    </w:p>
    <w:p w14:paraId="44CB98DF" w14:textId="77777777" w:rsidR="001D5269" w:rsidRDefault="00634212">
      <w:pPr>
        <w:spacing w:before="240" w:after="240" w:line="280" w:lineRule="auto"/>
        <w:jc w:val="both"/>
      </w:pPr>
      <w:r>
        <w:rPr>
          <w:rFonts w:ascii="Georgia" w:eastAsia="Georgia" w:hAnsi="Georgia" w:cs="Georgia"/>
          <w:sz w:val="20"/>
        </w:rPr>
        <w:t>        </w:t>
      </w:r>
      <w:hyperlink w:anchor="FN0_1" w:history="1">
        <w:bookmarkStart w:id="2" w:name="FR0_1"/>
        <w:r>
          <w:rPr>
            <w:rFonts w:ascii="Georgia" w:eastAsia="Georgia" w:hAnsi="Georgia" w:cs="Georgia"/>
            <w:color w:val="0000EE"/>
            <w:sz w:val="20"/>
            <w:szCs w:val="25"/>
            <w:u w:val="single"/>
            <w:vertAlign w:val="superscript"/>
          </w:rPr>
          <w:t>1</w:t>
        </w:r>
      </w:hyperlink>
      <w:bookmarkEnd w:id="2"/>
      <w:r>
        <w:rPr>
          <w:rFonts w:ascii="Georgia" w:eastAsia="Georgia" w:hAnsi="Georgia" w:cs="Georgia"/>
          <w:sz w:val="20"/>
          <w:szCs w:val="20"/>
        </w:rPr>
        <w:t xml:space="preserve"> The notice and complaint failed to contain a signature on the notice, alleged conflicting dates of service on the notice, failed to specify the time and specified method of delivery, contained an improper date for payment on the notice, and failed to iden</w:t>
      </w:r>
      <w:r>
        <w:rPr>
          <w:rFonts w:ascii="Georgia" w:eastAsia="Georgia" w:hAnsi="Georgia" w:cs="Georgia"/>
          <w:sz w:val="20"/>
          <w:szCs w:val="20"/>
        </w:rPr>
        <w:t>tify the attorney's signature on the complaint.</w:t>
      </w:r>
    </w:p>
    <w:p w14:paraId="51B46A91" w14:textId="77777777" w:rsidR="00A77B3E" w:rsidRDefault="00634212"/>
    <w:sectPr w:rsidR="00A77B3E">
      <w:headerReference w:type="default" r:id="rId6"/>
      <w:footerReference w:type="default" r:id="rId7"/>
      <w:pgSz w:w="12240" w:h="15840"/>
      <w:pgMar w:top="1440" w:right="1800" w:bottom="1440" w:left="1800" w:header="400" w:footer="600" w:gutter="0"/>
      <w:pgNumType w:start="1"/>
      <w:cols w:num="2" w:space="5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213B9" w14:textId="77777777" w:rsidR="00000000" w:rsidRDefault="00634212">
      <w:r>
        <w:separator/>
      </w:r>
    </w:p>
  </w:endnote>
  <w:endnote w:type="continuationSeparator" w:id="0">
    <w:p w14:paraId="3270830F" w14:textId="77777777" w:rsidR="00000000" w:rsidRDefault="0063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500" w:type="pct"/>
      <w:tblLook w:val="04A0" w:firstRow="1" w:lastRow="0" w:firstColumn="1" w:lastColumn="0" w:noHBand="0" w:noVBand="1"/>
    </w:tblPr>
    <w:tblGrid>
      <w:gridCol w:w="4098"/>
      <w:gridCol w:w="1308"/>
      <w:gridCol w:w="642"/>
    </w:tblGrid>
    <w:tr w:rsidR="001D5269" w14:paraId="02033BA4" w14:textId="77777777">
      <w:tc>
        <w:tcPr>
          <w:tcW w:w="0" w:type="auto"/>
        </w:tcPr>
        <w:p w14:paraId="7CA0F82D" w14:textId="77777777" w:rsidR="001D5269" w:rsidRDefault="00634212">
          <w:r>
            <w:rPr>
              <w:noProof/>
            </w:rPr>
            <w:drawing>
              <wp:inline distT="0" distB="0" distL="0" distR="0" wp14:anchorId="059A3A66" wp14:editId="08BF08C4">
                <wp:extent cx="762000" cy="355600"/>
                <wp:effectExtent l="0" t="0" r="0" b="0"/>
                <wp:docPr id="100000" name="Picture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1"/>
                        <a:stretch>
                          <a:fillRect/>
                        </a:stretch>
                      </pic:blipFill>
                      <pic:spPr>
                        <a:xfrm>
                          <a:off x="0" y="0"/>
                          <a:ext cx="762000" cy="355600"/>
                        </a:xfrm>
                        <a:prstGeom prst="rect">
                          <a:avLst/>
                        </a:prstGeom>
                      </pic:spPr>
                    </pic:pic>
                  </a:graphicData>
                </a:graphic>
              </wp:inline>
            </w:drawing>
          </w:r>
        </w:p>
      </w:tc>
      <w:tc>
        <w:tcPr>
          <w:tcW w:w="0" w:type="auto"/>
        </w:tcPr>
        <w:p w14:paraId="465DD042" w14:textId="77777777" w:rsidR="001D5269" w:rsidRDefault="00634212">
          <w:pPr>
            <w:spacing w:line="280" w:lineRule="auto"/>
            <w:jc w:val="both"/>
          </w:pPr>
          <w:r>
            <w:rPr>
              <w:rFonts w:ascii="Georgia" w:eastAsia="Georgia" w:hAnsi="Georgia" w:cs="Georgia"/>
              <w:sz w:val="20"/>
            </w:rPr>
            <w:t>-</w:t>
          </w:r>
          <w:r>
            <w:fldChar w:fldCharType="begin"/>
          </w:r>
          <w:r>
            <w:rPr>
              <w:rFonts w:ascii="Georgia" w:eastAsia="Georgia" w:hAnsi="Georgia" w:cs="Georgia"/>
              <w:sz w:val="20"/>
            </w:rPr>
            <w:instrText>PAGE</w:instrText>
          </w:r>
          <w:r w:rsidR="00184359">
            <w:fldChar w:fldCharType="separate"/>
          </w:r>
          <w:r w:rsidR="00995807">
            <w:rPr>
              <w:rFonts w:ascii="Georgia" w:eastAsia="Georgia" w:hAnsi="Georgia" w:cs="Georgia"/>
              <w:noProof/>
              <w:sz w:val="20"/>
            </w:rPr>
            <w:t>1</w:t>
          </w:r>
          <w:r>
            <w:fldChar w:fldCharType="end"/>
          </w:r>
          <w:r>
            <w:rPr>
              <w:rFonts w:ascii="Georgia" w:eastAsia="Georgia" w:hAnsi="Georgia" w:cs="Georgia"/>
              <w:sz w:val="20"/>
            </w:rPr>
            <w:t>-</w:t>
          </w:r>
        </w:p>
      </w:tc>
      <w:tc>
        <w:tcPr>
          <w:tcW w:w="0" w:type="auto"/>
        </w:tcPr>
        <w:p w14:paraId="180B3BD6" w14:textId="77777777" w:rsidR="001D5269" w:rsidRDefault="00634212">
          <w:pPr>
            <w:spacing w:line="280" w:lineRule="auto"/>
            <w:jc w:val="both"/>
          </w:pPr>
          <w:r>
            <w:rPr>
              <w:rFonts w:ascii="Georgia" w:eastAsia="Georgia" w:hAnsi="Georgia" w:cs="Georgia"/>
              <w:sz w:val="20"/>
            </w:rPr>
            <w:t xml:space="preserve"> </w:t>
          </w:r>
        </w:p>
      </w:tc>
    </w:tr>
  </w:tbl>
  <w:p w14:paraId="5113AD36" w14:textId="77777777" w:rsidR="001D5269" w:rsidRDefault="001D5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98B8" w14:textId="77777777" w:rsidR="00000000" w:rsidRDefault="00634212">
      <w:r>
        <w:separator/>
      </w:r>
    </w:p>
  </w:footnote>
  <w:footnote w:type="continuationSeparator" w:id="0">
    <w:p w14:paraId="19DCACA4" w14:textId="77777777" w:rsidR="00000000" w:rsidRDefault="0063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DBA9" w14:textId="77777777" w:rsidR="001D5269" w:rsidRDefault="00634212">
    <w:pPr>
      <w:pBdr>
        <w:bottom w:val="single" w:sz="8" w:space="0" w:color="778899"/>
      </w:pBdr>
      <w:jc w:val="center"/>
      <w:rPr>
        <w:rFonts w:ascii="Arial" w:eastAsia="Arial" w:hAnsi="Arial" w:cs="Arial"/>
        <w:b/>
        <w:color w:val="778899"/>
        <w:sz w:val="16"/>
      </w:rPr>
    </w:pPr>
    <w:r>
      <w:rPr>
        <w:rFonts w:ascii="Arial" w:eastAsia="Arial" w:hAnsi="Arial" w:cs="Arial"/>
        <w:b/>
        <w:color w:val="778899"/>
        <w:sz w:val="16"/>
      </w:rPr>
      <w:t xml:space="preserve">Stanley v. Quest Intern. Inv., Inc., 50 </w:t>
    </w:r>
    <w:proofErr w:type="spellStart"/>
    <w:r>
      <w:rPr>
        <w:rFonts w:ascii="Arial" w:eastAsia="Arial" w:hAnsi="Arial" w:cs="Arial"/>
        <w:b/>
        <w:color w:val="778899"/>
        <w:sz w:val="16"/>
      </w:rPr>
      <w:t>So.3d</w:t>
    </w:r>
    <w:proofErr w:type="spellEnd"/>
    <w:r>
      <w:rPr>
        <w:rFonts w:ascii="Arial" w:eastAsia="Arial" w:hAnsi="Arial" w:cs="Arial"/>
        <w:b/>
        <w:color w:val="778899"/>
        <w:sz w:val="16"/>
      </w:rPr>
      <w:t xml:space="preserve"> 672 (Fla. App.,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69"/>
    <w:rsid w:val="00184359"/>
    <w:rsid w:val="001D5269"/>
    <w:rsid w:val="00634212"/>
    <w:rsid w:val="0099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8414"/>
  <w15:docId w15:val="{A3E4E355-EED5-4DA6-B95E-F6F8446D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ard's Ideapad</dc:creator>
  <cp:lastModifiedBy>Leonard's Ideapad</cp:lastModifiedBy>
  <cp:revision>3</cp:revision>
  <dcterms:created xsi:type="dcterms:W3CDTF">2016-07-29T20:32:00Z</dcterms:created>
  <dcterms:modified xsi:type="dcterms:W3CDTF">2016-07-29T20:32:00Z</dcterms:modified>
</cp:coreProperties>
</file>