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F22F3" w14:textId="77777777" w:rsidR="0011422E" w:rsidRDefault="0011422E" w:rsidP="0011422E">
      <w:pPr>
        <w:widowControl w:val="0"/>
        <w:autoSpaceDE w:val="0"/>
        <w:autoSpaceDN w:val="0"/>
        <w:adjustRightInd w:val="0"/>
        <w:spacing w:after="120"/>
        <w:rPr>
          <w:rFonts w:ascii="Arial" w:hAnsi="Arial" w:cs="Arial"/>
          <w:b/>
          <w:bCs/>
          <w:sz w:val="46"/>
          <w:szCs w:val="46"/>
        </w:rPr>
      </w:pPr>
      <w:bookmarkStart w:id="0" w:name="_GoBack"/>
      <w:bookmarkEnd w:id="0"/>
      <w:r>
        <w:rPr>
          <w:rFonts w:ascii="Arial" w:hAnsi="Arial" w:cs="Arial"/>
          <w:b/>
          <w:bCs/>
          <w:sz w:val="46"/>
          <w:szCs w:val="46"/>
        </w:rPr>
        <w:t xml:space="preserve">Randolph </w:t>
      </w:r>
      <w:proofErr w:type="spellStart"/>
      <w:r>
        <w:rPr>
          <w:rFonts w:ascii="Arial" w:hAnsi="Arial" w:cs="Arial"/>
          <w:b/>
          <w:bCs/>
          <w:sz w:val="46"/>
          <w:szCs w:val="46"/>
        </w:rPr>
        <w:t>Braccialarghe</w:t>
      </w:r>
      <w:proofErr w:type="spellEnd"/>
    </w:p>
    <w:p w14:paraId="668C7F78" w14:textId="77777777" w:rsidR="0011422E" w:rsidRDefault="0011422E" w:rsidP="0011422E">
      <w:pPr>
        <w:widowControl w:val="0"/>
        <w:autoSpaceDE w:val="0"/>
        <w:autoSpaceDN w:val="0"/>
        <w:adjustRightInd w:val="0"/>
        <w:rPr>
          <w:rFonts w:ascii="Arial" w:hAnsi="Arial" w:cs="Arial"/>
          <w:color w:val="262626"/>
        </w:rPr>
      </w:pPr>
      <w:r>
        <w:rPr>
          <w:rFonts w:ascii="Arial" w:hAnsi="Arial" w:cs="Arial"/>
          <w:color w:val="262626"/>
        </w:rPr>
        <w:t>Professor of Law</w:t>
      </w:r>
    </w:p>
    <w:p w14:paraId="37030B77" w14:textId="77777777" w:rsidR="0011422E" w:rsidRDefault="00853123" w:rsidP="0011422E">
      <w:pPr>
        <w:widowControl w:val="0"/>
        <w:autoSpaceDE w:val="0"/>
        <w:autoSpaceDN w:val="0"/>
        <w:adjustRightInd w:val="0"/>
        <w:rPr>
          <w:rFonts w:ascii="Arial" w:hAnsi="Arial" w:cs="Arial"/>
          <w:b/>
          <w:bCs/>
          <w:sz w:val="28"/>
          <w:szCs w:val="28"/>
        </w:rPr>
      </w:pPr>
      <w:hyperlink r:id="rId6" w:history="1">
        <w:r w:rsidR="0011422E">
          <w:rPr>
            <w:rFonts w:ascii="Arial" w:hAnsi="Arial" w:cs="Arial"/>
            <w:color w:val="0A5287"/>
            <w:u w:val="single" w:color="0A5287"/>
          </w:rPr>
          <w:t>rb@nova.edu</w:t>
        </w:r>
      </w:hyperlink>
    </w:p>
    <w:p w14:paraId="0ADBAB27" w14:textId="77777777" w:rsidR="0011422E" w:rsidRDefault="0011422E" w:rsidP="0011422E">
      <w:pPr>
        <w:widowControl w:val="0"/>
        <w:autoSpaceDE w:val="0"/>
        <w:autoSpaceDN w:val="0"/>
        <w:adjustRightInd w:val="0"/>
        <w:rPr>
          <w:rFonts w:ascii="Arial" w:hAnsi="Arial" w:cs="Arial"/>
          <w:b/>
          <w:bCs/>
          <w:sz w:val="28"/>
          <w:szCs w:val="28"/>
        </w:rPr>
      </w:pPr>
      <w:r>
        <w:rPr>
          <w:rFonts w:ascii="Arial" w:hAnsi="Arial" w:cs="Arial"/>
          <w:b/>
          <w:bCs/>
          <w:sz w:val="28"/>
          <w:szCs w:val="28"/>
        </w:rPr>
        <w:t>Education</w:t>
      </w:r>
    </w:p>
    <w:p w14:paraId="28419F42" w14:textId="77777777" w:rsidR="0011422E" w:rsidRDefault="0011422E" w:rsidP="0011422E">
      <w:pPr>
        <w:widowControl w:val="0"/>
        <w:autoSpaceDE w:val="0"/>
        <w:autoSpaceDN w:val="0"/>
        <w:adjustRightInd w:val="0"/>
        <w:rPr>
          <w:rFonts w:ascii="Arial" w:hAnsi="Arial" w:cs="Arial"/>
          <w:color w:val="262626"/>
        </w:rPr>
      </w:pPr>
      <w:r>
        <w:rPr>
          <w:rFonts w:ascii="Arial" w:hAnsi="Arial" w:cs="Arial"/>
          <w:color w:val="262626"/>
        </w:rPr>
        <w:t>B.A.,</w:t>
      </w:r>
      <w:r>
        <w:rPr>
          <w:rFonts w:ascii="Arial" w:hAnsi="Arial" w:cs="Arial"/>
          <w:i/>
          <w:iCs/>
          <w:color w:val="262626"/>
        </w:rPr>
        <w:t xml:space="preserve"> </w:t>
      </w:r>
      <w:r>
        <w:rPr>
          <w:rFonts w:ascii="Arial" w:hAnsi="Arial" w:cs="Arial"/>
          <w:color w:val="262626"/>
        </w:rPr>
        <w:t>University of Michigan, 1970</w:t>
      </w:r>
    </w:p>
    <w:p w14:paraId="78876145" w14:textId="77777777" w:rsidR="0011422E" w:rsidRDefault="0011422E" w:rsidP="0011422E">
      <w:pPr>
        <w:widowControl w:val="0"/>
        <w:autoSpaceDE w:val="0"/>
        <w:autoSpaceDN w:val="0"/>
        <w:adjustRightInd w:val="0"/>
        <w:rPr>
          <w:rFonts w:ascii="Arial" w:hAnsi="Arial" w:cs="Arial"/>
          <w:color w:val="262626"/>
        </w:rPr>
      </w:pPr>
      <w:r>
        <w:rPr>
          <w:rFonts w:ascii="Arial" w:hAnsi="Arial" w:cs="Arial"/>
          <w:color w:val="262626"/>
        </w:rPr>
        <w:t>J.D.,</w:t>
      </w:r>
      <w:r>
        <w:rPr>
          <w:rFonts w:ascii="Arial" w:hAnsi="Arial" w:cs="Arial"/>
          <w:i/>
          <w:iCs/>
          <w:color w:val="262626"/>
        </w:rPr>
        <w:t xml:space="preserve"> </w:t>
      </w:r>
      <w:r>
        <w:rPr>
          <w:rFonts w:ascii="Arial" w:hAnsi="Arial" w:cs="Arial"/>
          <w:color w:val="262626"/>
        </w:rPr>
        <w:t>University of Miami School of Law, 1977</w:t>
      </w:r>
    </w:p>
    <w:p w14:paraId="7CAB7A0A" w14:textId="77777777" w:rsidR="0011422E" w:rsidRDefault="0011422E" w:rsidP="0011422E">
      <w:pPr>
        <w:widowControl w:val="0"/>
        <w:autoSpaceDE w:val="0"/>
        <w:autoSpaceDN w:val="0"/>
        <w:adjustRightInd w:val="0"/>
        <w:spacing w:after="360"/>
        <w:rPr>
          <w:rFonts w:ascii="Arial" w:hAnsi="Arial" w:cs="Arial"/>
          <w:color w:val="262626"/>
        </w:rPr>
      </w:pPr>
      <w:r>
        <w:rPr>
          <w:rFonts w:ascii="Arial" w:hAnsi="Arial" w:cs="Arial"/>
          <w:color w:val="262626"/>
        </w:rPr>
        <w:t xml:space="preserve">Professor Randolph </w:t>
      </w:r>
      <w:proofErr w:type="spellStart"/>
      <w:r>
        <w:rPr>
          <w:rFonts w:ascii="Arial" w:hAnsi="Arial" w:cs="Arial"/>
          <w:color w:val="262626"/>
        </w:rPr>
        <w:t>Braccialarghe</w:t>
      </w:r>
      <w:proofErr w:type="spellEnd"/>
      <w:r>
        <w:rPr>
          <w:rFonts w:ascii="Arial" w:hAnsi="Arial" w:cs="Arial"/>
          <w:color w:val="262626"/>
        </w:rPr>
        <w:t xml:space="preserve"> joined Nova Southeastern University’s law faculty in 1983. He currently teaches </w:t>
      </w:r>
      <w:r>
        <w:rPr>
          <w:rFonts w:ascii="Arial" w:hAnsi="Arial" w:cs="Arial"/>
          <w:b/>
          <w:bCs/>
          <w:color w:val="262626"/>
        </w:rPr>
        <w:t>Evidence</w:t>
      </w:r>
      <w:r>
        <w:rPr>
          <w:rFonts w:ascii="Arial" w:hAnsi="Arial" w:cs="Arial"/>
          <w:color w:val="262626"/>
        </w:rPr>
        <w:t xml:space="preserve"> and </w:t>
      </w:r>
      <w:r>
        <w:rPr>
          <w:rFonts w:ascii="Arial" w:hAnsi="Arial" w:cs="Arial"/>
          <w:b/>
          <w:bCs/>
          <w:color w:val="262626"/>
        </w:rPr>
        <w:t xml:space="preserve">Professional Responsibility. </w:t>
      </w:r>
      <w:r>
        <w:rPr>
          <w:rFonts w:ascii="Arial" w:hAnsi="Arial" w:cs="Arial"/>
          <w:color w:val="262626"/>
        </w:rPr>
        <w:t xml:space="preserve">He has also taught </w:t>
      </w:r>
      <w:r>
        <w:rPr>
          <w:rFonts w:ascii="Arial" w:hAnsi="Arial" w:cs="Arial"/>
          <w:b/>
          <w:bCs/>
          <w:color w:val="262626"/>
        </w:rPr>
        <w:t>Criminal Law</w:t>
      </w:r>
      <w:r>
        <w:rPr>
          <w:rFonts w:ascii="Arial" w:hAnsi="Arial" w:cs="Arial"/>
          <w:color w:val="262626"/>
        </w:rPr>
        <w:t xml:space="preserve">, </w:t>
      </w:r>
      <w:r>
        <w:rPr>
          <w:rFonts w:ascii="Arial" w:hAnsi="Arial" w:cs="Arial"/>
          <w:b/>
          <w:bCs/>
          <w:color w:val="262626"/>
        </w:rPr>
        <w:t>Civil Procedure</w:t>
      </w:r>
      <w:r>
        <w:rPr>
          <w:rFonts w:ascii="Arial" w:hAnsi="Arial" w:cs="Arial"/>
          <w:color w:val="262626"/>
        </w:rPr>
        <w:t xml:space="preserve">, </w:t>
      </w:r>
      <w:r>
        <w:rPr>
          <w:rFonts w:ascii="Arial" w:hAnsi="Arial" w:cs="Arial"/>
          <w:b/>
          <w:bCs/>
          <w:color w:val="262626"/>
        </w:rPr>
        <w:t>Trial</w:t>
      </w:r>
      <w:r>
        <w:rPr>
          <w:rFonts w:ascii="Arial" w:hAnsi="Arial" w:cs="Arial"/>
          <w:color w:val="262626"/>
        </w:rPr>
        <w:t xml:space="preserve"> </w:t>
      </w:r>
      <w:r>
        <w:rPr>
          <w:rFonts w:ascii="Arial" w:hAnsi="Arial" w:cs="Arial"/>
          <w:b/>
          <w:bCs/>
          <w:color w:val="262626"/>
        </w:rPr>
        <w:t>Advocacy,</w:t>
      </w:r>
      <w:r>
        <w:rPr>
          <w:rFonts w:ascii="Arial" w:hAnsi="Arial" w:cs="Arial"/>
          <w:color w:val="262626"/>
        </w:rPr>
        <w:t xml:space="preserve"> and was </w:t>
      </w:r>
      <w:r>
        <w:rPr>
          <w:rFonts w:ascii="Arial" w:hAnsi="Arial" w:cs="Arial"/>
          <w:b/>
          <w:bCs/>
          <w:color w:val="262626"/>
        </w:rPr>
        <w:t>Co</w:t>
      </w:r>
      <w:r>
        <w:rPr>
          <w:rFonts w:ascii="Arial" w:hAnsi="Arial" w:cs="Arial"/>
          <w:color w:val="262626"/>
        </w:rPr>
        <w:t>-</w:t>
      </w:r>
      <w:r>
        <w:rPr>
          <w:rFonts w:ascii="Arial" w:hAnsi="Arial" w:cs="Arial"/>
          <w:b/>
          <w:bCs/>
          <w:color w:val="262626"/>
        </w:rPr>
        <w:t>Director</w:t>
      </w:r>
      <w:r>
        <w:rPr>
          <w:rFonts w:ascii="Arial" w:hAnsi="Arial" w:cs="Arial"/>
          <w:color w:val="262626"/>
        </w:rPr>
        <w:t xml:space="preserve"> of the </w:t>
      </w:r>
      <w:r>
        <w:rPr>
          <w:rFonts w:ascii="Arial" w:hAnsi="Arial" w:cs="Arial"/>
          <w:b/>
          <w:bCs/>
          <w:color w:val="262626"/>
        </w:rPr>
        <w:t>Criminal Clinic</w:t>
      </w:r>
      <w:r>
        <w:rPr>
          <w:rFonts w:ascii="Arial" w:hAnsi="Arial" w:cs="Arial"/>
          <w:color w:val="262626"/>
        </w:rPr>
        <w:t xml:space="preserve"> for 13 years.</w:t>
      </w:r>
    </w:p>
    <w:p w14:paraId="5975DA13" w14:textId="77777777" w:rsidR="0011422E" w:rsidRDefault="0011422E" w:rsidP="0011422E">
      <w:pPr>
        <w:widowControl w:val="0"/>
        <w:autoSpaceDE w:val="0"/>
        <w:autoSpaceDN w:val="0"/>
        <w:adjustRightInd w:val="0"/>
        <w:spacing w:after="360"/>
        <w:rPr>
          <w:rFonts w:ascii="Arial" w:hAnsi="Arial" w:cs="Arial"/>
          <w:color w:val="262626"/>
        </w:rPr>
      </w:pPr>
      <w:r>
        <w:rPr>
          <w:rFonts w:ascii="Arial" w:hAnsi="Arial" w:cs="Arial"/>
          <w:color w:val="262626"/>
        </w:rPr>
        <w:t>After receiving his B.A. (1970) from the University of Michigan and J.D. (1977) from the University of Miami School of Law</w:t>
      </w:r>
      <w:proofErr w:type="gramStart"/>
      <w:r>
        <w:rPr>
          <w:rFonts w:ascii="Arial" w:hAnsi="Arial" w:cs="Arial"/>
          <w:color w:val="262626"/>
        </w:rPr>
        <w:t>,  Professor</w:t>
      </w:r>
      <w:proofErr w:type="gramEnd"/>
      <w:r>
        <w:rPr>
          <w:rFonts w:ascii="Arial" w:hAnsi="Arial" w:cs="Arial"/>
          <w:color w:val="262626"/>
        </w:rPr>
        <w:t xml:space="preserve"> </w:t>
      </w:r>
      <w:proofErr w:type="spellStart"/>
      <w:r>
        <w:rPr>
          <w:rFonts w:ascii="Arial" w:hAnsi="Arial" w:cs="Arial"/>
          <w:color w:val="262626"/>
        </w:rPr>
        <w:t>Braccialarghe</w:t>
      </w:r>
      <w:proofErr w:type="spellEnd"/>
      <w:r>
        <w:rPr>
          <w:rFonts w:ascii="Arial" w:hAnsi="Arial" w:cs="Arial"/>
          <w:color w:val="262626"/>
        </w:rPr>
        <w:t xml:space="preserve"> practiced law in Fort Lauderdale, first as an </w:t>
      </w:r>
      <w:r>
        <w:rPr>
          <w:rFonts w:ascii="Arial" w:hAnsi="Arial" w:cs="Arial"/>
          <w:b/>
          <w:bCs/>
          <w:color w:val="262626"/>
        </w:rPr>
        <w:t>assistant state attorney</w:t>
      </w:r>
      <w:r>
        <w:rPr>
          <w:rFonts w:ascii="Arial" w:hAnsi="Arial" w:cs="Arial"/>
          <w:color w:val="262626"/>
        </w:rPr>
        <w:t xml:space="preserve"> (1977-1981) and then as a </w:t>
      </w:r>
      <w:r>
        <w:rPr>
          <w:rFonts w:ascii="Arial" w:hAnsi="Arial" w:cs="Arial"/>
          <w:b/>
          <w:bCs/>
          <w:color w:val="262626"/>
        </w:rPr>
        <w:t>commercial litigator</w:t>
      </w:r>
      <w:r>
        <w:rPr>
          <w:rFonts w:ascii="Arial" w:hAnsi="Arial" w:cs="Arial"/>
          <w:color w:val="262626"/>
        </w:rPr>
        <w:t xml:space="preserve"> (1981-1983) with English, </w:t>
      </w:r>
      <w:proofErr w:type="spellStart"/>
      <w:r>
        <w:rPr>
          <w:rFonts w:ascii="Arial" w:hAnsi="Arial" w:cs="Arial"/>
          <w:color w:val="262626"/>
        </w:rPr>
        <w:t>McCaughan</w:t>
      </w:r>
      <w:proofErr w:type="spellEnd"/>
      <w:r>
        <w:rPr>
          <w:rFonts w:ascii="Arial" w:hAnsi="Arial" w:cs="Arial"/>
          <w:color w:val="262626"/>
        </w:rPr>
        <w:t xml:space="preserve"> &amp; O’Bryan.</w:t>
      </w:r>
    </w:p>
    <w:p w14:paraId="193C0244" w14:textId="77777777" w:rsidR="0011422E" w:rsidRDefault="0011422E" w:rsidP="0011422E">
      <w:pPr>
        <w:widowControl w:val="0"/>
        <w:autoSpaceDE w:val="0"/>
        <w:autoSpaceDN w:val="0"/>
        <w:adjustRightInd w:val="0"/>
        <w:spacing w:after="360"/>
        <w:rPr>
          <w:rFonts w:ascii="Arial" w:hAnsi="Arial" w:cs="Arial"/>
          <w:color w:val="262626"/>
        </w:rPr>
      </w:pPr>
      <w:r>
        <w:rPr>
          <w:rFonts w:ascii="Arial" w:hAnsi="Arial" w:cs="Arial"/>
          <w:color w:val="262626"/>
        </w:rPr>
        <w:t xml:space="preserve">Professor </w:t>
      </w:r>
      <w:proofErr w:type="spellStart"/>
      <w:r>
        <w:rPr>
          <w:rFonts w:ascii="Arial" w:hAnsi="Arial" w:cs="Arial"/>
          <w:color w:val="262626"/>
        </w:rPr>
        <w:t>Braccialarghe</w:t>
      </w:r>
      <w:proofErr w:type="spellEnd"/>
      <w:r>
        <w:rPr>
          <w:rFonts w:ascii="Arial" w:hAnsi="Arial" w:cs="Arial"/>
          <w:color w:val="262626"/>
        </w:rPr>
        <w:t xml:space="preserve"> has taught </w:t>
      </w:r>
      <w:r>
        <w:rPr>
          <w:rFonts w:ascii="Arial" w:hAnsi="Arial" w:cs="Arial"/>
          <w:b/>
          <w:bCs/>
          <w:color w:val="262626"/>
        </w:rPr>
        <w:t>c</w:t>
      </w:r>
      <w:r>
        <w:rPr>
          <w:rFonts w:ascii="Arial" w:hAnsi="Arial" w:cs="Arial"/>
          <w:color w:val="262626"/>
        </w:rPr>
        <w:t xml:space="preserve">ontinuing </w:t>
      </w:r>
      <w:r>
        <w:rPr>
          <w:rFonts w:ascii="Arial" w:hAnsi="Arial" w:cs="Arial"/>
          <w:b/>
          <w:bCs/>
          <w:color w:val="262626"/>
        </w:rPr>
        <w:t>l</w:t>
      </w:r>
      <w:r>
        <w:rPr>
          <w:rFonts w:ascii="Arial" w:hAnsi="Arial" w:cs="Arial"/>
          <w:color w:val="262626"/>
        </w:rPr>
        <w:t xml:space="preserve">egal </w:t>
      </w:r>
      <w:r>
        <w:rPr>
          <w:rFonts w:ascii="Arial" w:hAnsi="Arial" w:cs="Arial"/>
          <w:b/>
          <w:bCs/>
          <w:color w:val="262626"/>
        </w:rPr>
        <w:t>e</w:t>
      </w:r>
      <w:r>
        <w:rPr>
          <w:rFonts w:ascii="Arial" w:hAnsi="Arial" w:cs="Arial"/>
          <w:color w:val="262626"/>
        </w:rPr>
        <w:t xml:space="preserve">ducation seminars for </w:t>
      </w:r>
      <w:r>
        <w:rPr>
          <w:rFonts w:ascii="Arial" w:hAnsi="Arial" w:cs="Arial"/>
          <w:b/>
          <w:bCs/>
          <w:color w:val="262626"/>
        </w:rPr>
        <w:t>lawyers</w:t>
      </w:r>
      <w:r>
        <w:rPr>
          <w:rFonts w:ascii="Arial" w:hAnsi="Arial" w:cs="Arial"/>
          <w:color w:val="262626"/>
        </w:rPr>
        <w:t xml:space="preserve"> on Ethics, Evidence, and Criminal Law, for </w:t>
      </w:r>
      <w:r>
        <w:rPr>
          <w:rFonts w:ascii="Arial" w:hAnsi="Arial" w:cs="Arial"/>
          <w:b/>
          <w:bCs/>
          <w:color w:val="262626"/>
        </w:rPr>
        <w:t>U.S. Magistrates</w:t>
      </w:r>
      <w:r>
        <w:rPr>
          <w:rFonts w:ascii="Arial" w:hAnsi="Arial" w:cs="Arial"/>
          <w:color w:val="262626"/>
        </w:rPr>
        <w:t xml:space="preserve"> on Judicial Ethics, and he has taught at trial training programs for </w:t>
      </w:r>
      <w:r>
        <w:rPr>
          <w:rFonts w:ascii="Arial" w:hAnsi="Arial" w:cs="Arial"/>
          <w:b/>
          <w:bCs/>
          <w:color w:val="262626"/>
        </w:rPr>
        <w:t>prosecutors</w:t>
      </w:r>
      <w:r>
        <w:rPr>
          <w:rFonts w:ascii="Arial" w:hAnsi="Arial" w:cs="Arial"/>
          <w:color w:val="262626"/>
        </w:rPr>
        <w:t xml:space="preserve">, </w:t>
      </w:r>
      <w:r>
        <w:rPr>
          <w:rFonts w:ascii="Arial" w:hAnsi="Arial" w:cs="Arial"/>
          <w:b/>
          <w:bCs/>
          <w:color w:val="262626"/>
        </w:rPr>
        <w:t>public defenders</w:t>
      </w:r>
      <w:r>
        <w:rPr>
          <w:rFonts w:ascii="Arial" w:hAnsi="Arial" w:cs="Arial"/>
          <w:color w:val="262626"/>
        </w:rPr>
        <w:t xml:space="preserve"> and </w:t>
      </w:r>
      <w:r>
        <w:rPr>
          <w:rFonts w:ascii="Arial" w:hAnsi="Arial" w:cs="Arial"/>
          <w:b/>
          <w:bCs/>
          <w:color w:val="262626"/>
        </w:rPr>
        <w:t>civil litigators</w:t>
      </w:r>
      <w:r>
        <w:rPr>
          <w:rFonts w:ascii="Arial" w:hAnsi="Arial" w:cs="Arial"/>
          <w:color w:val="262626"/>
        </w:rPr>
        <w:t>.</w:t>
      </w:r>
    </w:p>
    <w:p w14:paraId="2E2FABBE" w14:textId="77777777" w:rsidR="0011422E" w:rsidRDefault="0011422E" w:rsidP="0011422E">
      <w:pPr>
        <w:widowControl w:val="0"/>
        <w:autoSpaceDE w:val="0"/>
        <w:autoSpaceDN w:val="0"/>
        <w:adjustRightInd w:val="0"/>
        <w:spacing w:after="360"/>
        <w:rPr>
          <w:rFonts w:ascii="Arial" w:hAnsi="Arial" w:cs="Arial"/>
          <w:color w:val="262626"/>
        </w:rPr>
      </w:pPr>
      <w:r>
        <w:rPr>
          <w:rFonts w:ascii="Arial" w:hAnsi="Arial" w:cs="Arial"/>
          <w:color w:val="262626"/>
        </w:rPr>
        <w:t xml:space="preserve">In 2011, Florida Governor Rick Scott appointed Professor </w:t>
      </w:r>
      <w:proofErr w:type="spellStart"/>
      <w:r>
        <w:rPr>
          <w:rFonts w:ascii="Arial" w:hAnsi="Arial" w:cs="Arial"/>
          <w:color w:val="262626"/>
        </w:rPr>
        <w:t>Braccialarghe</w:t>
      </w:r>
      <w:proofErr w:type="spellEnd"/>
      <w:r>
        <w:rPr>
          <w:rFonts w:ascii="Arial" w:hAnsi="Arial" w:cs="Arial"/>
          <w:color w:val="262626"/>
        </w:rPr>
        <w:t xml:space="preserve"> to a four-year term as one of Florida’s three Commissioners to the </w:t>
      </w:r>
      <w:r>
        <w:rPr>
          <w:rFonts w:ascii="Arial" w:hAnsi="Arial" w:cs="Arial"/>
          <w:b/>
          <w:bCs/>
          <w:color w:val="262626"/>
        </w:rPr>
        <w:t>National Conference of Commissioners on Uniform State Laws.</w:t>
      </w:r>
    </w:p>
    <w:p w14:paraId="75DC64F9" w14:textId="77777777" w:rsidR="0011422E" w:rsidRDefault="0011422E" w:rsidP="0011422E">
      <w:pPr>
        <w:widowControl w:val="0"/>
        <w:autoSpaceDE w:val="0"/>
        <w:autoSpaceDN w:val="0"/>
        <w:adjustRightInd w:val="0"/>
        <w:spacing w:after="80"/>
        <w:rPr>
          <w:rFonts w:ascii="Arial" w:hAnsi="Arial" w:cs="Arial"/>
          <w:b/>
          <w:bCs/>
          <w:sz w:val="30"/>
          <w:szCs w:val="30"/>
        </w:rPr>
      </w:pPr>
      <w:r>
        <w:rPr>
          <w:rFonts w:ascii="Arial" w:hAnsi="Arial" w:cs="Arial"/>
          <w:b/>
          <w:bCs/>
          <w:sz w:val="28"/>
          <w:szCs w:val="28"/>
        </w:rPr>
        <w:t xml:space="preserve">Professor </w:t>
      </w:r>
      <w:proofErr w:type="spellStart"/>
      <w:r>
        <w:rPr>
          <w:rFonts w:ascii="Arial" w:hAnsi="Arial" w:cs="Arial"/>
          <w:b/>
          <w:bCs/>
          <w:sz w:val="28"/>
          <w:szCs w:val="28"/>
        </w:rPr>
        <w:t>Braccialarghe’s</w:t>
      </w:r>
      <w:proofErr w:type="spellEnd"/>
      <w:r>
        <w:rPr>
          <w:rFonts w:ascii="Arial" w:hAnsi="Arial" w:cs="Arial"/>
          <w:b/>
          <w:bCs/>
          <w:sz w:val="28"/>
          <w:szCs w:val="28"/>
        </w:rPr>
        <w:t xml:space="preserve"> Florida Bar activities include:</w:t>
      </w:r>
    </w:p>
    <w:p w14:paraId="231A9334" w14:textId="77777777" w:rsidR="0011422E" w:rsidRDefault="0011422E" w:rsidP="0011422E">
      <w:pPr>
        <w:widowControl w:val="0"/>
        <w:autoSpaceDE w:val="0"/>
        <w:autoSpaceDN w:val="0"/>
        <w:adjustRightInd w:val="0"/>
        <w:spacing w:after="360"/>
        <w:rPr>
          <w:rFonts w:ascii="Arial" w:hAnsi="Arial" w:cs="Arial"/>
          <w:color w:val="262626"/>
        </w:rPr>
      </w:pPr>
      <w:r>
        <w:rPr>
          <w:rFonts w:ascii="Arial" w:hAnsi="Arial" w:cs="Arial"/>
          <w:b/>
          <w:bCs/>
          <w:color w:val="262626"/>
        </w:rPr>
        <w:t>Code and Rules of</w:t>
      </w:r>
      <w:r>
        <w:rPr>
          <w:rFonts w:ascii="Arial" w:hAnsi="Arial" w:cs="Arial"/>
          <w:color w:val="262626"/>
        </w:rPr>
        <w:t xml:space="preserve"> </w:t>
      </w:r>
      <w:r>
        <w:rPr>
          <w:rFonts w:ascii="Arial" w:hAnsi="Arial" w:cs="Arial"/>
          <w:b/>
          <w:bCs/>
          <w:color w:val="262626"/>
        </w:rPr>
        <w:t xml:space="preserve">Evidence Committee </w:t>
      </w:r>
      <w:r>
        <w:rPr>
          <w:rFonts w:ascii="Arial" w:hAnsi="Arial" w:cs="Arial"/>
          <w:color w:val="262626"/>
        </w:rPr>
        <w:t xml:space="preserve">of the </w:t>
      </w:r>
      <w:r>
        <w:rPr>
          <w:rFonts w:ascii="Arial" w:hAnsi="Arial" w:cs="Arial"/>
          <w:b/>
          <w:bCs/>
          <w:color w:val="262626"/>
        </w:rPr>
        <w:t>Florida Bar</w:t>
      </w:r>
    </w:p>
    <w:p w14:paraId="4D8DF759" w14:textId="77777777" w:rsidR="0011422E" w:rsidRDefault="0011422E" w:rsidP="0011422E">
      <w:pPr>
        <w:widowControl w:val="0"/>
        <w:numPr>
          <w:ilvl w:val="0"/>
          <w:numId w:val="1"/>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ab/>
      </w:r>
      <w:r>
        <w:rPr>
          <w:rFonts w:ascii="Arial" w:hAnsi="Arial" w:cs="Arial"/>
          <w:color w:val="262626"/>
          <w:sz w:val="26"/>
          <w:szCs w:val="26"/>
        </w:rPr>
        <w:tab/>
        <w:t>1987-1990</w:t>
      </w:r>
    </w:p>
    <w:p w14:paraId="5A56F9C8" w14:textId="77777777" w:rsidR="0011422E" w:rsidRDefault="0011422E" w:rsidP="0011422E">
      <w:pPr>
        <w:widowControl w:val="0"/>
        <w:autoSpaceDE w:val="0"/>
        <w:autoSpaceDN w:val="0"/>
        <w:adjustRightInd w:val="0"/>
        <w:spacing w:after="360"/>
        <w:rPr>
          <w:rFonts w:ascii="Arial" w:hAnsi="Arial" w:cs="Arial"/>
          <w:color w:val="262626"/>
        </w:rPr>
      </w:pPr>
      <w:r>
        <w:rPr>
          <w:rFonts w:ascii="Arial" w:hAnsi="Arial" w:cs="Arial"/>
          <w:b/>
          <w:bCs/>
          <w:color w:val="262626"/>
        </w:rPr>
        <w:t>Seventeenth Judicial Circuit</w:t>
      </w:r>
      <w:r>
        <w:rPr>
          <w:rFonts w:ascii="Arial" w:hAnsi="Arial" w:cs="Arial"/>
          <w:color w:val="262626"/>
        </w:rPr>
        <w:t xml:space="preserve"> </w:t>
      </w:r>
      <w:r>
        <w:rPr>
          <w:rFonts w:ascii="Arial" w:hAnsi="Arial" w:cs="Arial"/>
          <w:b/>
          <w:bCs/>
          <w:color w:val="262626"/>
        </w:rPr>
        <w:t>Grievance Committees</w:t>
      </w:r>
    </w:p>
    <w:p w14:paraId="55B94F70" w14:textId="77777777" w:rsidR="0011422E" w:rsidRDefault="0011422E" w:rsidP="0011422E">
      <w:pPr>
        <w:widowControl w:val="0"/>
        <w:numPr>
          <w:ilvl w:val="0"/>
          <w:numId w:val="2"/>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ab/>
      </w:r>
      <w:r>
        <w:rPr>
          <w:rFonts w:ascii="Arial" w:hAnsi="Arial" w:cs="Arial"/>
          <w:color w:val="262626"/>
          <w:sz w:val="26"/>
          <w:szCs w:val="26"/>
        </w:rPr>
        <w:tab/>
        <w:t xml:space="preserve">1987-1990 - Committee “17-D” - </w:t>
      </w:r>
      <w:r>
        <w:rPr>
          <w:rFonts w:ascii="Arial" w:hAnsi="Arial" w:cs="Arial"/>
          <w:b/>
          <w:bCs/>
          <w:color w:val="262626"/>
          <w:sz w:val="26"/>
          <w:szCs w:val="26"/>
        </w:rPr>
        <w:t>Vice Chairman</w:t>
      </w:r>
      <w:r>
        <w:rPr>
          <w:rFonts w:ascii="Arial" w:hAnsi="Arial" w:cs="Arial"/>
          <w:color w:val="262626"/>
          <w:sz w:val="26"/>
          <w:szCs w:val="26"/>
        </w:rPr>
        <w:t xml:space="preserve"> from 1988</w:t>
      </w:r>
    </w:p>
    <w:p w14:paraId="4129571A" w14:textId="77777777" w:rsidR="0011422E" w:rsidRDefault="0011422E" w:rsidP="0011422E">
      <w:pPr>
        <w:widowControl w:val="0"/>
        <w:numPr>
          <w:ilvl w:val="0"/>
          <w:numId w:val="2"/>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ab/>
      </w:r>
      <w:r>
        <w:rPr>
          <w:rFonts w:ascii="Arial" w:hAnsi="Arial" w:cs="Arial"/>
          <w:color w:val="262626"/>
          <w:sz w:val="26"/>
          <w:szCs w:val="26"/>
        </w:rPr>
        <w:tab/>
        <w:t xml:space="preserve">1994-1997 - Committee “17-D” - Vice Chairman and </w:t>
      </w:r>
      <w:r>
        <w:rPr>
          <w:rFonts w:ascii="Arial" w:hAnsi="Arial" w:cs="Arial"/>
          <w:b/>
          <w:bCs/>
          <w:color w:val="262626"/>
          <w:sz w:val="26"/>
          <w:szCs w:val="26"/>
        </w:rPr>
        <w:t>Chairman</w:t>
      </w:r>
      <w:r>
        <w:rPr>
          <w:rFonts w:ascii="Arial" w:hAnsi="Arial" w:cs="Arial"/>
          <w:color w:val="262626"/>
          <w:sz w:val="26"/>
          <w:szCs w:val="26"/>
        </w:rPr>
        <w:t>, 1997</w:t>
      </w:r>
    </w:p>
    <w:p w14:paraId="69FF4AFF" w14:textId="77777777" w:rsidR="0011422E" w:rsidRDefault="0011422E" w:rsidP="0011422E">
      <w:pPr>
        <w:widowControl w:val="0"/>
        <w:numPr>
          <w:ilvl w:val="0"/>
          <w:numId w:val="2"/>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ab/>
      </w:r>
      <w:r>
        <w:rPr>
          <w:rFonts w:ascii="Arial" w:hAnsi="Arial" w:cs="Arial"/>
          <w:color w:val="262626"/>
          <w:sz w:val="26"/>
          <w:szCs w:val="26"/>
        </w:rPr>
        <w:tab/>
        <w:t xml:space="preserve">2005-2008 - Committee “17-A” - Vice Chairman and </w:t>
      </w:r>
      <w:r>
        <w:rPr>
          <w:rFonts w:ascii="Arial" w:hAnsi="Arial" w:cs="Arial"/>
          <w:b/>
          <w:bCs/>
          <w:color w:val="262626"/>
          <w:sz w:val="26"/>
          <w:szCs w:val="26"/>
        </w:rPr>
        <w:t>Chairman</w:t>
      </w:r>
      <w:r>
        <w:rPr>
          <w:rFonts w:ascii="Arial" w:hAnsi="Arial" w:cs="Arial"/>
          <w:color w:val="262626"/>
          <w:sz w:val="26"/>
          <w:szCs w:val="26"/>
        </w:rPr>
        <w:t>, 2007-8 </w:t>
      </w:r>
    </w:p>
    <w:p w14:paraId="01ED0E94" w14:textId="77777777" w:rsidR="0011422E" w:rsidRDefault="0011422E" w:rsidP="0011422E">
      <w:pPr>
        <w:widowControl w:val="0"/>
        <w:autoSpaceDE w:val="0"/>
        <w:autoSpaceDN w:val="0"/>
        <w:adjustRightInd w:val="0"/>
        <w:spacing w:after="360"/>
        <w:rPr>
          <w:rFonts w:ascii="Arial" w:hAnsi="Arial" w:cs="Arial"/>
          <w:color w:val="262626"/>
        </w:rPr>
      </w:pPr>
      <w:r>
        <w:rPr>
          <w:rFonts w:ascii="Arial" w:hAnsi="Arial" w:cs="Arial"/>
          <w:b/>
          <w:bCs/>
          <w:color w:val="262626"/>
        </w:rPr>
        <w:t>Special Committee on Perjured Testimony</w:t>
      </w:r>
    </w:p>
    <w:p w14:paraId="7E54F37E" w14:textId="77777777" w:rsidR="0011422E" w:rsidRDefault="0011422E" w:rsidP="0011422E">
      <w:pPr>
        <w:widowControl w:val="0"/>
        <w:numPr>
          <w:ilvl w:val="0"/>
          <w:numId w:val="3"/>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ab/>
      </w:r>
      <w:r>
        <w:rPr>
          <w:rFonts w:ascii="Arial" w:hAnsi="Arial" w:cs="Arial"/>
          <w:color w:val="262626"/>
          <w:sz w:val="26"/>
          <w:szCs w:val="26"/>
        </w:rPr>
        <w:tab/>
        <w:t>1987-1989</w:t>
      </w:r>
    </w:p>
    <w:p w14:paraId="1C0E1DAB" w14:textId="77777777" w:rsidR="0011422E" w:rsidRDefault="0011422E" w:rsidP="0011422E">
      <w:pPr>
        <w:widowControl w:val="0"/>
        <w:autoSpaceDE w:val="0"/>
        <w:autoSpaceDN w:val="0"/>
        <w:adjustRightInd w:val="0"/>
        <w:spacing w:after="360"/>
        <w:rPr>
          <w:rFonts w:ascii="Arial" w:hAnsi="Arial" w:cs="Arial"/>
          <w:color w:val="262626"/>
        </w:rPr>
      </w:pPr>
      <w:r>
        <w:rPr>
          <w:rFonts w:ascii="Arial" w:hAnsi="Arial" w:cs="Arial"/>
          <w:b/>
          <w:bCs/>
          <w:color w:val="262626"/>
        </w:rPr>
        <w:t>Special Counsel for The Florida Bar</w:t>
      </w:r>
      <w:r>
        <w:rPr>
          <w:rFonts w:ascii="Arial" w:hAnsi="Arial" w:cs="Arial"/>
          <w:color w:val="262626"/>
        </w:rPr>
        <w:t xml:space="preserve"> in a disbarment proceeding,</w:t>
      </w:r>
    </w:p>
    <w:p w14:paraId="6494DB19" w14:textId="77777777" w:rsidR="0011422E" w:rsidRDefault="0011422E" w:rsidP="0011422E">
      <w:pPr>
        <w:widowControl w:val="0"/>
        <w:numPr>
          <w:ilvl w:val="0"/>
          <w:numId w:val="4"/>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lastRenderedPageBreak/>
        <w:tab/>
      </w:r>
      <w:r>
        <w:rPr>
          <w:rFonts w:ascii="Arial" w:hAnsi="Arial" w:cs="Arial"/>
          <w:color w:val="262626"/>
          <w:sz w:val="26"/>
          <w:szCs w:val="26"/>
        </w:rPr>
        <w:tab/>
      </w:r>
      <w:r>
        <w:rPr>
          <w:rFonts w:ascii="Arial" w:hAnsi="Arial" w:cs="Arial"/>
          <w:color w:val="262626"/>
          <w:sz w:val="26"/>
          <w:szCs w:val="26"/>
          <w:u w:val="single"/>
        </w:rPr>
        <w:t xml:space="preserve">The Florida Bar v. Stephen </w:t>
      </w:r>
      <w:proofErr w:type="spellStart"/>
      <w:r>
        <w:rPr>
          <w:rFonts w:ascii="Arial" w:hAnsi="Arial" w:cs="Arial"/>
          <w:color w:val="262626"/>
          <w:sz w:val="26"/>
          <w:szCs w:val="26"/>
          <w:u w:val="single"/>
        </w:rPr>
        <w:t>Broudy</w:t>
      </w:r>
      <w:proofErr w:type="spellEnd"/>
    </w:p>
    <w:p w14:paraId="3DA62DD7" w14:textId="77777777" w:rsidR="0011422E" w:rsidRDefault="0011422E" w:rsidP="0011422E">
      <w:pPr>
        <w:widowControl w:val="0"/>
        <w:numPr>
          <w:ilvl w:val="0"/>
          <w:numId w:val="4"/>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ab/>
      </w:r>
      <w:r>
        <w:rPr>
          <w:rFonts w:ascii="Arial" w:hAnsi="Arial" w:cs="Arial"/>
          <w:color w:val="262626"/>
          <w:sz w:val="26"/>
          <w:szCs w:val="26"/>
        </w:rPr>
        <w:tab/>
        <w:t>1993-1994</w:t>
      </w:r>
    </w:p>
    <w:p w14:paraId="2B397031" w14:textId="77777777" w:rsidR="0011422E" w:rsidRDefault="0011422E" w:rsidP="0011422E">
      <w:pPr>
        <w:widowControl w:val="0"/>
        <w:autoSpaceDE w:val="0"/>
        <w:autoSpaceDN w:val="0"/>
        <w:adjustRightInd w:val="0"/>
        <w:spacing w:after="360"/>
        <w:rPr>
          <w:rFonts w:ascii="Arial" w:hAnsi="Arial" w:cs="Arial"/>
          <w:color w:val="262626"/>
        </w:rPr>
      </w:pPr>
      <w:r>
        <w:rPr>
          <w:rFonts w:ascii="Arial" w:hAnsi="Arial" w:cs="Arial"/>
          <w:b/>
          <w:bCs/>
          <w:color w:val="262626"/>
        </w:rPr>
        <w:t>Florida Bar</w:t>
      </w:r>
      <w:r>
        <w:rPr>
          <w:rFonts w:ascii="Arial" w:hAnsi="Arial" w:cs="Arial"/>
          <w:color w:val="262626"/>
        </w:rPr>
        <w:t xml:space="preserve"> </w:t>
      </w:r>
      <w:r>
        <w:rPr>
          <w:rFonts w:ascii="Arial" w:hAnsi="Arial" w:cs="Arial"/>
          <w:b/>
          <w:bCs/>
          <w:color w:val="262626"/>
        </w:rPr>
        <w:t>Professional</w:t>
      </w:r>
      <w:r>
        <w:rPr>
          <w:rFonts w:ascii="Arial" w:hAnsi="Arial" w:cs="Arial"/>
          <w:color w:val="262626"/>
        </w:rPr>
        <w:t xml:space="preserve"> </w:t>
      </w:r>
      <w:r>
        <w:rPr>
          <w:rFonts w:ascii="Arial" w:hAnsi="Arial" w:cs="Arial"/>
          <w:b/>
          <w:bCs/>
          <w:color w:val="262626"/>
        </w:rPr>
        <w:t>Ethics Committee</w:t>
      </w:r>
    </w:p>
    <w:p w14:paraId="5591CE88" w14:textId="77777777" w:rsidR="0011422E" w:rsidRDefault="0011422E" w:rsidP="0011422E">
      <w:pPr>
        <w:widowControl w:val="0"/>
        <w:numPr>
          <w:ilvl w:val="0"/>
          <w:numId w:val="5"/>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ab/>
      </w:r>
      <w:r>
        <w:rPr>
          <w:rFonts w:ascii="Arial" w:hAnsi="Arial" w:cs="Arial"/>
          <w:color w:val="262626"/>
          <w:sz w:val="26"/>
          <w:szCs w:val="26"/>
        </w:rPr>
        <w:tab/>
        <w:t>1993-1996 &amp; 2003- 2009</w:t>
      </w:r>
    </w:p>
    <w:p w14:paraId="55AD233A" w14:textId="77777777" w:rsidR="0011422E" w:rsidRDefault="0011422E" w:rsidP="0011422E">
      <w:pPr>
        <w:widowControl w:val="0"/>
        <w:autoSpaceDE w:val="0"/>
        <w:autoSpaceDN w:val="0"/>
        <w:adjustRightInd w:val="0"/>
        <w:spacing w:after="360"/>
        <w:rPr>
          <w:rFonts w:ascii="Arial" w:hAnsi="Arial" w:cs="Arial"/>
          <w:color w:val="262626"/>
        </w:rPr>
      </w:pPr>
      <w:r>
        <w:rPr>
          <w:rFonts w:ascii="Arial" w:hAnsi="Arial" w:cs="Arial"/>
          <w:b/>
          <w:bCs/>
          <w:color w:val="262626"/>
        </w:rPr>
        <w:t>Florida Bar</w:t>
      </w:r>
      <w:r>
        <w:rPr>
          <w:rFonts w:ascii="Arial" w:hAnsi="Arial" w:cs="Arial"/>
          <w:color w:val="262626"/>
        </w:rPr>
        <w:t xml:space="preserve"> </w:t>
      </w:r>
      <w:r>
        <w:rPr>
          <w:rFonts w:ascii="Arial" w:hAnsi="Arial" w:cs="Arial"/>
          <w:b/>
          <w:bCs/>
          <w:color w:val="262626"/>
        </w:rPr>
        <w:t>Ethics 2000 Review Panel</w:t>
      </w:r>
    </w:p>
    <w:p w14:paraId="6E2D5085" w14:textId="77777777" w:rsidR="0011422E" w:rsidRDefault="0011422E" w:rsidP="0011422E">
      <w:pPr>
        <w:widowControl w:val="0"/>
        <w:numPr>
          <w:ilvl w:val="0"/>
          <w:numId w:val="6"/>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ab/>
      </w:r>
      <w:r>
        <w:rPr>
          <w:rFonts w:ascii="Arial" w:hAnsi="Arial" w:cs="Arial"/>
          <w:color w:val="262626"/>
          <w:sz w:val="26"/>
          <w:szCs w:val="26"/>
        </w:rPr>
        <w:tab/>
        <w:t>2001-2002</w:t>
      </w:r>
    </w:p>
    <w:p w14:paraId="5B76E019" w14:textId="77777777" w:rsidR="0011422E" w:rsidRDefault="0011422E" w:rsidP="0011422E">
      <w:pPr>
        <w:widowControl w:val="0"/>
        <w:autoSpaceDE w:val="0"/>
        <w:autoSpaceDN w:val="0"/>
        <w:adjustRightInd w:val="0"/>
        <w:spacing w:after="360"/>
        <w:rPr>
          <w:rFonts w:ascii="Arial" w:hAnsi="Arial" w:cs="Arial"/>
          <w:color w:val="262626"/>
        </w:rPr>
      </w:pPr>
      <w:r>
        <w:rPr>
          <w:rFonts w:ascii="Arial" w:hAnsi="Arial" w:cs="Arial"/>
          <w:b/>
          <w:bCs/>
          <w:color w:val="262626"/>
        </w:rPr>
        <w:t>Expert Witness</w:t>
      </w:r>
      <w:r>
        <w:rPr>
          <w:rFonts w:ascii="Arial" w:hAnsi="Arial" w:cs="Arial"/>
          <w:color w:val="262626"/>
        </w:rPr>
        <w:t xml:space="preserve"> </w:t>
      </w:r>
      <w:r>
        <w:rPr>
          <w:rFonts w:ascii="Arial" w:hAnsi="Arial" w:cs="Arial"/>
          <w:b/>
          <w:bCs/>
          <w:color w:val="262626"/>
        </w:rPr>
        <w:t>for the Florida Bar</w:t>
      </w:r>
    </w:p>
    <w:p w14:paraId="7A7FFA91" w14:textId="77777777" w:rsidR="0011422E" w:rsidRDefault="0011422E" w:rsidP="0011422E">
      <w:pPr>
        <w:widowControl w:val="0"/>
        <w:numPr>
          <w:ilvl w:val="0"/>
          <w:numId w:val="7"/>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ab/>
      </w:r>
      <w:r>
        <w:rPr>
          <w:rFonts w:ascii="Arial" w:hAnsi="Arial" w:cs="Arial"/>
          <w:color w:val="262626"/>
          <w:sz w:val="26"/>
          <w:szCs w:val="26"/>
        </w:rPr>
        <w:tab/>
      </w:r>
      <w:r>
        <w:rPr>
          <w:rFonts w:ascii="Arial" w:hAnsi="Arial" w:cs="Arial"/>
          <w:color w:val="262626"/>
          <w:sz w:val="26"/>
          <w:szCs w:val="26"/>
          <w:u w:val="single"/>
        </w:rPr>
        <w:t xml:space="preserve">The Florida Bar v. Brian </w:t>
      </w:r>
      <w:proofErr w:type="gramStart"/>
      <w:r>
        <w:rPr>
          <w:rFonts w:ascii="Arial" w:hAnsi="Arial" w:cs="Arial"/>
          <w:color w:val="262626"/>
          <w:sz w:val="26"/>
          <w:szCs w:val="26"/>
          <w:u w:val="single"/>
        </w:rPr>
        <w:t>Neiman</w:t>
      </w:r>
      <w:r>
        <w:rPr>
          <w:rFonts w:ascii="Arial" w:hAnsi="Arial" w:cs="Arial"/>
          <w:color w:val="262626"/>
          <w:sz w:val="26"/>
          <w:szCs w:val="26"/>
        </w:rPr>
        <w:t>  2001</w:t>
      </w:r>
      <w:proofErr w:type="gramEnd"/>
      <w:r>
        <w:rPr>
          <w:rFonts w:ascii="Arial" w:hAnsi="Arial" w:cs="Arial"/>
          <w:color w:val="262626"/>
          <w:sz w:val="26"/>
          <w:szCs w:val="26"/>
        </w:rPr>
        <w:t>-2002</w:t>
      </w:r>
    </w:p>
    <w:p w14:paraId="1ABC8490" w14:textId="77777777" w:rsidR="0011422E" w:rsidRDefault="0011422E" w:rsidP="0011422E">
      <w:pPr>
        <w:widowControl w:val="0"/>
        <w:numPr>
          <w:ilvl w:val="0"/>
          <w:numId w:val="7"/>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ab/>
      </w:r>
      <w:r>
        <w:rPr>
          <w:rFonts w:ascii="Arial" w:hAnsi="Arial" w:cs="Arial"/>
          <w:color w:val="262626"/>
          <w:sz w:val="26"/>
          <w:szCs w:val="26"/>
        </w:rPr>
        <w:tab/>
      </w:r>
      <w:r>
        <w:rPr>
          <w:rFonts w:ascii="Arial" w:hAnsi="Arial" w:cs="Arial"/>
          <w:color w:val="262626"/>
          <w:sz w:val="26"/>
          <w:szCs w:val="26"/>
          <w:u w:val="single"/>
        </w:rPr>
        <w:t>The Florida Bar v. Daryl Brown</w:t>
      </w:r>
      <w:r>
        <w:rPr>
          <w:rFonts w:ascii="Arial" w:hAnsi="Arial" w:cs="Arial"/>
          <w:color w:val="262626"/>
          <w:sz w:val="26"/>
          <w:szCs w:val="26"/>
        </w:rPr>
        <w:t>     2003</w:t>
      </w:r>
    </w:p>
    <w:p w14:paraId="4D3653C4" w14:textId="77777777" w:rsidR="0011422E" w:rsidRDefault="0011422E" w:rsidP="0011422E">
      <w:pPr>
        <w:widowControl w:val="0"/>
        <w:autoSpaceDE w:val="0"/>
        <w:autoSpaceDN w:val="0"/>
        <w:adjustRightInd w:val="0"/>
        <w:spacing w:after="360"/>
        <w:rPr>
          <w:rFonts w:ascii="Arial" w:hAnsi="Arial" w:cs="Arial"/>
          <w:color w:val="262626"/>
        </w:rPr>
      </w:pPr>
      <w:r>
        <w:rPr>
          <w:rFonts w:ascii="Arial" w:hAnsi="Arial" w:cs="Arial"/>
          <w:b/>
          <w:bCs/>
          <w:color w:val="262626"/>
        </w:rPr>
        <w:t>Special Committee to Review the ABA Model Rules 2002</w:t>
      </w:r>
    </w:p>
    <w:p w14:paraId="38385CAC" w14:textId="77777777" w:rsidR="0011422E" w:rsidRDefault="0011422E" w:rsidP="0011422E">
      <w:pPr>
        <w:widowControl w:val="0"/>
        <w:numPr>
          <w:ilvl w:val="0"/>
          <w:numId w:val="8"/>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ab/>
      </w:r>
      <w:r>
        <w:rPr>
          <w:rFonts w:ascii="Arial" w:hAnsi="Arial" w:cs="Arial"/>
          <w:color w:val="262626"/>
          <w:sz w:val="26"/>
          <w:szCs w:val="26"/>
        </w:rPr>
        <w:tab/>
        <w:t>2002- 2005</w:t>
      </w:r>
    </w:p>
    <w:p w14:paraId="6547FD7C" w14:textId="77777777" w:rsidR="0011422E" w:rsidRDefault="0011422E" w:rsidP="0011422E">
      <w:pPr>
        <w:widowControl w:val="0"/>
        <w:autoSpaceDE w:val="0"/>
        <w:autoSpaceDN w:val="0"/>
        <w:adjustRightInd w:val="0"/>
        <w:spacing w:after="360"/>
        <w:rPr>
          <w:rFonts w:ascii="Arial" w:hAnsi="Arial" w:cs="Arial"/>
          <w:color w:val="262626"/>
        </w:rPr>
      </w:pPr>
      <w:r>
        <w:rPr>
          <w:rFonts w:ascii="Arial" w:hAnsi="Arial" w:cs="Arial"/>
          <w:b/>
          <w:bCs/>
          <w:color w:val="262626"/>
        </w:rPr>
        <w:t>Criminal Procedure Rules Committee</w:t>
      </w:r>
    </w:p>
    <w:p w14:paraId="15D4776F" w14:textId="77777777" w:rsidR="0011422E" w:rsidRDefault="0011422E" w:rsidP="0011422E">
      <w:pPr>
        <w:widowControl w:val="0"/>
        <w:numPr>
          <w:ilvl w:val="0"/>
          <w:numId w:val="9"/>
        </w:numPr>
        <w:tabs>
          <w:tab w:val="left" w:pos="220"/>
          <w:tab w:val="left" w:pos="720"/>
        </w:tabs>
        <w:autoSpaceDE w:val="0"/>
        <w:autoSpaceDN w:val="0"/>
        <w:adjustRightInd w:val="0"/>
        <w:ind w:hanging="720"/>
        <w:rPr>
          <w:rFonts w:ascii="Arial" w:hAnsi="Arial" w:cs="Arial"/>
          <w:color w:val="262626"/>
          <w:sz w:val="26"/>
          <w:szCs w:val="26"/>
        </w:rPr>
      </w:pPr>
      <w:r>
        <w:rPr>
          <w:rFonts w:ascii="Arial" w:hAnsi="Arial" w:cs="Arial"/>
          <w:color w:val="262626"/>
          <w:sz w:val="26"/>
          <w:szCs w:val="26"/>
        </w:rPr>
        <w:tab/>
      </w:r>
      <w:r>
        <w:rPr>
          <w:rFonts w:ascii="Arial" w:hAnsi="Arial" w:cs="Arial"/>
          <w:color w:val="262626"/>
          <w:sz w:val="26"/>
          <w:szCs w:val="26"/>
        </w:rPr>
        <w:tab/>
        <w:t>2008- 2014 – Vice Chairman 2012-2014</w:t>
      </w:r>
    </w:p>
    <w:p w14:paraId="12F69AB2" w14:textId="77777777" w:rsidR="0011422E" w:rsidRDefault="0011422E" w:rsidP="0011422E">
      <w:pPr>
        <w:widowControl w:val="0"/>
        <w:autoSpaceDE w:val="0"/>
        <w:autoSpaceDN w:val="0"/>
        <w:adjustRightInd w:val="0"/>
        <w:spacing w:after="360"/>
        <w:rPr>
          <w:rFonts w:ascii="Arial" w:hAnsi="Arial" w:cs="Arial"/>
          <w:color w:val="262626"/>
        </w:rPr>
      </w:pPr>
      <w:r>
        <w:rPr>
          <w:rFonts w:ascii="Arial" w:hAnsi="Arial" w:cs="Arial"/>
          <w:color w:val="262626"/>
        </w:rPr>
        <w:t xml:space="preserve">In addition to consulting and testifying on ethics issues, Professor </w:t>
      </w:r>
      <w:proofErr w:type="spellStart"/>
      <w:r>
        <w:rPr>
          <w:rFonts w:ascii="Arial" w:hAnsi="Arial" w:cs="Arial"/>
          <w:color w:val="262626"/>
        </w:rPr>
        <w:t>Braccialarghe</w:t>
      </w:r>
      <w:proofErr w:type="spellEnd"/>
      <w:r>
        <w:rPr>
          <w:rFonts w:ascii="Arial" w:hAnsi="Arial" w:cs="Arial"/>
          <w:color w:val="262626"/>
        </w:rPr>
        <w:t xml:space="preserve"> represents applicants before the Florida Board of Bar Examiners and lawyers in Florida Bar discipline matters</w:t>
      </w:r>
      <w:proofErr w:type="gramStart"/>
      <w:r>
        <w:rPr>
          <w:rFonts w:ascii="Arial" w:hAnsi="Arial" w:cs="Arial"/>
          <w:color w:val="262626"/>
        </w:rPr>
        <w:t>. </w:t>
      </w:r>
      <w:proofErr w:type="gramEnd"/>
      <w:r>
        <w:rPr>
          <w:rFonts w:ascii="Arial" w:hAnsi="Arial" w:cs="Arial"/>
          <w:color w:val="262626"/>
        </w:rPr>
        <w:t> </w:t>
      </w:r>
    </w:p>
    <w:p w14:paraId="19994913" w14:textId="77777777" w:rsidR="0011422E" w:rsidRDefault="0011422E" w:rsidP="0011422E">
      <w:pPr>
        <w:rPr>
          <w:rFonts w:ascii="Arial" w:hAnsi="Arial" w:cs="Arial"/>
          <w:color w:val="262626"/>
        </w:rPr>
      </w:pPr>
      <w:r>
        <w:rPr>
          <w:rFonts w:ascii="Arial" w:hAnsi="Arial" w:cs="Arial"/>
          <w:color w:val="262626"/>
        </w:rPr>
        <w:t xml:space="preserve">Raised in Recife, Brazil, Decatur, Illinois, and Córdoba, Argentina, Professor </w:t>
      </w:r>
      <w:proofErr w:type="spellStart"/>
      <w:r>
        <w:rPr>
          <w:rFonts w:ascii="Arial" w:hAnsi="Arial" w:cs="Arial"/>
          <w:color w:val="262626"/>
        </w:rPr>
        <w:t>Braccialarghe</w:t>
      </w:r>
      <w:proofErr w:type="spellEnd"/>
      <w:r>
        <w:rPr>
          <w:rFonts w:ascii="Arial" w:hAnsi="Arial" w:cs="Arial"/>
          <w:color w:val="262626"/>
        </w:rPr>
        <w:t xml:space="preserve"> has also lived in Ann Arbor, Michigan, Boston, Massachusetts, and Rome, Italy.</w:t>
      </w:r>
    </w:p>
    <w:p w14:paraId="28953066" w14:textId="77777777" w:rsidR="0011422E" w:rsidRDefault="0011422E">
      <w:pPr>
        <w:rPr>
          <w:rFonts w:ascii="Arial" w:hAnsi="Arial" w:cs="Arial"/>
          <w:color w:val="262626"/>
        </w:rPr>
      </w:pPr>
      <w:r>
        <w:rPr>
          <w:rFonts w:ascii="Arial" w:hAnsi="Arial" w:cs="Arial"/>
          <w:color w:val="262626"/>
        </w:rPr>
        <w:br w:type="page"/>
      </w:r>
    </w:p>
    <w:p w14:paraId="7E6E925E" w14:textId="77777777" w:rsidR="0011422E" w:rsidRDefault="0011422E" w:rsidP="0011422E">
      <w:pPr>
        <w:widowControl w:val="0"/>
        <w:autoSpaceDE w:val="0"/>
        <w:autoSpaceDN w:val="0"/>
        <w:adjustRightInd w:val="0"/>
        <w:spacing w:after="400"/>
        <w:jc w:val="center"/>
        <w:rPr>
          <w:rFonts w:ascii="Arial" w:hAnsi="Arial" w:cs="Arial"/>
          <w:sz w:val="40"/>
          <w:szCs w:val="40"/>
        </w:rPr>
      </w:pPr>
      <w:r>
        <w:rPr>
          <w:rFonts w:ascii="Arial" w:hAnsi="Arial" w:cs="Arial"/>
          <w:sz w:val="40"/>
          <w:szCs w:val="40"/>
        </w:rPr>
        <w:t>Louis T.M. "Lou" Conti</w:t>
      </w:r>
    </w:p>
    <w:p w14:paraId="72F20DC4" w14:textId="77777777" w:rsidR="0011422E" w:rsidRDefault="0011422E" w:rsidP="0011422E">
      <w:pPr>
        <w:widowControl w:val="0"/>
        <w:autoSpaceDE w:val="0"/>
        <w:autoSpaceDN w:val="0"/>
        <w:adjustRightInd w:val="0"/>
        <w:jc w:val="center"/>
        <w:rPr>
          <w:rFonts w:ascii="Arial" w:hAnsi="Arial" w:cs="Arial"/>
          <w:color w:val="131313"/>
        </w:rPr>
      </w:pPr>
      <w:r>
        <w:rPr>
          <w:rFonts w:ascii="Arial" w:hAnsi="Arial" w:cs="Arial"/>
          <w:color w:val="131313"/>
        </w:rPr>
        <w:t>Partner</w:t>
      </w:r>
    </w:p>
    <w:p w14:paraId="4B070E84" w14:textId="77777777" w:rsidR="0011422E" w:rsidRDefault="0011422E" w:rsidP="0011422E">
      <w:pPr>
        <w:widowControl w:val="0"/>
        <w:autoSpaceDE w:val="0"/>
        <w:autoSpaceDN w:val="0"/>
        <w:adjustRightInd w:val="0"/>
        <w:jc w:val="center"/>
        <w:rPr>
          <w:rFonts w:ascii="Arial" w:hAnsi="Arial" w:cs="Arial"/>
          <w:color w:val="131313"/>
        </w:rPr>
      </w:pPr>
      <w:r>
        <w:rPr>
          <w:rFonts w:ascii="Arial" w:hAnsi="Arial" w:cs="Arial"/>
          <w:color w:val="131313"/>
        </w:rPr>
        <w:t>Tampa</w:t>
      </w:r>
    </w:p>
    <w:p w14:paraId="68C4B099" w14:textId="77777777" w:rsidR="0011422E" w:rsidRDefault="0011422E" w:rsidP="0011422E">
      <w:pPr>
        <w:widowControl w:val="0"/>
        <w:numPr>
          <w:ilvl w:val="0"/>
          <w:numId w:val="1"/>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T 813.227.6343</w:t>
      </w:r>
    </w:p>
    <w:p w14:paraId="5CB7C4D5" w14:textId="77777777" w:rsidR="0011422E" w:rsidRDefault="0011422E" w:rsidP="0011422E">
      <w:pPr>
        <w:widowControl w:val="0"/>
        <w:numPr>
          <w:ilvl w:val="0"/>
          <w:numId w:val="1"/>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w:t>
      </w:r>
    </w:p>
    <w:p w14:paraId="110704C3" w14:textId="77777777" w:rsidR="0011422E" w:rsidRDefault="0011422E" w:rsidP="0011422E">
      <w:pPr>
        <w:widowControl w:val="0"/>
        <w:numPr>
          <w:ilvl w:val="0"/>
          <w:numId w:val="1"/>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F 407.244.5288</w:t>
      </w:r>
    </w:p>
    <w:p w14:paraId="554E5719" w14:textId="77777777" w:rsidR="0011422E" w:rsidRDefault="00853123" w:rsidP="0011422E">
      <w:pPr>
        <w:widowControl w:val="0"/>
        <w:autoSpaceDE w:val="0"/>
        <w:autoSpaceDN w:val="0"/>
        <w:adjustRightInd w:val="0"/>
        <w:jc w:val="center"/>
        <w:rPr>
          <w:rFonts w:ascii="Arial" w:hAnsi="Arial" w:cs="Arial"/>
          <w:color w:val="131313"/>
        </w:rPr>
      </w:pPr>
      <w:hyperlink r:id="rId7" w:history="1">
        <w:r w:rsidR="0011422E">
          <w:rPr>
            <w:rFonts w:ascii="Arial" w:hAnsi="Arial" w:cs="Arial"/>
            <w:color w:val="1082BD"/>
          </w:rPr>
          <w:t>louis.conti@hklaw.com</w:t>
        </w:r>
      </w:hyperlink>
    </w:p>
    <w:p w14:paraId="39704501" w14:textId="77777777" w:rsidR="0011422E" w:rsidRDefault="0011422E" w:rsidP="0011422E">
      <w:pPr>
        <w:widowControl w:val="0"/>
        <w:autoSpaceDE w:val="0"/>
        <w:autoSpaceDN w:val="0"/>
        <w:adjustRightInd w:val="0"/>
        <w:jc w:val="center"/>
        <w:rPr>
          <w:rFonts w:ascii="Arial" w:hAnsi="Arial" w:cs="Arial"/>
          <w:color w:val="131313"/>
        </w:rPr>
      </w:pPr>
      <w:r>
        <w:rPr>
          <w:rFonts w:ascii="Arial" w:hAnsi="Arial" w:cs="Arial"/>
          <w:color w:val="131313"/>
        </w:rPr>
        <w:t>Orlando</w:t>
      </w:r>
    </w:p>
    <w:p w14:paraId="231418EC" w14:textId="77777777" w:rsidR="0011422E" w:rsidRDefault="0011422E" w:rsidP="0011422E">
      <w:pPr>
        <w:widowControl w:val="0"/>
        <w:numPr>
          <w:ilvl w:val="0"/>
          <w:numId w:val="2"/>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T 407.244.5118</w:t>
      </w:r>
    </w:p>
    <w:p w14:paraId="550CDC3E" w14:textId="77777777" w:rsidR="0011422E" w:rsidRDefault="0011422E" w:rsidP="0011422E">
      <w:pPr>
        <w:widowControl w:val="0"/>
        <w:numPr>
          <w:ilvl w:val="0"/>
          <w:numId w:val="3"/>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082BD"/>
        </w:rPr>
        <w:tab/>
      </w:r>
      <w:r>
        <w:rPr>
          <w:rFonts w:ascii="Arial" w:hAnsi="Arial" w:cs="Arial"/>
          <w:color w:val="1082BD"/>
        </w:rPr>
        <w:tab/>
      </w:r>
      <w:hyperlink r:id="rId8" w:history="1">
        <w:r>
          <w:rPr>
            <w:rFonts w:ascii="Arial" w:hAnsi="Arial" w:cs="Arial"/>
            <w:noProof/>
            <w:color w:val="1082BD"/>
          </w:rPr>
          <w:drawing>
            <wp:inline distT="0" distB="0" distL="0" distR="0" wp14:anchorId="45BDE208" wp14:editId="209515E3">
              <wp:extent cx="317500" cy="2032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0" cy="203200"/>
                      </a:xfrm>
                      <a:prstGeom prst="rect">
                        <a:avLst/>
                      </a:prstGeom>
                      <a:noFill/>
                      <a:ln>
                        <a:noFill/>
                      </a:ln>
                    </pic:spPr>
                  </pic:pic>
                </a:graphicData>
              </a:graphic>
            </wp:inline>
          </w:drawing>
        </w:r>
        <w:r>
          <w:rPr>
            <w:rFonts w:ascii="Arial" w:hAnsi="Arial" w:cs="Arial"/>
            <w:color w:val="1082BD"/>
          </w:rPr>
          <w:t xml:space="preserve"> Download My vCard</w:t>
        </w:r>
      </w:hyperlink>
    </w:p>
    <w:p w14:paraId="696A0D70" w14:textId="77777777" w:rsidR="0011422E" w:rsidRDefault="0011422E" w:rsidP="0011422E">
      <w:pPr>
        <w:widowControl w:val="0"/>
        <w:numPr>
          <w:ilvl w:val="0"/>
          <w:numId w:val="4"/>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Profile</w:t>
      </w:r>
    </w:p>
    <w:p w14:paraId="24927681" w14:textId="77777777" w:rsidR="0011422E" w:rsidRDefault="0011422E" w:rsidP="0011422E">
      <w:pPr>
        <w:widowControl w:val="0"/>
        <w:numPr>
          <w:ilvl w:val="0"/>
          <w:numId w:val="4"/>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w:t>
      </w:r>
    </w:p>
    <w:p w14:paraId="21D8ED29" w14:textId="77777777" w:rsidR="0011422E" w:rsidRDefault="0011422E" w:rsidP="0011422E">
      <w:pPr>
        <w:widowControl w:val="0"/>
        <w:numPr>
          <w:ilvl w:val="0"/>
          <w:numId w:val="4"/>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082BD"/>
        </w:rPr>
        <w:tab/>
      </w:r>
      <w:r>
        <w:rPr>
          <w:rFonts w:ascii="Arial" w:hAnsi="Arial" w:cs="Arial"/>
          <w:color w:val="1082BD"/>
        </w:rPr>
        <w:tab/>
      </w:r>
      <w:hyperlink r:id="rId10" w:history="1">
        <w:r>
          <w:rPr>
            <w:rFonts w:ascii="Arial" w:hAnsi="Arial" w:cs="Arial"/>
            <w:color w:val="1082BD"/>
          </w:rPr>
          <w:t>Publications</w:t>
        </w:r>
      </w:hyperlink>
    </w:p>
    <w:p w14:paraId="1A0EFD83" w14:textId="77777777" w:rsidR="0011422E" w:rsidRDefault="0011422E" w:rsidP="0011422E">
      <w:pPr>
        <w:widowControl w:val="0"/>
        <w:numPr>
          <w:ilvl w:val="0"/>
          <w:numId w:val="4"/>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w:t>
      </w:r>
    </w:p>
    <w:p w14:paraId="4C20463B" w14:textId="77777777" w:rsidR="0011422E" w:rsidRDefault="0011422E" w:rsidP="0011422E">
      <w:pPr>
        <w:widowControl w:val="0"/>
        <w:numPr>
          <w:ilvl w:val="0"/>
          <w:numId w:val="4"/>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082BD"/>
        </w:rPr>
        <w:tab/>
      </w:r>
      <w:r>
        <w:rPr>
          <w:rFonts w:ascii="Arial" w:hAnsi="Arial" w:cs="Arial"/>
          <w:color w:val="1082BD"/>
        </w:rPr>
        <w:tab/>
      </w:r>
      <w:hyperlink r:id="rId11" w:history="1">
        <w:r>
          <w:rPr>
            <w:rFonts w:ascii="Arial" w:hAnsi="Arial" w:cs="Arial"/>
            <w:color w:val="1082BD"/>
          </w:rPr>
          <w:t>Speaking Engagements</w:t>
        </w:r>
      </w:hyperlink>
    </w:p>
    <w:p w14:paraId="0D3335C1" w14:textId="77777777" w:rsidR="0011422E" w:rsidRDefault="0011422E" w:rsidP="0011422E">
      <w:pPr>
        <w:widowControl w:val="0"/>
        <w:autoSpaceDE w:val="0"/>
        <w:autoSpaceDN w:val="0"/>
        <w:adjustRightInd w:val="0"/>
        <w:spacing w:after="300"/>
        <w:jc w:val="center"/>
        <w:rPr>
          <w:rFonts w:ascii="Arial" w:hAnsi="Arial" w:cs="Arial"/>
          <w:color w:val="131313"/>
        </w:rPr>
      </w:pPr>
      <w:r>
        <w:rPr>
          <w:rFonts w:ascii="Arial" w:hAnsi="Arial" w:cs="Arial"/>
          <w:b/>
          <w:bCs/>
          <w:color w:val="131313"/>
        </w:rPr>
        <w:t>Louis T. M. Conti</w:t>
      </w:r>
      <w:r>
        <w:rPr>
          <w:rFonts w:ascii="Arial" w:hAnsi="Arial" w:cs="Arial"/>
          <w:color w:val="131313"/>
        </w:rPr>
        <w:t xml:space="preserve"> is a partner in the Tampa office of Holland &amp; Knight. Mr. Conti's practice includes serving as outside counsel to businesses of all sizes, mergers and acquisitions, cash flow and asset-based financings, leveraged buy-outs, mezzanine and subordinated debt transactions, public and private equity placements, venture capital and private equity investments, company governance advice, and sophisticated and complex cross-border transactions and joint ventures and strategic alliances. He has served as a special master and arbitrator in LLC disputes, and as an expert witness in connection with Florida corporate and LLC law in cases around the state.</w:t>
      </w:r>
    </w:p>
    <w:p w14:paraId="00A1EB4F" w14:textId="77777777" w:rsidR="0011422E" w:rsidRDefault="0011422E" w:rsidP="0011422E">
      <w:pPr>
        <w:widowControl w:val="0"/>
        <w:autoSpaceDE w:val="0"/>
        <w:autoSpaceDN w:val="0"/>
        <w:adjustRightInd w:val="0"/>
        <w:spacing w:after="300"/>
        <w:jc w:val="center"/>
        <w:rPr>
          <w:rFonts w:ascii="Arial" w:hAnsi="Arial" w:cs="Arial"/>
          <w:color w:val="131313"/>
        </w:rPr>
      </w:pPr>
      <w:r>
        <w:rPr>
          <w:rFonts w:ascii="Arial" w:hAnsi="Arial" w:cs="Arial"/>
          <w:color w:val="131313"/>
        </w:rPr>
        <w:t>Mr. Conti is a Uniform Law Commissioner representing the state of Florida at the Uniform Law Commission, first appointed by the governor in 2011. Mr. Conti served as the Chair of The Florida Bar LLC Act Drafting Committee (2008-2013</w:t>
      </w:r>
      <w:proofErr w:type="gramStart"/>
      <w:r>
        <w:rPr>
          <w:rFonts w:ascii="Arial" w:hAnsi="Arial" w:cs="Arial"/>
          <w:color w:val="131313"/>
        </w:rPr>
        <w:t>) which</w:t>
      </w:r>
      <w:proofErr w:type="gramEnd"/>
      <w:r>
        <w:rPr>
          <w:rFonts w:ascii="Arial" w:hAnsi="Arial" w:cs="Arial"/>
          <w:color w:val="131313"/>
        </w:rPr>
        <w:t xml:space="preserve"> drafted the Florida Revised LLC Act which was signed into law on June 14, 2013. Mr. Conti served as the principal author for the 2000 Florida Limited Liability Limited Partnership Act, and as Chair of the Florida Revised Uniform Partnership Act Drafting Committee.</w:t>
      </w:r>
    </w:p>
    <w:p w14:paraId="5ECCE008" w14:textId="77777777" w:rsidR="0011422E" w:rsidRDefault="0011422E" w:rsidP="0011422E">
      <w:pPr>
        <w:widowControl w:val="0"/>
        <w:autoSpaceDE w:val="0"/>
        <w:autoSpaceDN w:val="0"/>
        <w:adjustRightInd w:val="0"/>
        <w:spacing w:after="300"/>
        <w:jc w:val="center"/>
        <w:rPr>
          <w:rFonts w:ascii="Arial" w:hAnsi="Arial" w:cs="Arial"/>
          <w:color w:val="131313"/>
        </w:rPr>
      </w:pPr>
      <w:r>
        <w:rPr>
          <w:rFonts w:ascii="Arial" w:hAnsi="Arial" w:cs="Arial"/>
          <w:color w:val="131313"/>
        </w:rPr>
        <w:t>Mr. Conti is also an adjunct law professor at the University of Florida, Levin College of Law (2006-present) and was an instructor at the Advanced Judicial College for Florida Circuit Court Judges (2012).</w:t>
      </w:r>
    </w:p>
    <w:p w14:paraId="74BB84CC" w14:textId="77777777" w:rsidR="0011422E" w:rsidRDefault="0011422E" w:rsidP="0011422E">
      <w:pPr>
        <w:widowControl w:val="0"/>
        <w:autoSpaceDE w:val="0"/>
        <w:autoSpaceDN w:val="0"/>
        <w:adjustRightInd w:val="0"/>
        <w:spacing w:after="300"/>
        <w:jc w:val="center"/>
        <w:rPr>
          <w:rFonts w:ascii="Arial" w:hAnsi="Arial" w:cs="Arial"/>
          <w:color w:val="131313"/>
        </w:rPr>
      </w:pPr>
      <w:r>
        <w:rPr>
          <w:rFonts w:ascii="Arial" w:hAnsi="Arial" w:cs="Arial"/>
          <w:color w:val="131313"/>
        </w:rPr>
        <w:t>Mr. Conti has been a speaker at the Florida Annual Federal Securities Institute for the past 13 consecutive years speaking on mergers and acquisitions developments (2000-2013), and has been a speaker at ABA and/or Florida Bar CLE programs every year for the past 18 years (1995-2013).</w:t>
      </w:r>
    </w:p>
    <w:p w14:paraId="58E26F02" w14:textId="77777777" w:rsidR="0011422E" w:rsidRDefault="0011422E" w:rsidP="0011422E">
      <w:pPr>
        <w:widowControl w:val="0"/>
        <w:autoSpaceDE w:val="0"/>
        <w:autoSpaceDN w:val="0"/>
        <w:adjustRightInd w:val="0"/>
        <w:spacing w:after="240"/>
        <w:jc w:val="center"/>
        <w:rPr>
          <w:rFonts w:ascii="Arial" w:hAnsi="Arial" w:cs="Arial"/>
          <w:b/>
          <w:bCs/>
          <w:color w:val="021963"/>
          <w:sz w:val="26"/>
          <w:szCs w:val="26"/>
        </w:rPr>
      </w:pPr>
    </w:p>
    <w:p w14:paraId="01C984F5" w14:textId="77777777" w:rsidR="0011422E" w:rsidRDefault="0011422E" w:rsidP="0011422E">
      <w:pPr>
        <w:widowControl w:val="0"/>
        <w:autoSpaceDE w:val="0"/>
        <w:autoSpaceDN w:val="0"/>
        <w:adjustRightInd w:val="0"/>
        <w:spacing w:after="240"/>
        <w:jc w:val="center"/>
        <w:rPr>
          <w:rFonts w:ascii="Arial" w:hAnsi="Arial" w:cs="Arial"/>
          <w:b/>
          <w:bCs/>
          <w:color w:val="021963"/>
          <w:sz w:val="26"/>
          <w:szCs w:val="26"/>
        </w:rPr>
      </w:pPr>
      <w:r>
        <w:rPr>
          <w:rFonts w:ascii="Arial" w:hAnsi="Arial" w:cs="Arial"/>
          <w:b/>
          <w:bCs/>
          <w:color w:val="021963"/>
          <w:sz w:val="26"/>
          <w:szCs w:val="26"/>
        </w:rPr>
        <w:t>Honors &amp; Awards</w:t>
      </w:r>
    </w:p>
    <w:p w14:paraId="2AFE6DB1" w14:textId="77777777" w:rsidR="0011422E" w:rsidRDefault="0011422E" w:rsidP="0011422E">
      <w:pPr>
        <w:widowControl w:val="0"/>
        <w:numPr>
          <w:ilvl w:val="0"/>
          <w:numId w:val="5"/>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i/>
          <w:iCs/>
          <w:color w:val="131313"/>
        </w:rPr>
        <w:tab/>
      </w:r>
      <w:r>
        <w:rPr>
          <w:rFonts w:ascii="Arial" w:hAnsi="Arial" w:cs="Arial"/>
          <w:i/>
          <w:iCs/>
          <w:color w:val="131313"/>
        </w:rPr>
        <w:tab/>
        <w:t>The Best Lawyers in America</w:t>
      </w:r>
      <w:r>
        <w:rPr>
          <w:rFonts w:ascii="Arial" w:hAnsi="Arial" w:cs="Arial"/>
          <w:color w:val="131313"/>
        </w:rPr>
        <w:t xml:space="preserve"> guide, Corporate Law; Tax Law, 1995-2014</w:t>
      </w:r>
    </w:p>
    <w:p w14:paraId="7DC2EC1A" w14:textId="77777777" w:rsidR="0011422E" w:rsidRDefault="0011422E" w:rsidP="0011422E">
      <w:pPr>
        <w:widowControl w:val="0"/>
        <w:numPr>
          <w:ilvl w:val="0"/>
          <w:numId w:val="5"/>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Outstanding Member of the Year Award, The Florida Bar Business Law Section, 2013</w:t>
      </w:r>
    </w:p>
    <w:p w14:paraId="39E89942" w14:textId="77777777" w:rsidR="0011422E" w:rsidRDefault="0011422E" w:rsidP="0011422E">
      <w:pPr>
        <w:widowControl w:val="0"/>
        <w:numPr>
          <w:ilvl w:val="0"/>
          <w:numId w:val="5"/>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Gerald T. Hart Outstanding Tax Attorney of the Year, The Florida Bar Tax Section, 2011-2012</w:t>
      </w:r>
    </w:p>
    <w:p w14:paraId="2B4C3D8A" w14:textId="77777777" w:rsidR="0011422E" w:rsidRDefault="0011422E" w:rsidP="0011422E">
      <w:pPr>
        <w:widowControl w:val="0"/>
        <w:numPr>
          <w:ilvl w:val="0"/>
          <w:numId w:val="5"/>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Who's Who In America</w:t>
      </w:r>
    </w:p>
    <w:p w14:paraId="26E19254" w14:textId="77777777" w:rsidR="0011422E" w:rsidRDefault="0011422E" w:rsidP="0011422E">
      <w:pPr>
        <w:widowControl w:val="0"/>
        <w:numPr>
          <w:ilvl w:val="0"/>
          <w:numId w:val="5"/>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Who's Who in American Law</w:t>
      </w:r>
    </w:p>
    <w:p w14:paraId="36B76706" w14:textId="77777777" w:rsidR="0011422E" w:rsidRDefault="0011422E" w:rsidP="0011422E">
      <w:pPr>
        <w:widowControl w:val="0"/>
        <w:numPr>
          <w:ilvl w:val="0"/>
          <w:numId w:val="5"/>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Who's Who in Business and Finance</w:t>
      </w:r>
    </w:p>
    <w:p w14:paraId="34F82819" w14:textId="77777777" w:rsidR="0011422E" w:rsidRDefault="0011422E" w:rsidP="0011422E">
      <w:pPr>
        <w:widowControl w:val="0"/>
        <w:numPr>
          <w:ilvl w:val="0"/>
          <w:numId w:val="5"/>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 xml:space="preserve">Florida Legal Elite, </w:t>
      </w:r>
      <w:r>
        <w:rPr>
          <w:rFonts w:ascii="Arial" w:hAnsi="Arial" w:cs="Arial"/>
          <w:i/>
          <w:iCs/>
          <w:color w:val="131313"/>
        </w:rPr>
        <w:t>Florida Trend</w:t>
      </w:r>
      <w:r>
        <w:rPr>
          <w:rFonts w:ascii="Arial" w:hAnsi="Arial" w:cs="Arial"/>
          <w:color w:val="131313"/>
        </w:rPr>
        <w:t xml:space="preserve"> magazine, 2005-2010</w:t>
      </w:r>
    </w:p>
    <w:p w14:paraId="2F271589" w14:textId="77777777" w:rsidR="0011422E" w:rsidRDefault="0011422E" w:rsidP="0011422E">
      <w:pPr>
        <w:widowControl w:val="0"/>
        <w:numPr>
          <w:ilvl w:val="0"/>
          <w:numId w:val="5"/>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 xml:space="preserve">Florida </w:t>
      </w:r>
      <w:r>
        <w:rPr>
          <w:rFonts w:ascii="Arial" w:hAnsi="Arial" w:cs="Arial"/>
          <w:i/>
          <w:iCs/>
          <w:color w:val="131313"/>
        </w:rPr>
        <w:t>Super Lawyers</w:t>
      </w:r>
      <w:r>
        <w:rPr>
          <w:rFonts w:ascii="Arial" w:hAnsi="Arial" w:cs="Arial"/>
          <w:color w:val="131313"/>
        </w:rPr>
        <w:t xml:space="preserve"> magazine, 2006-2009, 2012, 2013</w:t>
      </w:r>
    </w:p>
    <w:p w14:paraId="0971E311" w14:textId="77777777" w:rsidR="0011422E" w:rsidRDefault="0011422E" w:rsidP="0011422E">
      <w:pPr>
        <w:widowControl w:val="0"/>
        <w:numPr>
          <w:ilvl w:val="0"/>
          <w:numId w:val="5"/>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Corporate Counsel Top Lawyers</w:t>
      </w:r>
    </w:p>
    <w:p w14:paraId="7120C2CA" w14:textId="77777777" w:rsidR="0011422E" w:rsidRDefault="0011422E" w:rsidP="0011422E">
      <w:pPr>
        <w:widowControl w:val="0"/>
        <w:numPr>
          <w:ilvl w:val="0"/>
          <w:numId w:val="5"/>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Martindale-Hubbell AV Preeminent Peer Review Rated</w:t>
      </w:r>
    </w:p>
    <w:p w14:paraId="10DDA164" w14:textId="77777777" w:rsidR="0011422E" w:rsidRDefault="0011422E" w:rsidP="0011422E">
      <w:pPr>
        <w:widowControl w:val="0"/>
        <w:autoSpaceDE w:val="0"/>
        <w:autoSpaceDN w:val="0"/>
        <w:adjustRightInd w:val="0"/>
        <w:spacing w:after="240"/>
        <w:jc w:val="center"/>
        <w:rPr>
          <w:rFonts w:ascii="Arial" w:hAnsi="Arial" w:cs="Arial"/>
          <w:b/>
          <w:bCs/>
          <w:color w:val="021963"/>
          <w:sz w:val="26"/>
          <w:szCs w:val="26"/>
        </w:rPr>
      </w:pPr>
      <w:r>
        <w:rPr>
          <w:rFonts w:ascii="Arial" w:hAnsi="Arial" w:cs="Arial"/>
          <w:b/>
          <w:bCs/>
          <w:color w:val="021963"/>
          <w:sz w:val="26"/>
          <w:szCs w:val="26"/>
        </w:rPr>
        <w:t>Memberships</w:t>
      </w:r>
    </w:p>
    <w:p w14:paraId="21854349" w14:textId="77777777" w:rsidR="0011422E" w:rsidRDefault="0011422E" w:rsidP="0011422E">
      <w:pPr>
        <w:widowControl w:val="0"/>
        <w:numPr>
          <w:ilvl w:val="0"/>
          <w:numId w:val="6"/>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National Conference of Commissioners on Uniform State Laws, Appointed by Governor Rick Scott, 2011-2015</w:t>
      </w:r>
    </w:p>
    <w:p w14:paraId="107305B7" w14:textId="77777777" w:rsidR="0011422E" w:rsidRDefault="0011422E" w:rsidP="0011422E">
      <w:pPr>
        <w:widowControl w:val="0"/>
        <w:numPr>
          <w:ilvl w:val="0"/>
          <w:numId w:val="6"/>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The Florida Bar Drafting Committees to revise the Florida Business Corporation Act, 1998-1999, 2005-2006, and 2012-present</w:t>
      </w:r>
    </w:p>
    <w:p w14:paraId="27AEE7D1" w14:textId="77777777" w:rsidR="0011422E" w:rsidRDefault="0011422E" w:rsidP="0011422E">
      <w:pPr>
        <w:widowControl w:val="0"/>
        <w:numPr>
          <w:ilvl w:val="0"/>
          <w:numId w:val="6"/>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The Florida Bar Drafting Committee for the Florida Revised Limited Liability Company Act of 2013, Chair, 2008-2013</w:t>
      </w:r>
    </w:p>
    <w:p w14:paraId="7C000873" w14:textId="77777777" w:rsidR="0011422E" w:rsidRDefault="0011422E" w:rsidP="0011422E">
      <w:pPr>
        <w:widowControl w:val="0"/>
        <w:numPr>
          <w:ilvl w:val="0"/>
          <w:numId w:val="6"/>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ABA Business Law Section, Chair, LLC Special Drafting Committee, 2008-2012</w:t>
      </w:r>
    </w:p>
    <w:p w14:paraId="28512794" w14:textId="77777777" w:rsidR="0011422E" w:rsidRDefault="0011422E" w:rsidP="0011422E">
      <w:pPr>
        <w:widowControl w:val="0"/>
        <w:numPr>
          <w:ilvl w:val="0"/>
          <w:numId w:val="6"/>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ABA Business Law Section, LLC, Partnerships and Unincorporated Business Entities Committee &amp; Negotiated Acquisitions Committee, 1995-2012</w:t>
      </w:r>
    </w:p>
    <w:p w14:paraId="4C681FB9" w14:textId="77777777" w:rsidR="0011422E" w:rsidRDefault="0011422E" w:rsidP="0011422E">
      <w:pPr>
        <w:widowControl w:val="0"/>
        <w:numPr>
          <w:ilvl w:val="0"/>
          <w:numId w:val="6"/>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The Florida Bar Chapter 517 Drafting Committee, 2010-2011</w:t>
      </w:r>
    </w:p>
    <w:p w14:paraId="5195D692" w14:textId="77777777" w:rsidR="0011422E" w:rsidRDefault="0011422E" w:rsidP="0011422E">
      <w:pPr>
        <w:widowControl w:val="0"/>
        <w:numPr>
          <w:ilvl w:val="0"/>
          <w:numId w:val="6"/>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The Florida Bar, Business Law Section, Chair 2009-2010</w:t>
      </w:r>
    </w:p>
    <w:p w14:paraId="7C557B1F" w14:textId="77777777" w:rsidR="0011422E" w:rsidRDefault="0011422E" w:rsidP="0011422E">
      <w:pPr>
        <w:widowControl w:val="0"/>
        <w:numPr>
          <w:ilvl w:val="0"/>
          <w:numId w:val="6"/>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The Florida Bar, Tax Section, Chair 2000-2001</w:t>
      </w:r>
    </w:p>
    <w:p w14:paraId="76615D87" w14:textId="77777777" w:rsidR="0011422E" w:rsidRDefault="0011422E" w:rsidP="0011422E">
      <w:pPr>
        <w:widowControl w:val="0"/>
        <w:numPr>
          <w:ilvl w:val="0"/>
          <w:numId w:val="6"/>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The Florida Bar, Business Law Section, Chair-Elect, 2008-2009; Secretary/Treasurer, 2007-2008</w:t>
      </w:r>
    </w:p>
    <w:p w14:paraId="104DFB42" w14:textId="77777777" w:rsidR="0011422E" w:rsidRDefault="0011422E" w:rsidP="0011422E">
      <w:pPr>
        <w:widowControl w:val="0"/>
        <w:numPr>
          <w:ilvl w:val="0"/>
          <w:numId w:val="6"/>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The Florida Bar, Business Law Section, Chair, Legislation Committee, 2006-2007</w:t>
      </w:r>
    </w:p>
    <w:p w14:paraId="1AACC628" w14:textId="77777777" w:rsidR="0011422E" w:rsidRDefault="0011422E" w:rsidP="0011422E">
      <w:pPr>
        <w:widowControl w:val="0"/>
        <w:numPr>
          <w:ilvl w:val="0"/>
          <w:numId w:val="6"/>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The Florida Bar, Business Law Section, Chair, Corporations, Securities and Financial Institutions Committee, 2004-2006 </w:t>
      </w:r>
    </w:p>
    <w:p w14:paraId="713AA254" w14:textId="77777777" w:rsidR="0011422E" w:rsidRDefault="0011422E" w:rsidP="0011422E">
      <w:pPr>
        <w:widowControl w:val="0"/>
        <w:numPr>
          <w:ilvl w:val="0"/>
          <w:numId w:val="6"/>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The Florida Bar Drafting Committee for the Florida Revised Uniform Limited Partnership Act, Co-Chair, 2004-2005</w:t>
      </w:r>
    </w:p>
    <w:p w14:paraId="71725A63" w14:textId="77777777" w:rsidR="0011422E" w:rsidRDefault="0011422E" w:rsidP="0011422E">
      <w:pPr>
        <w:widowControl w:val="0"/>
        <w:numPr>
          <w:ilvl w:val="0"/>
          <w:numId w:val="6"/>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The Florida Bar Drafting Committee for the Florida Limited Liability Company Act Glitch Bill, Chair, 2001-2002</w:t>
      </w:r>
    </w:p>
    <w:p w14:paraId="4B027B21" w14:textId="77777777" w:rsidR="0011422E" w:rsidRDefault="0011422E" w:rsidP="0011422E">
      <w:pPr>
        <w:widowControl w:val="0"/>
        <w:numPr>
          <w:ilvl w:val="0"/>
          <w:numId w:val="6"/>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The Florida Bar Drafting Committee for revisions to the Florida Limited Liability Company Act, Chair, 1998-1999</w:t>
      </w:r>
    </w:p>
    <w:p w14:paraId="393A81DF" w14:textId="77777777" w:rsidR="0011422E" w:rsidRDefault="0011422E" w:rsidP="0011422E">
      <w:pPr>
        <w:widowControl w:val="0"/>
        <w:numPr>
          <w:ilvl w:val="0"/>
          <w:numId w:val="6"/>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The Florida Bar, Business Law Section, Chair, 1993-1995; Co-Chair, 1995-1996</w:t>
      </w:r>
    </w:p>
    <w:p w14:paraId="14951C89" w14:textId="77777777" w:rsidR="0011422E" w:rsidRDefault="0011422E" w:rsidP="0011422E">
      <w:pPr>
        <w:widowControl w:val="0"/>
        <w:numPr>
          <w:ilvl w:val="0"/>
          <w:numId w:val="6"/>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The Florida Bar Drafting Committee for the Florida Revised Uniform Partnership Act, Chair, 1993-1995</w:t>
      </w:r>
    </w:p>
    <w:p w14:paraId="3774630D" w14:textId="77777777" w:rsidR="0011422E" w:rsidRDefault="0011422E" w:rsidP="0011422E">
      <w:pPr>
        <w:widowControl w:val="0"/>
        <w:numPr>
          <w:ilvl w:val="0"/>
          <w:numId w:val="6"/>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The Florida Bar Drafting Committee for revisions to the Florida Limited Liability Company Act, Co-Chair, 1992-1993</w:t>
      </w:r>
    </w:p>
    <w:p w14:paraId="0708B4CE" w14:textId="77777777" w:rsidR="0011422E" w:rsidRDefault="0011422E" w:rsidP="0011422E">
      <w:pPr>
        <w:widowControl w:val="0"/>
        <w:numPr>
          <w:ilvl w:val="0"/>
          <w:numId w:val="6"/>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Leadership Orlando, Graduate</w:t>
      </w:r>
    </w:p>
    <w:p w14:paraId="740CF675" w14:textId="77777777" w:rsidR="0011422E" w:rsidRDefault="0011422E" w:rsidP="0011422E">
      <w:pPr>
        <w:widowControl w:val="0"/>
        <w:numPr>
          <w:ilvl w:val="0"/>
          <w:numId w:val="6"/>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Leadership Florida, Graduate</w:t>
      </w:r>
    </w:p>
    <w:p w14:paraId="3057EC7A" w14:textId="77777777" w:rsidR="0011422E" w:rsidRDefault="0011422E" w:rsidP="0011422E">
      <w:pPr>
        <w:widowControl w:val="0"/>
        <w:numPr>
          <w:ilvl w:val="0"/>
          <w:numId w:val="6"/>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The Florida Venture Forum, Co-Chair, 2009 Annual VC Conference &amp; Co-Chair 2010 Annual VC Conference</w:t>
      </w:r>
    </w:p>
    <w:p w14:paraId="3817D578" w14:textId="77777777" w:rsidR="008D752E" w:rsidRPr="0011422E" w:rsidRDefault="0011422E" w:rsidP="0011422E">
      <w:pPr>
        <w:pStyle w:val="ListParagraph"/>
        <w:numPr>
          <w:ilvl w:val="0"/>
          <w:numId w:val="10"/>
        </w:numPr>
        <w:rPr>
          <w:rFonts w:ascii="Arial" w:hAnsi="Arial" w:cs="Arial"/>
          <w:color w:val="131313"/>
        </w:rPr>
      </w:pPr>
      <w:r w:rsidRPr="0011422E">
        <w:rPr>
          <w:rFonts w:ascii="Arial" w:hAnsi="Arial" w:cs="Arial"/>
          <w:color w:val="131313"/>
        </w:rPr>
        <w:t xml:space="preserve">See more at: </w:t>
      </w:r>
      <w:hyperlink r:id="rId12" w:anchor="sthash.kLHC4MBl.dpuf" w:history="1">
        <w:r w:rsidRPr="005D6A7E">
          <w:rPr>
            <w:rStyle w:val="Hyperlink"/>
            <w:rFonts w:ascii="Arial" w:hAnsi="Arial" w:cs="Arial"/>
          </w:rPr>
          <w:t>http://www.hklaw.com/Louis-Conti/#sthash.kLHC4MBl.dpuf</w:t>
        </w:r>
      </w:hyperlink>
    </w:p>
    <w:p w14:paraId="05652B92" w14:textId="77777777" w:rsidR="0011422E" w:rsidRDefault="0011422E">
      <w:r>
        <w:br w:type="page"/>
      </w:r>
    </w:p>
    <w:p w14:paraId="154544C0" w14:textId="77777777" w:rsidR="0011422E" w:rsidRDefault="0011422E" w:rsidP="0011422E">
      <w:pPr>
        <w:widowControl w:val="0"/>
        <w:autoSpaceDE w:val="0"/>
        <w:autoSpaceDN w:val="0"/>
        <w:adjustRightInd w:val="0"/>
        <w:spacing w:after="400"/>
        <w:jc w:val="center"/>
        <w:rPr>
          <w:rFonts w:ascii="Arial" w:hAnsi="Arial" w:cs="Arial"/>
          <w:sz w:val="40"/>
          <w:szCs w:val="40"/>
        </w:rPr>
      </w:pPr>
      <w:r>
        <w:rPr>
          <w:rFonts w:ascii="Arial" w:hAnsi="Arial" w:cs="Arial"/>
          <w:sz w:val="40"/>
          <w:szCs w:val="40"/>
        </w:rPr>
        <w:t xml:space="preserve">Henry M. </w:t>
      </w:r>
      <w:proofErr w:type="spellStart"/>
      <w:r>
        <w:rPr>
          <w:rFonts w:ascii="Arial" w:hAnsi="Arial" w:cs="Arial"/>
          <w:sz w:val="40"/>
          <w:szCs w:val="40"/>
        </w:rPr>
        <w:t>Kittleson</w:t>
      </w:r>
      <w:proofErr w:type="spellEnd"/>
    </w:p>
    <w:p w14:paraId="1D6B42E2" w14:textId="77777777" w:rsidR="0011422E" w:rsidRDefault="0011422E" w:rsidP="0011422E">
      <w:pPr>
        <w:widowControl w:val="0"/>
        <w:autoSpaceDE w:val="0"/>
        <w:autoSpaceDN w:val="0"/>
        <w:adjustRightInd w:val="0"/>
        <w:jc w:val="center"/>
        <w:rPr>
          <w:rFonts w:ascii="Arial" w:hAnsi="Arial" w:cs="Arial"/>
          <w:color w:val="131313"/>
        </w:rPr>
      </w:pPr>
      <w:r>
        <w:rPr>
          <w:rFonts w:ascii="Arial" w:hAnsi="Arial" w:cs="Arial"/>
          <w:color w:val="131313"/>
        </w:rPr>
        <w:t>Partner</w:t>
      </w:r>
    </w:p>
    <w:p w14:paraId="36F1965E" w14:textId="77777777" w:rsidR="0011422E" w:rsidRDefault="0011422E" w:rsidP="0011422E">
      <w:pPr>
        <w:widowControl w:val="0"/>
        <w:autoSpaceDE w:val="0"/>
        <w:autoSpaceDN w:val="0"/>
        <w:adjustRightInd w:val="0"/>
        <w:jc w:val="center"/>
        <w:rPr>
          <w:rFonts w:ascii="Arial" w:hAnsi="Arial" w:cs="Arial"/>
          <w:color w:val="131313"/>
        </w:rPr>
      </w:pPr>
      <w:r>
        <w:rPr>
          <w:rFonts w:ascii="Arial" w:hAnsi="Arial" w:cs="Arial"/>
          <w:color w:val="131313"/>
        </w:rPr>
        <w:t>Lakeland</w:t>
      </w:r>
    </w:p>
    <w:p w14:paraId="6D226BD0" w14:textId="77777777" w:rsidR="0011422E" w:rsidRDefault="0011422E" w:rsidP="0011422E">
      <w:pPr>
        <w:widowControl w:val="0"/>
        <w:numPr>
          <w:ilvl w:val="0"/>
          <w:numId w:val="1"/>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T 863.499.5353</w:t>
      </w:r>
    </w:p>
    <w:p w14:paraId="5C8EF855" w14:textId="77777777" w:rsidR="0011422E" w:rsidRDefault="0011422E" w:rsidP="0011422E">
      <w:pPr>
        <w:widowControl w:val="0"/>
        <w:numPr>
          <w:ilvl w:val="0"/>
          <w:numId w:val="1"/>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w:t>
      </w:r>
    </w:p>
    <w:p w14:paraId="73D9B2C3" w14:textId="77777777" w:rsidR="0011422E" w:rsidRDefault="0011422E" w:rsidP="0011422E">
      <w:pPr>
        <w:widowControl w:val="0"/>
        <w:numPr>
          <w:ilvl w:val="0"/>
          <w:numId w:val="1"/>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31313"/>
        </w:rPr>
        <w:tab/>
      </w:r>
      <w:r>
        <w:rPr>
          <w:rFonts w:ascii="Arial" w:hAnsi="Arial" w:cs="Arial"/>
          <w:color w:val="131313"/>
        </w:rPr>
        <w:tab/>
        <w:t>F 863.688.1186</w:t>
      </w:r>
    </w:p>
    <w:p w14:paraId="01ABD389" w14:textId="77777777" w:rsidR="0011422E" w:rsidRDefault="00853123" w:rsidP="0011422E">
      <w:pPr>
        <w:widowControl w:val="0"/>
        <w:autoSpaceDE w:val="0"/>
        <w:autoSpaceDN w:val="0"/>
        <w:adjustRightInd w:val="0"/>
        <w:jc w:val="center"/>
        <w:rPr>
          <w:rFonts w:ascii="Arial" w:hAnsi="Arial" w:cs="Arial"/>
          <w:color w:val="131313"/>
        </w:rPr>
      </w:pPr>
      <w:hyperlink r:id="rId13" w:history="1">
        <w:r w:rsidR="0011422E">
          <w:rPr>
            <w:rFonts w:ascii="Arial" w:hAnsi="Arial" w:cs="Arial"/>
            <w:color w:val="1082BD"/>
          </w:rPr>
          <w:t>henry.kittleson@hklaw.com</w:t>
        </w:r>
      </w:hyperlink>
    </w:p>
    <w:p w14:paraId="37DEE970" w14:textId="77777777" w:rsidR="0011422E" w:rsidRDefault="0011422E" w:rsidP="0011422E">
      <w:pPr>
        <w:widowControl w:val="0"/>
        <w:numPr>
          <w:ilvl w:val="0"/>
          <w:numId w:val="2"/>
        </w:numPr>
        <w:tabs>
          <w:tab w:val="left" w:pos="220"/>
          <w:tab w:val="left" w:pos="720"/>
        </w:tabs>
        <w:autoSpaceDE w:val="0"/>
        <w:autoSpaceDN w:val="0"/>
        <w:adjustRightInd w:val="0"/>
        <w:ind w:hanging="720"/>
        <w:jc w:val="center"/>
        <w:rPr>
          <w:rFonts w:ascii="Arial" w:hAnsi="Arial" w:cs="Arial"/>
          <w:color w:val="131313"/>
        </w:rPr>
      </w:pPr>
      <w:r>
        <w:rPr>
          <w:rFonts w:ascii="Arial" w:hAnsi="Arial" w:cs="Arial"/>
          <w:color w:val="1082BD"/>
        </w:rPr>
        <w:tab/>
      </w:r>
      <w:r>
        <w:rPr>
          <w:rFonts w:ascii="Arial" w:hAnsi="Arial" w:cs="Arial"/>
          <w:color w:val="1082BD"/>
        </w:rPr>
        <w:tab/>
      </w:r>
      <w:hyperlink r:id="rId14" w:history="1">
        <w:r>
          <w:rPr>
            <w:rFonts w:ascii="Arial" w:hAnsi="Arial" w:cs="Arial"/>
            <w:noProof/>
            <w:color w:val="1082BD"/>
          </w:rPr>
          <w:drawing>
            <wp:inline distT="0" distB="0" distL="0" distR="0" wp14:anchorId="12757C29" wp14:editId="4028EA71">
              <wp:extent cx="317500" cy="2032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0" cy="203200"/>
                      </a:xfrm>
                      <a:prstGeom prst="rect">
                        <a:avLst/>
                      </a:prstGeom>
                      <a:noFill/>
                      <a:ln>
                        <a:noFill/>
                      </a:ln>
                    </pic:spPr>
                  </pic:pic>
                </a:graphicData>
              </a:graphic>
            </wp:inline>
          </w:drawing>
        </w:r>
        <w:r>
          <w:rPr>
            <w:rFonts w:ascii="Arial" w:hAnsi="Arial" w:cs="Arial"/>
            <w:color w:val="1082BD"/>
          </w:rPr>
          <w:t xml:space="preserve"> Download My vCard</w:t>
        </w:r>
      </w:hyperlink>
    </w:p>
    <w:p w14:paraId="7DAE5024" w14:textId="77777777" w:rsidR="0011422E" w:rsidRDefault="0011422E" w:rsidP="0011422E">
      <w:pPr>
        <w:widowControl w:val="0"/>
        <w:autoSpaceDE w:val="0"/>
        <w:autoSpaceDN w:val="0"/>
        <w:adjustRightInd w:val="0"/>
        <w:spacing w:after="300"/>
        <w:jc w:val="center"/>
        <w:rPr>
          <w:rFonts w:ascii="Arial" w:hAnsi="Arial" w:cs="Arial"/>
          <w:color w:val="131313"/>
        </w:rPr>
      </w:pPr>
      <w:r>
        <w:rPr>
          <w:rFonts w:ascii="Arial" w:hAnsi="Arial" w:cs="Arial"/>
          <w:b/>
          <w:bCs/>
          <w:color w:val="131313"/>
        </w:rPr>
        <w:t xml:space="preserve">Henry M. </w:t>
      </w:r>
      <w:proofErr w:type="spellStart"/>
      <w:r>
        <w:rPr>
          <w:rFonts w:ascii="Arial" w:hAnsi="Arial" w:cs="Arial"/>
          <w:b/>
          <w:bCs/>
          <w:color w:val="131313"/>
        </w:rPr>
        <w:t>Kittleson</w:t>
      </w:r>
      <w:proofErr w:type="spellEnd"/>
      <w:r>
        <w:rPr>
          <w:rFonts w:ascii="Arial" w:hAnsi="Arial" w:cs="Arial"/>
          <w:color w:val="131313"/>
        </w:rPr>
        <w:t xml:space="preserve"> has served as Chairman of The Florida Bar Committee on Professional Ethics and as Chairman of the American Bar Association Committee on Ethics and Professional Responsibility. Mr. </w:t>
      </w:r>
      <w:proofErr w:type="spellStart"/>
      <w:r>
        <w:rPr>
          <w:rFonts w:ascii="Arial" w:hAnsi="Arial" w:cs="Arial"/>
          <w:color w:val="131313"/>
        </w:rPr>
        <w:t>Kittleson</w:t>
      </w:r>
      <w:proofErr w:type="spellEnd"/>
      <w:r>
        <w:rPr>
          <w:rFonts w:ascii="Arial" w:hAnsi="Arial" w:cs="Arial"/>
          <w:color w:val="131313"/>
        </w:rPr>
        <w:t xml:space="preserve"> has served on The Florida Bar Continuing Legal Education steering committees and editorial boards, Tort Litigation Review Commission, and Executive Council of the Real Property, Probate and Trust Law Section, and on the American Bar Association Committee on Legal Drafting and the Uniform Commercial Code Committee. He has served on the Florida Law Revision Commission and the Governor's Property Rights Study Commission.</w:t>
      </w:r>
    </w:p>
    <w:p w14:paraId="23457FD9" w14:textId="77777777" w:rsidR="0011422E" w:rsidRDefault="0011422E" w:rsidP="0011422E">
      <w:pPr>
        <w:widowControl w:val="0"/>
        <w:autoSpaceDE w:val="0"/>
        <w:autoSpaceDN w:val="0"/>
        <w:adjustRightInd w:val="0"/>
        <w:spacing w:after="300"/>
        <w:jc w:val="center"/>
        <w:rPr>
          <w:rFonts w:ascii="Arial" w:hAnsi="Arial" w:cs="Arial"/>
          <w:color w:val="131313"/>
        </w:rPr>
      </w:pPr>
      <w:r>
        <w:rPr>
          <w:rFonts w:ascii="Arial" w:hAnsi="Arial" w:cs="Arial"/>
          <w:color w:val="131313"/>
        </w:rPr>
        <w:t xml:space="preserve">Mr. </w:t>
      </w:r>
      <w:proofErr w:type="spellStart"/>
      <w:r>
        <w:rPr>
          <w:rFonts w:ascii="Arial" w:hAnsi="Arial" w:cs="Arial"/>
          <w:color w:val="131313"/>
        </w:rPr>
        <w:t>Kittleson</w:t>
      </w:r>
      <w:proofErr w:type="spellEnd"/>
      <w:r>
        <w:rPr>
          <w:rFonts w:ascii="Arial" w:hAnsi="Arial" w:cs="Arial"/>
          <w:color w:val="131313"/>
        </w:rPr>
        <w:t xml:space="preserve"> is a member of the National Conference of Commissioners on Uniform State Laws. Listed in </w:t>
      </w:r>
      <w:r>
        <w:rPr>
          <w:rFonts w:ascii="Arial" w:hAnsi="Arial" w:cs="Arial"/>
          <w:i/>
          <w:iCs/>
          <w:color w:val="131313"/>
        </w:rPr>
        <w:t>Who's Who in American Law</w:t>
      </w:r>
      <w:r>
        <w:rPr>
          <w:rFonts w:ascii="Arial" w:hAnsi="Arial" w:cs="Arial"/>
          <w:color w:val="131313"/>
        </w:rPr>
        <w:t xml:space="preserve"> since its first edition, and in </w:t>
      </w:r>
      <w:r>
        <w:rPr>
          <w:rFonts w:ascii="Arial" w:hAnsi="Arial" w:cs="Arial"/>
          <w:i/>
          <w:iCs/>
          <w:color w:val="131313"/>
        </w:rPr>
        <w:t>Best Lawyers in America</w:t>
      </w:r>
      <w:r>
        <w:rPr>
          <w:rFonts w:ascii="Arial" w:hAnsi="Arial" w:cs="Arial"/>
          <w:color w:val="131313"/>
        </w:rPr>
        <w:t xml:space="preserve"> since its first edition, he is a member of the American Law Institute, the American College of Real Estate Lawyers, and the Fellows of the American Bar Foundation.</w:t>
      </w:r>
    </w:p>
    <w:p w14:paraId="3C466A98" w14:textId="77777777" w:rsidR="0011422E" w:rsidRDefault="0011422E" w:rsidP="0011422E">
      <w:pPr>
        <w:widowControl w:val="0"/>
        <w:autoSpaceDE w:val="0"/>
        <w:autoSpaceDN w:val="0"/>
        <w:adjustRightInd w:val="0"/>
        <w:spacing w:after="300"/>
        <w:jc w:val="center"/>
        <w:rPr>
          <w:rFonts w:ascii="Arial" w:hAnsi="Arial" w:cs="Arial"/>
          <w:color w:val="131313"/>
        </w:rPr>
      </w:pPr>
      <w:r>
        <w:rPr>
          <w:rFonts w:ascii="Arial" w:hAnsi="Arial" w:cs="Arial"/>
          <w:color w:val="131313"/>
        </w:rPr>
        <w:t xml:space="preserve">Mr. </w:t>
      </w:r>
      <w:proofErr w:type="spellStart"/>
      <w:r>
        <w:rPr>
          <w:rFonts w:ascii="Arial" w:hAnsi="Arial" w:cs="Arial"/>
          <w:color w:val="131313"/>
        </w:rPr>
        <w:t>Kittleson</w:t>
      </w:r>
      <w:proofErr w:type="spellEnd"/>
      <w:r>
        <w:rPr>
          <w:rFonts w:ascii="Arial" w:hAnsi="Arial" w:cs="Arial"/>
          <w:color w:val="131313"/>
        </w:rPr>
        <w:t xml:space="preserve"> earned his B.S.B.A., with high honors, in 1951 from the University of Florida and his law degree, with high honors, in 1953 from the University of Florida College of Law.</w:t>
      </w:r>
    </w:p>
    <w:p w14:paraId="74741CFC" w14:textId="77777777" w:rsidR="0011422E" w:rsidRPr="0011422E" w:rsidRDefault="0011422E" w:rsidP="0011422E">
      <w:pPr>
        <w:pStyle w:val="ListParagraph"/>
        <w:numPr>
          <w:ilvl w:val="0"/>
          <w:numId w:val="10"/>
        </w:numPr>
      </w:pPr>
      <w:r>
        <w:rPr>
          <w:rFonts w:ascii="Arial" w:hAnsi="Arial" w:cs="Arial"/>
          <w:color w:val="131313"/>
        </w:rPr>
        <w:t xml:space="preserve">- See more at: </w:t>
      </w:r>
      <w:hyperlink r:id="rId15" w:anchor="sthash.wG3ECH7O.dpuf" w:history="1">
        <w:r w:rsidRPr="005D6A7E">
          <w:rPr>
            <w:rStyle w:val="Hyperlink"/>
            <w:rFonts w:ascii="Arial" w:hAnsi="Arial" w:cs="Arial"/>
          </w:rPr>
          <w:t>http://www.hklaw.com/HenryKittleson/#sthash.wG3ECH7O.dpuf</w:t>
        </w:r>
      </w:hyperlink>
    </w:p>
    <w:p w14:paraId="2588F299" w14:textId="77777777" w:rsidR="0011422E" w:rsidRDefault="0011422E" w:rsidP="0011422E">
      <w:pPr>
        <w:pStyle w:val="ListParagraph"/>
        <w:rPr>
          <w:rFonts w:ascii="Arial" w:hAnsi="Arial" w:cs="Arial"/>
          <w:color w:val="131313"/>
        </w:rPr>
      </w:pPr>
    </w:p>
    <w:p w14:paraId="11CFA596" w14:textId="77777777" w:rsidR="0011422E" w:rsidRDefault="0011422E">
      <w:pPr>
        <w:rPr>
          <w:rFonts w:ascii="Arial" w:hAnsi="Arial" w:cs="Arial"/>
          <w:color w:val="131313"/>
        </w:rPr>
      </w:pPr>
      <w:r>
        <w:rPr>
          <w:rFonts w:ascii="Arial" w:hAnsi="Arial" w:cs="Arial"/>
          <w:color w:val="131313"/>
        </w:rPr>
        <w:br w:type="page"/>
      </w:r>
    </w:p>
    <w:p w14:paraId="66102256" w14:textId="6F7B9FB5" w:rsidR="0011422E" w:rsidRPr="00667AE1" w:rsidRDefault="0011422E" w:rsidP="0011422E">
      <w:pPr>
        <w:widowControl w:val="0"/>
        <w:autoSpaceDE w:val="0"/>
        <w:autoSpaceDN w:val="0"/>
        <w:adjustRightInd w:val="0"/>
        <w:spacing w:after="100"/>
        <w:ind w:right="100"/>
        <w:rPr>
          <w:rFonts w:ascii="Arial" w:hAnsi="Arial" w:cs="Arial"/>
          <w:b/>
          <w:bCs/>
          <w:sz w:val="40"/>
          <w:szCs w:val="36"/>
        </w:rPr>
      </w:pPr>
      <w:r w:rsidRPr="00667AE1">
        <w:rPr>
          <w:rFonts w:ascii="Arial" w:hAnsi="Arial" w:cs="Arial"/>
          <w:b/>
          <w:bCs/>
          <w:sz w:val="40"/>
          <w:szCs w:val="36"/>
        </w:rPr>
        <w:t>Levesque George T</w:t>
      </w:r>
      <w:r w:rsidR="00667AE1">
        <w:rPr>
          <w:rFonts w:ascii="Arial" w:hAnsi="Arial" w:cs="Arial"/>
          <w:b/>
          <w:bCs/>
          <w:sz w:val="40"/>
          <w:szCs w:val="36"/>
        </w:rPr>
        <w:t>.</w:t>
      </w:r>
    </w:p>
    <w:p w14:paraId="14023BF3" w14:textId="77777777" w:rsidR="0011422E" w:rsidRDefault="0011422E" w:rsidP="0011422E">
      <w:pPr>
        <w:widowControl w:val="0"/>
        <w:autoSpaceDE w:val="0"/>
        <w:autoSpaceDN w:val="0"/>
        <w:adjustRightInd w:val="0"/>
        <w:spacing w:after="100"/>
        <w:rPr>
          <w:rFonts w:ascii="Arial" w:hAnsi="Arial" w:cs="Arial"/>
          <w:color w:val="262626"/>
        </w:rPr>
      </w:pPr>
      <w:r>
        <w:rPr>
          <w:rFonts w:ascii="Arial" w:hAnsi="Arial" w:cs="Arial"/>
          <w:color w:val="262626"/>
        </w:rPr>
        <w:t xml:space="preserve">Category: </w:t>
      </w:r>
      <w:hyperlink r:id="rId16" w:history="1">
        <w:r>
          <w:rPr>
            <w:rFonts w:ascii="Arial" w:hAnsi="Arial" w:cs="Arial"/>
            <w:color w:val="2E5096"/>
          </w:rPr>
          <w:t>Lawyers</w:t>
        </w:r>
      </w:hyperlink>
      <w:proofErr w:type="gramStart"/>
      <w:r>
        <w:rPr>
          <w:rFonts w:ascii="Arial" w:hAnsi="Arial" w:cs="Arial"/>
          <w:color w:val="262626"/>
        </w:rPr>
        <w:t xml:space="preserve">  </w:t>
      </w:r>
      <w:proofErr w:type="gramEnd"/>
      <w:hyperlink r:id="rId17" w:history="1">
        <w:r>
          <w:rPr>
            <w:rFonts w:ascii="Arial" w:hAnsi="Arial" w:cs="Arial"/>
            <w:color w:val="2E5096"/>
            <w:sz w:val="20"/>
            <w:szCs w:val="20"/>
          </w:rPr>
          <w:t>[Edit]</w:t>
        </w:r>
      </w:hyperlink>
    </w:p>
    <w:p w14:paraId="34C292AC" w14:textId="77777777" w:rsidR="0011422E" w:rsidRDefault="0011422E" w:rsidP="0011422E">
      <w:pPr>
        <w:widowControl w:val="0"/>
        <w:autoSpaceDE w:val="0"/>
        <w:autoSpaceDN w:val="0"/>
        <w:adjustRightInd w:val="0"/>
        <w:rPr>
          <w:rFonts w:ascii="Arial" w:hAnsi="Arial" w:cs="Arial"/>
          <w:color w:val="262626"/>
        </w:rPr>
      </w:pPr>
      <w:r>
        <w:rPr>
          <w:rFonts w:ascii="Arial" w:hAnsi="Arial" w:cs="Arial"/>
          <w:color w:val="262626"/>
        </w:rPr>
        <w:t>1558 Village Square Blvd</w:t>
      </w:r>
    </w:p>
    <w:p w14:paraId="2781AF92" w14:textId="77777777" w:rsidR="0011422E" w:rsidRDefault="0011422E" w:rsidP="0011422E">
      <w:pPr>
        <w:pStyle w:val="ListParagraph"/>
        <w:rPr>
          <w:rFonts w:ascii="Arial" w:hAnsi="Arial" w:cs="Arial"/>
          <w:color w:val="262626"/>
        </w:rPr>
      </w:pPr>
      <w:r>
        <w:rPr>
          <w:rFonts w:ascii="Arial" w:hAnsi="Arial" w:cs="Arial"/>
          <w:color w:val="262626"/>
        </w:rPr>
        <w:t>Tallahassee, FL 32309</w:t>
      </w:r>
    </w:p>
    <w:p w14:paraId="35393AC6" w14:textId="77777777" w:rsidR="0011422E" w:rsidRDefault="0011422E" w:rsidP="0011422E"/>
    <w:p w14:paraId="6F908363" w14:textId="77777777" w:rsidR="0011422E" w:rsidRDefault="0011422E" w:rsidP="0011422E"/>
    <w:p w14:paraId="160D556B" w14:textId="77777777" w:rsidR="0011422E" w:rsidRDefault="0011422E" w:rsidP="0011422E"/>
    <w:p w14:paraId="1892A571" w14:textId="77777777" w:rsidR="0011422E" w:rsidRDefault="0011422E" w:rsidP="0011422E"/>
    <w:p w14:paraId="4CE1A309" w14:textId="77777777" w:rsidR="0011422E" w:rsidRDefault="0011422E" w:rsidP="0011422E"/>
    <w:tbl>
      <w:tblPr>
        <w:tblW w:w="8760" w:type="dxa"/>
        <w:tblBorders>
          <w:top w:val="nil"/>
          <w:left w:val="nil"/>
          <w:right w:val="nil"/>
        </w:tblBorders>
        <w:tblLayout w:type="fixed"/>
        <w:tblLook w:val="0000" w:firstRow="0" w:lastRow="0" w:firstColumn="0" w:lastColumn="0" w:noHBand="0" w:noVBand="0"/>
      </w:tblPr>
      <w:tblGrid>
        <w:gridCol w:w="8760"/>
      </w:tblGrid>
      <w:tr w:rsidR="0011422E" w14:paraId="12A17194" w14:textId="77777777" w:rsidTr="0011422E">
        <w:trPr>
          <w:trHeight w:val="9600"/>
        </w:trPr>
        <w:tc>
          <w:tcPr>
            <w:tcW w:w="8760" w:type="dxa"/>
          </w:tcPr>
          <w:p w14:paraId="073878F3" w14:textId="77777777" w:rsidR="00B82838" w:rsidRDefault="00B82838">
            <w:pPr>
              <w:widowControl w:val="0"/>
              <w:autoSpaceDE w:val="0"/>
              <w:autoSpaceDN w:val="0"/>
              <w:adjustRightInd w:val="0"/>
              <w:spacing w:after="200"/>
              <w:rPr>
                <w:rFonts w:ascii="Verdana" w:hAnsi="Verdana" w:cs="Verdana"/>
                <w:b/>
                <w:bCs/>
                <w:sz w:val="20"/>
                <w:szCs w:val="20"/>
              </w:rPr>
            </w:pPr>
            <w:r w:rsidRPr="0011422E">
              <w:rPr>
                <w:rFonts w:ascii="Verdana" w:hAnsi="Verdana" w:cs="Verdana"/>
                <w:noProof/>
                <w:sz w:val="40"/>
                <w:szCs w:val="22"/>
              </w:rPr>
              <w:t>Donald J. Weidner</w:t>
            </w:r>
            <w:r>
              <w:rPr>
                <w:rFonts w:ascii="Verdana" w:hAnsi="Verdana" w:cs="Verdana"/>
                <w:b/>
                <w:bCs/>
                <w:sz w:val="20"/>
                <w:szCs w:val="20"/>
              </w:rPr>
              <w:t xml:space="preserve"> </w:t>
            </w:r>
          </w:p>
          <w:p w14:paraId="1C84AC3D" w14:textId="77777777" w:rsidR="0011422E" w:rsidRDefault="0011422E">
            <w:pPr>
              <w:widowControl w:val="0"/>
              <w:autoSpaceDE w:val="0"/>
              <w:autoSpaceDN w:val="0"/>
              <w:adjustRightInd w:val="0"/>
              <w:spacing w:after="200"/>
              <w:rPr>
                <w:rFonts w:ascii="Verdana" w:hAnsi="Verdana" w:cs="Verdana"/>
                <w:sz w:val="20"/>
                <w:szCs w:val="20"/>
              </w:rPr>
            </w:pPr>
            <w:r>
              <w:rPr>
                <w:rFonts w:ascii="Verdana" w:hAnsi="Verdana" w:cs="Verdana"/>
                <w:b/>
                <w:bCs/>
                <w:sz w:val="20"/>
                <w:szCs w:val="20"/>
              </w:rPr>
              <w:t>Education</w:t>
            </w:r>
            <w:r>
              <w:rPr>
                <w:rFonts w:ascii="Verdana" w:hAnsi="Verdana" w:cs="Verdana"/>
                <w:sz w:val="20"/>
                <w:szCs w:val="20"/>
              </w:rPr>
              <w:t> J.D., University of Texas at Austin, 1969 B.S. (Psychology), Fordham University, 1966</w:t>
            </w:r>
          </w:p>
          <w:p w14:paraId="28D06F36" w14:textId="77777777" w:rsidR="0011422E" w:rsidRDefault="0011422E">
            <w:pPr>
              <w:widowControl w:val="0"/>
              <w:autoSpaceDE w:val="0"/>
              <w:autoSpaceDN w:val="0"/>
              <w:adjustRightInd w:val="0"/>
              <w:rPr>
                <w:rFonts w:ascii="Georgia" w:hAnsi="Georgia" w:cs="Georgia"/>
                <w:b/>
                <w:bCs/>
                <w:sz w:val="20"/>
                <w:szCs w:val="20"/>
              </w:rPr>
            </w:pPr>
            <w:r>
              <w:rPr>
                <w:rFonts w:ascii="Georgia" w:hAnsi="Georgia" w:cs="Georgia"/>
                <w:b/>
                <w:bCs/>
                <w:sz w:val="20"/>
                <w:szCs w:val="20"/>
              </w:rPr>
              <w:t>Related Links</w:t>
            </w:r>
          </w:p>
          <w:tbl>
            <w:tblPr>
              <w:tblW w:w="8760" w:type="dxa"/>
              <w:tblInd w:w="140" w:type="dxa"/>
              <w:tblBorders>
                <w:top w:val="nil"/>
                <w:left w:val="nil"/>
                <w:right w:val="nil"/>
              </w:tblBorders>
              <w:tblLayout w:type="fixed"/>
              <w:tblCellMar>
                <w:left w:w="0" w:type="dxa"/>
                <w:right w:w="0" w:type="dxa"/>
              </w:tblCellMar>
              <w:tblLook w:val="0000" w:firstRow="0" w:lastRow="0" w:firstColumn="0" w:lastColumn="0" w:noHBand="0" w:noVBand="0"/>
            </w:tblPr>
            <w:tblGrid>
              <w:gridCol w:w="193"/>
              <w:gridCol w:w="8567"/>
            </w:tblGrid>
            <w:tr w:rsidR="0011422E" w14:paraId="34A28067" w14:textId="77777777" w:rsidTr="0011422E">
              <w:trPr>
                <w:trHeight w:val="213"/>
              </w:trPr>
              <w:tc>
                <w:tcPr>
                  <w:tcW w:w="193" w:type="dxa"/>
                  <w:tcBorders>
                    <w:top w:val="nil"/>
                    <w:left w:val="nil"/>
                    <w:bottom w:val="nil"/>
                    <w:right w:val="nil"/>
                  </w:tcBorders>
                </w:tcPr>
                <w:p w14:paraId="5F47364B" w14:textId="77777777" w:rsidR="0011422E" w:rsidRDefault="0011422E">
                  <w:pPr>
                    <w:widowControl w:val="0"/>
                    <w:autoSpaceDE w:val="0"/>
                    <w:autoSpaceDN w:val="0"/>
                    <w:adjustRightInd w:val="0"/>
                    <w:rPr>
                      <w:rFonts w:ascii="Georgia" w:hAnsi="Georgia" w:cs="Georgia"/>
                      <w:color w:val="410011"/>
                      <w:sz w:val="20"/>
                      <w:szCs w:val="20"/>
                    </w:rPr>
                  </w:pPr>
                  <w:r>
                    <w:rPr>
                      <w:rFonts w:ascii="Georgia" w:hAnsi="Georgia" w:cs="Georgia"/>
                      <w:color w:val="410011"/>
                      <w:sz w:val="20"/>
                      <w:szCs w:val="20"/>
                    </w:rPr>
                    <w:t>•</w:t>
                  </w:r>
                </w:p>
              </w:tc>
              <w:tc>
                <w:tcPr>
                  <w:tcW w:w="8567" w:type="dxa"/>
                  <w:tcBorders>
                    <w:top w:val="nil"/>
                    <w:left w:val="nil"/>
                    <w:bottom w:val="nil"/>
                    <w:right w:val="nil"/>
                  </w:tcBorders>
                </w:tcPr>
                <w:p w14:paraId="49FAC69E" w14:textId="77777777" w:rsidR="0011422E" w:rsidRDefault="00853123">
                  <w:pPr>
                    <w:widowControl w:val="0"/>
                    <w:autoSpaceDE w:val="0"/>
                    <w:autoSpaceDN w:val="0"/>
                    <w:adjustRightInd w:val="0"/>
                    <w:rPr>
                      <w:rFonts w:ascii="Georgia" w:hAnsi="Georgia" w:cs="Georgia"/>
                      <w:color w:val="410011"/>
                      <w:sz w:val="20"/>
                      <w:szCs w:val="20"/>
                    </w:rPr>
                  </w:pPr>
                  <w:hyperlink r:id="rId18" w:history="1">
                    <w:r w:rsidR="0011422E">
                      <w:rPr>
                        <w:rFonts w:ascii="Georgia" w:hAnsi="Georgia" w:cs="Georgia"/>
                        <w:color w:val="410011"/>
                        <w:sz w:val="20"/>
                        <w:szCs w:val="20"/>
                      </w:rPr>
                      <w:t>Publications</w:t>
                    </w:r>
                  </w:hyperlink>
                </w:p>
              </w:tc>
            </w:tr>
            <w:tr w:rsidR="0011422E" w14:paraId="31A2DC01" w14:textId="77777777" w:rsidTr="0011422E">
              <w:tblPrEx>
                <w:tblBorders>
                  <w:top w:val="none" w:sz="0" w:space="0" w:color="auto"/>
                </w:tblBorders>
              </w:tblPrEx>
              <w:trPr>
                <w:trHeight w:val="233"/>
              </w:trPr>
              <w:tc>
                <w:tcPr>
                  <w:tcW w:w="193" w:type="dxa"/>
                  <w:tcBorders>
                    <w:top w:val="nil"/>
                    <w:left w:val="nil"/>
                    <w:bottom w:val="nil"/>
                    <w:right w:val="nil"/>
                  </w:tcBorders>
                </w:tcPr>
                <w:p w14:paraId="5924C390" w14:textId="77777777" w:rsidR="0011422E" w:rsidRDefault="0011422E">
                  <w:pPr>
                    <w:widowControl w:val="0"/>
                    <w:autoSpaceDE w:val="0"/>
                    <w:autoSpaceDN w:val="0"/>
                    <w:adjustRightInd w:val="0"/>
                    <w:rPr>
                      <w:rFonts w:ascii="Georgia" w:hAnsi="Georgia" w:cs="Georgia"/>
                      <w:color w:val="410011"/>
                      <w:sz w:val="20"/>
                      <w:szCs w:val="20"/>
                    </w:rPr>
                  </w:pPr>
                  <w:r>
                    <w:rPr>
                      <w:rFonts w:ascii="Georgia" w:hAnsi="Georgia" w:cs="Georgia"/>
                      <w:color w:val="410011"/>
                      <w:sz w:val="20"/>
                      <w:szCs w:val="20"/>
                    </w:rPr>
                    <w:t>•</w:t>
                  </w:r>
                </w:p>
              </w:tc>
              <w:tc>
                <w:tcPr>
                  <w:tcW w:w="8567" w:type="dxa"/>
                  <w:tcBorders>
                    <w:top w:val="nil"/>
                    <w:left w:val="nil"/>
                    <w:bottom w:val="nil"/>
                    <w:right w:val="nil"/>
                  </w:tcBorders>
                </w:tcPr>
                <w:p w14:paraId="726F4479" w14:textId="77777777" w:rsidR="0011422E" w:rsidRDefault="00853123">
                  <w:pPr>
                    <w:widowControl w:val="0"/>
                    <w:autoSpaceDE w:val="0"/>
                    <w:autoSpaceDN w:val="0"/>
                    <w:adjustRightInd w:val="0"/>
                    <w:rPr>
                      <w:rFonts w:ascii="Georgia" w:hAnsi="Georgia" w:cs="Georgia"/>
                      <w:color w:val="410011"/>
                      <w:sz w:val="20"/>
                      <w:szCs w:val="20"/>
                    </w:rPr>
                  </w:pPr>
                  <w:hyperlink r:id="rId19" w:history="1">
                    <w:r w:rsidR="0011422E">
                      <w:rPr>
                        <w:rFonts w:ascii="Georgia" w:hAnsi="Georgia" w:cs="Georgia"/>
                        <w:color w:val="410011"/>
                        <w:sz w:val="20"/>
                        <w:szCs w:val="20"/>
                      </w:rPr>
                      <w:t>Vita</w:t>
                    </w:r>
                  </w:hyperlink>
                </w:p>
              </w:tc>
            </w:tr>
            <w:tr w:rsidR="0011422E" w14:paraId="64FD4C1B" w14:textId="77777777" w:rsidTr="0011422E">
              <w:tblPrEx>
                <w:tblBorders>
                  <w:top w:val="none" w:sz="0" w:space="0" w:color="auto"/>
                </w:tblBorders>
              </w:tblPrEx>
              <w:trPr>
                <w:trHeight w:val="233"/>
              </w:trPr>
              <w:tc>
                <w:tcPr>
                  <w:tcW w:w="193" w:type="dxa"/>
                  <w:tcBorders>
                    <w:top w:val="nil"/>
                    <w:left w:val="nil"/>
                    <w:bottom w:val="nil"/>
                    <w:right w:val="nil"/>
                  </w:tcBorders>
                </w:tcPr>
                <w:p w14:paraId="4FDEEA8E" w14:textId="77777777" w:rsidR="0011422E" w:rsidRDefault="0011422E">
                  <w:pPr>
                    <w:widowControl w:val="0"/>
                    <w:autoSpaceDE w:val="0"/>
                    <w:autoSpaceDN w:val="0"/>
                    <w:adjustRightInd w:val="0"/>
                    <w:rPr>
                      <w:rFonts w:ascii="Georgia" w:hAnsi="Georgia" w:cs="Georgia"/>
                      <w:color w:val="410011"/>
                      <w:sz w:val="20"/>
                      <w:szCs w:val="20"/>
                    </w:rPr>
                  </w:pPr>
                  <w:r>
                    <w:rPr>
                      <w:rFonts w:ascii="Georgia" w:hAnsi="Georgia" w:cs="Georgia"/>
                      <w:color w:val="410011"/>
                      <w:sz w:val="20"/>
                      <w:szCs w:val="20"/>
                    </w:rPr>
                    <w:t>•</w:t>
                  </w:r>
                </w:p>
              </w:tc>
              <w:tc>
                <w:tcPr>
                  <w:tcW w:w="8567" w:type="dxa"/>
                  <w:tcBorders>
                    <w:top w:val="nil"/>
                    <w:left w:val="nil"/>
                    <w:bottom w:val="nil"/>
                    <w:right w:val="nil"/>
                  </w:tcBorders>
                </w:tcPr>
                <w:p w14:paraId="35D91B69" w14:textId="77777777" w:rsidR="0011422E" w:rsidRDefault="00853123">
                  <w:pPr>
                    <w:widowControl w:val="0"/>
                    <w:autoSpaceDE w:val="0"/>
                    <w:autoSpaceDN w:val="0"/>
                    <w:adjustRightInd w:val="0"/>
                    <w:rPr>
                      <w:rFonts w:ascii="Georgia" w:hAnsi="Georgia" w:cs="Georgia"/>
                      <w:color w:val="410011"/>
                      <w:sz w:val="20"/>
                      <w:szCs w:val="20"/>
                    </w:rPr>
                  </w:pPr>
                  <w:hyperlink r:id="rId20" w:history="1">
                    <w:r w:rsidR="0011422E">
                      <w:rPr>
                        <w:rFonts w:ascii="Georgia" w:hAnsi="Georgia" w:cs="Georgia"/>
                        <w:color w:val="410011"/>
                        <w:sz w:val="20"/>
                        <w:szCs w:val="20"/>
                      </w:rPr>
                      <w:t>Course Materials</w:t>
                    </w:r>
                  </w:hyperlink>
                </w:p>
              </w:tc>
            </w:tr>
            <w:tr w:rsidR="0011422E" w14:paraId="0AC11135" w14:textId="77777777" w:rsidTr="0011422E">
              <w:trPr>
                <w:trHeight w:val="446"/>
              </w:trPr>
              <w:tc>
                <w:tcPr>
                  <w:tcW w:w="193" w:type="dxa"/>
                  <w:tcBorders>
                    <w:top w:val="nil"/>
                    <w:left w:val="nil"/>
                    <w:bottom w:val="nil"/>
                    <w:right w:val="nil"/>
                  </w:tcBorders>
                </w:tcPr>
                <w:p w14:paraId="645D9427" w14:textId="77777777" w:rsidR="0011422E" w:rsidRDefault="0011422E">
                  <w:pPr>
                    <w:widowControl w:val="0"/>
                    <w:autoSpaceDE w:val="0"/>
                    <w:autoSpaceDN w:val="0"/>
                    <w:adjustRightInd w:val="0"/>
                    <w:rPr>
                      <w:rFonts w:ascii="Georgia" w:hAnsi="Georgia" w:cs="Georgia"/>
                      <w:color w:val="410011"/>
                      <w:sz w:val="20"/>
                      <w:szCs w:val="20"/>
                    </w:rPr>
                  </w:pPr>
                  <w:r>
                    <w:rPr>
                      <w:rFonts w:ascii="Georgia" w:hAnsi="Georgia" w:cs="Georgia"/>
                      <w:color w:val="410011"/>
                      <w:sz w:val="20"/>
                      <w:szCs w:val="20"/>
                    </w:rPr>
                    <w:t>•</w:t>
                  </w:r>
                </w:p>
              </w:tc>
              <w:tc>
                <w:tcPr>
                  <w:tcW w:w="8567" w:type="dxa"/>
                  <w:tcBorders>
                    <w:top w:val="nil"/>
                    <w:left w:val="nil"/>
                    <w:bottom w:val="nil"/>
                    <w:right w:val="nil"/>
                  </w:tcBorders>
                </w:tcPr>
                <w:p w14:paraId="75098F08" w14:textId="77777777" w:rsidR="0011422E" w:rsidRDefault="00853123">
                  <w:pPr>
                    <w:widowControl w:val="0"/>
                    <w:autoSpaceDE w:val="0"/>
                    <w:autoSpaceDN w:val="0"/>
                    <w:adjustRightInd w:val="0"/>
                    <w:rPr>
                      <w:rFonts w:ascii="Georgia" w:hAnsi="Georgia" w:cs="Georgia"/>
                      <w:color w:val="410011"/>
                      <w:sz w:val="20"/>
                      <w:szCs w:val="20"/>
                    </w:rPr>
                  </w:pPr>
                  <w:hyperlink r:id="rId21" w:history="1">
                    <w:r w:rsidR="0011422E">
                      <w:rPr>
                        <w:rFonts w:ascii="Georgia" w:hAnsi="Georgia" w:cs="Georgia"/>
                        <w:color w:val="410011"/>
                        <w:sz w:val="20"/>
                        <w:szCs w:val="20"/>
                      </w:rPr>
                      <w:t>Social Science Research Network Homepage</w:t>
                    </w:r>
                  </w:hyperlink>
                </w:p>
              </w:tc>
            </w:tr>
          </w:tbl>
          <w:p w14:paraId="2BBDD5ED" w14:textId="77777777" w:rsidR="0011422E" w:rsidRDefault="0011422E">
            <w:pPr>
              <w:widowControl w:val="0"/>
              <w:autoSpaceDE w:val="0"/>
              <w:autoSpaceDN w:val="0"/>
              <w:adjustRightInd w:val="0"/>
              <w:spacing w:after="200"/>
              <w:rPr>
                <w:rFonts w:ascii="Verdana" w:hAnsi="Verdana" w:cs="Verdana"/>
                <w:sz w:val="20"/>
                <w:szCs w:val="20"/>
              </w:rPr>
            </w:pPr>
            <w:r>
              <w:rPr>
                <w:rFonts w:ascii="Verdana" w:hAnsi="Verdana" w:cs="Verdana"/>
                <w:sz w:val="20"/>
                <w:szCs w:val="20"/>
              </w:rPr>
              <w:t xml:space="preserve">A recognized authority on partnerships, fiduciary duties, and real estate finance, Dean Weidner is co-author of </w:t>
            </w:r>
            <w:r>
              <w:rPr>
                <w:rFonts w:ascii="Verdana" w:hAnsi="Verdana" w:cs="Verdana"/>
                <w:i/>
                <w:iCs/>
                <w:sz w:val="20"/>
                <w:szCs w:val="20"/>
              </w:rPr>
              <w:t>The Revised Uniform Partnership Act</w:t>
            </w:r>
            <w:r>
              <w:rPr>
                <w:rFonts w:ascii="Verdana" w:hAnsi="Verdana" w:cs="Verdana"/>
                <w:sz w:val="20"/>
                <w:szCs w:val="20"/>
              </w:rPr>
              <w:t xml:space="preserve"> (West Group, 1998-2011). He also has written on academic freedom, the taxation of real estate transactions and organizations, and on the use of special purpose entities. Weidner teaches Property, Agency and Partnership, and Real Estate Finance.</w:t>
            </w:r>
          </w:p>
          <w:p w14:paraId="2CC4BD5D" w14:textId="77777777" w:rsidR="0011422E" w:rsidRDefault="0011422E">
            <w:pPr>
              <w:widowControl w:val="0"/>
              <w:autoSpaceDE w:val="0"/>
              <w:autoSpaceDN w:val="0"/>
              <w:adjustRightInd w:val="0"/>
              <w:rPr>
                <w:rFonts w:ascii="Verdana" w:hAnsi="Verdana" w:cs="Verdana"/>
                <w:sz w:val="20"/>
                <w:szCs w:val="20"/>
              </w:rPr>
            </w:pPr>
            <w:r>
              <w:rPr>
                <w:rFonts w:ascii="Verdana" w:hAnsi="Verdana" w:cs="Verdana"/>
                <w:sz w:val="20"/>
                <w:szCs w:val="20"/>
              </w:rPr>
              <w:t xml:space="preserve">A member of the American Law Institute and Reporter for the Uniform Partnership Act, he served as Dean of Florida State University College of Law from 1991-1997, as Interim Dean from 1998-2000, and as Dean from 2000-present. He has also served as a Visiting Professor at the law schools of University of Texas, University of New Mexico, Stanford University and University of North Carolina. He began his legal career at the New York firm of Willkie Farr &amp; Gallagher. Dean Weidner is an honors graduate of University of Texas Law School, where he was project editor of the </w:t>
            </w:r>
            <w:r>
              <w:rPr>
                <w:rFonts w:ascii="Verdana" w:hAnsi="Verdana" w:cs="Verdana"/>
                <w:i/>
                <w:iCs/>
                <w:sz w:val="20"/>
                <w:szCs w:val="20"/>
              </w:rPr>
              <w:t>Texas Law Review</w:t>
            </w:r>
            <w:r>
              <w:rPr>
                <w:rFonts w:ascii="Verdana" w:hAnsi="Verdana" w:cs="Verdana"/>
                <w:sz w:val="20"/>
                <w:szCs w:val="20"/>
              </w:rPr>
              <w:t>.</w:t>
            </w:r>
          </w:p>
        </w:tc>
      </w:tr>
    </w:tbl>
    <w:p w14:paraId="568EF79B" w14:textId="77777777" w:rsidR="0011422E" w:rsidRDefault="0011422E" w:rsidP="0011422E"/>
    <w:sectPr w:rsidR="0011422E" w:rsidSect="008D75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73931A7"/>
    <w:multiLevelType w:val="hybridMultilevel"/>
    <w:tmpl w:val="AE7ECD10"/>
    <w:lvl w:ilvl="0" w:tplc="C778BB8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2E"/>
    <w:rsid w:val="0011422E"/>
    <w:rsid w:val="00667AE1"/>
    <w:rsid w:val="00853123"/>
    <w:rsid w:val="008D752E"/>
    <w:rsid w:val="00B82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B27F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2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422E"/>
    <w:rPr>
      <w:rFonts w:ascii="Lucida Grande" w:hAnsi="Lucida Grande" w:cs="Lucida Grande"/>
      <w:sz w:val="18"/>
      <w:szCs w:val="18"/>
    </w:rPr>
  </w:style>
  <w:style w:type="paragraph" w:styleId="ListParagraph">
    <w:name w:val="List Paragraph"/>
    <w:basedOn w:val="Normal"/>
    <w:uiPriority w:val="34"/>
    <w:qFormat/>
    <w:rsid w:val="0011422E"/>
    <w:pPr>
      <w:ind w:left="720"/>
      <w:contextualSpacing/>
    </w:pPr>
  </w:style>
  <w:style w:type="character" w:styleId="Hyperlink">
    <w:name w:val="Hyperlink"/>
    <w:basedOn w:val="DefaultParagraphFont"/>
    <w:uiPriority w:val="99"/>
    <w:unhideWhenUsed/>
    <w:rsid w:val="0011422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2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422E"/>
    <w:rPr>
      <w:rFonts w:ascii="Lucida Grande" w:hAnsi="Lucida Grande" w:cs="Lucida Grande"/>
      <w:sz w:val="18"/>
      <w:szCs w:val="18"/>
    </w:rPr>
  </w:style>
  <w:style w:type="paragraph" w:styleId="ListParagraph">
    <w:name w:val="List Paragraph"/>
    <w:basedOn w:val="Normal"/>
    <w:uiPriority w:val="34"/>
    <w:qFormat/>
    <w:rsid w:val="0011422E"/>
    <w:pPr>
      <w:ind w:left="720"/>
      <w:contextualSpacing/>
    </w:pPr>
  </w:style>
  <w:style w:type="character" w:styleId="Hyperlink">
    <w:name w:val="Hyperlink"/>
    <w:basedOn w:val="DefaultParagraphFont"/>
    <w:uiPriority w:val="99"/>
    <w:unhideWhenUsed/>
    <w:rsid w:val="001142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gif"/><Relationship Id="rId20" Type="http://schemas.openxmlformats.org/officeDocument/2006/relationships/hyperlink" Target="http://www.law.fsu.edu/faculty/profiles/Weidner/index.html" TargetMode="External"/><Relationship Id="rId21" Type="http://schemas.openxmlformats.org/officeDocument/2006/relationships/hyperlink" Target="http://papers.ssrn.com/sol3/cf_dev/AbsByAuth.cfm?per_id=220094"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hklaw.com/louis-conti/publications/" TargetMode="External"/><Relationship Id="rId11" Type="http://schemas.openxmlformats.org/officeDocument/2006/relationships/hyperlink" Target="http://www.hklaw.com/louis-conti/firmevents/" TargetMode="External"/><Relationship Id="rId12" Type="http://schemas.openxmlformats.org/officeDocument/2006/relationships/hyperlink" Target="http://www.hklaw.com/Louis-Conti/" TargetMode="External"/><Relationship Id="rId13" Type="http://schemas.openxmlformats.org/officeDocument/2006/relationships/hyperlink" Target="javascript:SendMail('henry.kittleson','hklaw.com');" TargetMode="External"/><Relationship Id="rId14" Type="http://schemas.openxmlformats.org/officeDocument/2006/relationships/hyperlink" Target="http://www.hklaw.com/load.vcf?type=atty&amp;id=188cd439-0f77-445e-8a95-d0745dd67a37" TargetMode="External"/><Relationship Id="rId15" Type="http://schemas.openxmlformats.org/officeDocument/2006/relationships/hyperlink" Target="http://www.hklaw.com/HenryKittleson/" TargetMode="External"/><Relationship Id="rId16" Type="http://schemas.openxmlformats.org/officeDocument/2006/relationships/hyperlink" Target="http://www.yelp.com/c/tallahassee-fl-us/lawyers" TargetMode="External"/><Relationship Id="rId17" Type="http://schemas.openxmlformats.org/officeDocument/2006/relationships/hyperlink" Target="http://www.yelp.com/biz_attribute?biz_id=9b1dtFxfeLBnBexzjz6mOw" TargetMode="External"/><Relationship Id="rId18" Type="http://schemas.openxmlformats.org/officeDocument/2006/relationships/hyperlink" Target="http://www.law.fsu.edu/faculty/profiles/Weidner/pubs.pdf" TargetMode="External"/><Relationship Id="rId19" Type="http://schemas.openxmlformats.org/officeDocument/2006/relationships/hyperlink" Target="http://www.law.fsu.edu/faculty/profiles/weidner/vita_new.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b@nova.edu" TargetMode="External"/><Relationship Id="rId7" Type="http://schemas.openxmlformats.org/officeDocument/2006/relationships/hyperlink" Target="javascript:SendMail('louis.conti','hklaw.com');" TargetMode="External"/><Relationship Id="rId8" Type="http://schemas.openxmlformats.org/officeDocument/2006/relationships/hyperlink" Target="http://www.hklaw.com/load.vcf?type=atty&amp;id=0d5c664f-fdf7-4bd9-b6b5-b9466a94cd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1574</Words>
  <Characters>8978</Characters>
  <Application>Microsoft Macintosh Word</Application>
  <DocSecurity>0</DocSecurity>
  <Lines>74</Lines>
  <Paragraphs>21</Paragraphs>
  <ScaleCrop>false</ScaleCrop>
  <Company>Florida Apartment Association</Company>
  <LinksUpToDate>false</LinksUpToDate>
  <CharactersWithSpaces>10531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Heiselman</dc:creator>
  <cp:keywords/>
  <dc:description/>
  <cp:lastModifiedBy>Laura Heiselman</cp:lastModifiedBy>
  <cp:revision>2</cp:revision>
  <dcterms:created xsi:type="dcterms:W3CDTF">2013-08-27T19:45:00Z</dcterms:created>
  <dcterms:modified xsi:type="dcterms:W3CDTF">2013-08-27T19:45:00Z</dcterms:modified>
</cp:coreProperties>
</file>