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1AD5" w14:textId="77777777" w:rsidR="00621043" w:rsidRDefault="00CC39B7" w:rsidP="00CC39B7">
      <w:pPr>
        <w:spacing w:line="480" w:lineRule="auto"/>
        <w:ind w:left="720" w:right="720"/>
        <w:jc w:val="center"/>
        <w:rPr>
          <w:rFonts w:ascii="Courier" w:hAnsi="Courier"/>
          <w:sz w:val="22"/>
          <w:szCs w:val="22"/>
        </w:rPr>
      </w:pPr>
      <w:r>
        <w:rPr>
          <w:rFonts w:ascii="Courier" w:hAnsi="Courier"/>
          <w:sz w:val="22"/>
          <w:szCs w:val="22"/>
        </w:rPr>
        <w:t>A bill to be entitled</w:t>
      </w:r>
    </w:p>
    <w:p w14:paraId="312D2709" w14:textId="60CCF97C" w:rsidR="00A26229" w:rsidRDefault="000B6D9F" w:rsidP="00CC39B7">
      <w:pPr>
        <w:spacing w:line="480" w:lineRule="auto"/>
        <w:ind w:left="720" w:right="720"/>
        <w:rPr>
          <w:rFonts w:ascii="Courier" w:hAnsi="Courier"/>
          <w:sz w:val="22"/>
          <w:szCs w:val="22"/>
        </w:rPr>
      </w:pPr>
      <w:r w:rsidRPr="000B6D9F">
        <w:rPr>
          <w:rFonts w:ascii="Courier" w:hAnsi="Courier"/>
          <w:sz w:val="22"/>
          <w:szCs w:val="22"/>
        </w:rPr>
        <w:t xml:space="preserve">An act relating to public procurement and public-private partnerships; amending ss. 255.065 and 287.055, Florida Statutes; reconciling conflicts between the Consultants’ Competitive Negotiation Act and the </w:t>
      </w:r>
      <w:r w:rsidR="00DD44B6">
        <w:rPr>
          <w:rFonts w:ascii="Courier" w:hAnsi="Courier"/>
          <w:sz w:val="22"/>
          <w:szCs w:val="22"/>
        </w:rPr>
        <w:t>P</w:t>
      </w:r>
      <w:r w:rsidRPr="000B6D9F">
        <w:rPr>
          <w:rFonts w:ascii="Courier" w:hAnsi="Courier"/>
          <w:sz w:val="22"/>
          <w:szCs w:val="22"/>
        </w:rPr>
        <w:t>ublic-private partnership</w:t>
      </w:r>
      <w:r w:rsidR="00DD44B6">
        <w:rPr>
          <w:rFonts w:ascii="Courier" w:hAnsi="Courier"/>
          <w:sz w:val="22"/>
          <w:szCs w:val="22"/>
        </w:rPr>
        <w:t>s</w:t>
      </w:r>
      <w:r w:rsidRPr="000B6D9F">
        <w:rPr>
          <w:rFonts w:ascii="Courier" w:hAnsi="Courier"/>
          <w:sz w:val="22"/>
          <w:szCs w:val="22"/>
        </w:rPr>
        <w:t xml:space="preserve"> </w:t>
      </w:r>
      <w:r w:rsidR="00534BD4">
        <w:rPr>
          <w:rFonts w:ascii="Courier" w:hAnsi="Courier"/>
          <w:sz w:val="22"/>
          <w:szCs w:val="22"/>
        </w:rPr>
        <w:t>law</w:t>
      </w:r>
      <w:r w:rsidRPr="000B6D9F">
        <w:rPr>
          <w:rFonts w:ascii="Courier" w:hAnsi="Courier"/>
          <w:sz w:val="22"/>
          <w:szCs w:val="22"/>
        </w:rPr>
        <w:t xml:space="preserve">; clarifying procurement procedures applicable to unsolicited public-private partnership proposals; authorizing negotiations without competitive solicitation in specified circumstances; permitting shortlisting and ranking when fewer than three firms respond or are qualified; clarifying the use and scope of continuing services contracts; providing procedures for the solicitation of public-private partnership projects subject to the Consultants’ Competitive Negotiation Act; providing guidance for </w:t>
      </w:r>
      <w:r w:rsidR="00197E92">
        <w:rPr>
          <w:rFonts w:ascii="Courier" w:hAnsi="Courier"/>
          <w:sz w:val="22"/>
          <w:szCs w:val="22"/>
        </w:rPr>
        <w:t>phased</w:t>
      </w:r>
      <w:r w:rsidR="00197E92" w:rsidRPr="000B6D9F">
        <w:rPr>
          <w:rFonts w:ascii="Courier" w:hAnsi="Courier"/>
          <w:sz w:val="22"/>
          <w:szCs w:val="22"/>
        </w:rPr>
        <w:t xml:space="preserve"> </w:t>
      </w:r>
      <w:r w:rsidRPr="000B6D9F">
        <w:rPr>
          <w:rFonts w:ascii="Courier" w:hAnsi="Courier"/>
          <w:sz w:val="22"/>
          <w:szCs w:val="22"/>
        </w:rPr>
        <w:t xml:space="preserve">design-build and integrated project delivery procurements; reconciling competitive solicitation procedures with the Sunshine Law; clarifying responsibility for </w:t>
      </w:r>
      <w:r w:rsidR="00D54D35">
        <w:rPr>
          <w:rFonts w:ascii="Courier" w:hAnsi="Courier"/>
          <w:sz w:val="22"/>
          <w:szCs w:val="22"/>
        </w:rPr>
        <w:t xml:space="preserve">procurement of </w:t>
      </w:r>
      <w:r w:rsidRPr="000B6D9F">
        <w:rPr>
          <w:rFonts w:ascii="Courier" w:hAnsi="Courier"/>
          <w:sz w:val="22"/>
          <w:szCs w:val="22"/>
        </w:rPr>
        <w:t>performance and payment bonds in public-private partnership projects; reinstating public records and public meeting exemptions for unsolicited public-private partnership proposals; providing for sunset review of exemptions; providing construction; and providing an effective date.</w:t>
      </w:r>
    </w:p>
    <w:p w14:paraId="2C3F4CF4" w14:textId="77777777" w:rsidR="000B6D9F" w:rsidRDefault="000B6D9F" w:rsidP="00307A1F">
      <w:pPr>
        <w:spacing w:line="480" w:lineRule="auto"/>
        <w:ind w:right="720"/>
        <w:rPr>
          <w:rFonts w:ascii="Courier" w:hAnsi="Courier"/>
          <w:sz w:val="22"/>
          <w:szCs w:val="22"/>
        </w:rPr>
      </w:pPr>
    </w:p>
    <w:p w14:paraId="1377E776" w14:textId="77777777" w:rsidR="00CC39B7" w:rsidRDefault="00270734" w:rsidP="00CC39B7">
      <w:pPr>
        <w:spacing w:line="480" w:lineRule="auto"/>
        <w:ind w:left="180" w:right="720"/>
        <w:rPr>
          <w:rFonts w:ascii="Courier" w:hAnsi="Courier"/>
          <w:sz w:val="22"/>
          <w:szCs w:val="22"/>
        </w:rPr>
      </w:pPr>
      <w:r w:rsidRPr="00CC39B7">
        <w:rPr>
          <w:rFonts w:ascii="Courier" w:hAnsi="Courier"/>
          <w:sz w:val="22"/>
          <w:szCs w:val="22"/>
        </w:rPr>
        <w:lastRenderedPageBreak/>
        <w:t>Be It Enacted by the Legislature of the State of Florida:</w:t>
      </w:r>
      <w:r w:rsidRPr="00CC39B7">
        <w:rPr>
          <w:rFonts w:ascii="Courier" w:hAnsi="Courier"/>
          <w:sz w:val="22"/>
          <w:szCs w:val="22"/>
        </w:rPr>
        <w:cr/>
      </w:r>
      <w:r w:rsidR="00BF6E31">
        <w:rPr>
          <w:rFonts w:ascii="Courier" w:hAnsi="Courier"/>
          <w:sz w:val="22"/>
          <w:szCs w:val="22"/>
        </w:rPr>
        <w:tab/>
        <w:t>[PREAMBLE – to be added by the Legislature]</w:t>
      </w:r>
    </w:p>
    <w:p w14:paraId="284F89E2" w14:textId="77777777" w:rsidR="00D55227" w:rsidRDefault="00D55227" w:rsidP="00CC39B7">
      <w:pPr>
        <w:spacing w:line="480" w:lineRule="auto"/>
        <w:ind w:left="180" w:right="720"/>
        <w:rPr>
          <w:rFonts w:ascii="Courier" w:hAnsi="Courier"/>
          <w:sz w:val="22"/>
          <w:szCs w:val="22"/>
        </w:rPr>
      </w:pPr>
    </w:p>
    <w:p w14:paraId="79F763E5" w14:textId="6F988133" w:rsidR="00CC39B7" w:rsidRPr="00C34A4E" w:rsidRDefault="00270734" w:rsidP="00CC39B7">
      <w:pPr>
        <w:spacing w:line="480" w:lineRule="auto"/>
        <w:ind w:left="180" w:right="720"/>
        <w:rPr>
          <w:rFonts w:ascii="Courier" w:hAnsi="Courier"/>
          <w:sz w:val="22"/>
          <w:szCs w:val="22"/>
          <w:u w:val="single"/>
        </w:rPr>
      </w:pPr>
      <w:r>
        <w:rPr>
          <w:rFonts w:ascii="Courier" w:hAnsi="Courier"/>
          <w:sz w:val="22"/>
          <w:szCs w:val="22"/>
        </w:rPr>
        <w:tab/>
      </w:r>
      <w:r w:rsidR="00FF3DE9" w:rsidRPr="00C34A4E">
        <w:rPr>
          <w:rFonts w:ascii="Courier" w:hAnsi="Courier"/>
          <w:sz w:val="22"/>
          <w:szCs w:val="22"/>
          <w:u w:val="single"/>
        </w:rPr>
        <w:t>Section 1.</w:t>
      </w:r>
    </w:p>
    <w:p w14:paraId="22C033B7" w14:textId="77777777" w:rsidR="00A26229" w:rsidRDefault="00A26229" w:rsidP="00CC39B7">
      <w:pPr>
        <w:spacing w:line="480" w:lineRule="auto"/>
        <w:ind w:left="180" w:right="720"/>
        <w:rPr>
          <w:rFonts w:ascii="Courier" w:hAnsi="Courier"/>
          <w:sz w:val="22"/>
          <w:szCs w:val="22"/>
        </w:rPr>
      </w:pPr>
      <w:r w:rsidRPr="00A26229">
        <w:rPr>
          <w:rFonts w:ascii="Courier" w:hAnsi="Courier"/>
          <w:sz w:val="22"/>
          <w:szCs w:val="22"/>
        </w:rPr>
        <w:t>Paragraph (f) of subsection (14) of section 255.065, Florida Statutes, is amended to read:</w:t>
      </w:r>
    </w:p>
    <w:p w14:paraId="428CC022" w14:textId="77777777" w:rsidR="00A26229" w:rsidRDefault="00A26229" w:rsidP="00CC39B7">
      <w:pPr>
        <w:spacing w:line="480" w:lineRule="auto"/>
        <w:ind w:left="180" w:right="720"/>
        <w:rPr>
          <w:rFonts w:ascii="Courier" w:hAnsi="Courier"/>
          <w:sz w:val="22"/>
          <w:szCs w:val="22"/>
        </w:rPr>
      </w:pPr>
      <w:r>
        <w:rPr>
          <w:rFonts w:ascii="Courier" w:hAnsi="Courier"/>
          <w:sz w:val="22"/>
          <w:szCs w:val="22"/>
        </w:rPr>
        <w:tab/>
      </w:r>
      <w:r w:rsidRPr="00A26229">
        <w:rPr>
          <w:rFonts w:ascii="Courier" w:hAnsi="Courier"/>
          <w:sz w:val="22"/>
          <w:szCs w:val="22"/>
        </w:rPr>
        <w:t>255.065 Public-private partnerships.—</w:t>
      </w:r>
    </w:p>
    <w:p w14:paraId="2CB3AB39" w14:textId="77777777" w:rsidR="00A26229" w:rsidRDefault="00A26229" w:rsidP="00CC39B7">
      <w:pPr>
        <w:spacing w:line="480" w:lineRule="auto"/>
        <w:ind w:left="180" w:right="720"/>
        <w:rPr>
          <w:rFonts w:ascii="Courier" w:hAnsi="Courier"/>
          <w:sz w:val="22"/>
          <w:szCs w:val="22"/>
        </w:rPr>
      </w:pPr>
      <w:r>
        <w:rPr>
          <w:rFonts w:ascii="Courier" w:hAnsi="Courier"/>
          <w:sz w:val="22"/>
          <w:szCs w:val="22"/>
        </w:rPr>
        <w:tab/>
      </w:r>
      <w:r w:rsidRPr="00A26229">
        <w:rPr>
          <w:rFonts w:ascii="Courier" w:hAnsi="Courier"/>
          <w:sz w:val="22"/>
          <w:szCs w:val="22"/>
        </w:rPr>
        <w:t>(14) CONSTRUCTION.—</w:t>
      </w:r>
    </w:p>
    <w:p w14:paraId="03BC7F81" w14:textId="08BED407" w:rsidR="00A26229" w:rsidRPr="00A26229" w:rsidRDefault="00A26229" w:rsidP="00CC39B7">
      <w:pPr>
        <w:spacing w:line="480" w:lineRule="auto"/>
        <w:ind w:left="180" w:right="720"/>
        <w:rPr>
          <w:rFonts w:ascii="Courier" w:hAnsi="Courier"/>
          <w:sz w:val="22"/>
          <w:szCs w:val="22"/>
          <w:u w:val="single"/>
        </w:rPr>
      </w:pPr>
      <w:r>
        <w:rPr>
          <w:rFonts w:ascii="Courier" w:hAnsi="Courier"/>
          <w:sz w:val="22"/>
          <w:szCs w:val="22"/>
        </w:rPr>
        <w:tab/>
      </w:r>
      <w:r w:rsidRPr="00A26229">
        <w:rPr>
          <w:rFonts w:ascii="Courier" w:hAnsi="Courier"/>
          <w:sz w:val="22"/>
          <w:szCs w:val="22"/>
        </w:rPr>
        <w:t xml:space="preserve">(f) </w:t>
      </w:r>
      <w:r w:rsidRPr="00A26229">
        <w:rPr>
          <w:rFonts w:ascii="Courier" w:hAnsi="Courier"/>
          <w:sz w:val="22"/>
          <w:szCs w:val="22"/>
          <w:u w:val="single"/>
        </w:rPr>
        <w:t xml:space="preserve">Except as otherwise provided in this section, </w:t>
      </w:r>
      <w:r w:rsidRPr="00C34A4E">
        <w:rPr>
          <w:rFonts w:ascii="Courier" w:hAnsi="Courier"/>
          <w:sz w:val="22"/>
          <w:szCs w:val="22"/>
          <w:u w:val="single"/>
        </w:rPr>
        <w:t>t</w:t>
      </w:r>
      <w:r w:rsidR="004774C6" w:rsidRPr="00C34A4E">
        <w:rPr>
          <w:rFonts w:ascii="Courier" w:hAnsi="Courier"/>
          <w:strike/>
          <w:sz w:val="22"/>
          <w:szCs w:val="22"/>
        </w:rPr>
        <w:t>T</w:t>
      </w:r>
      <w:r w:rsidRPr="00A26229">
        <w:rPr>
          <w:rFonts w:ascii="Courier" w:hAnsi="Courier"/>
          <w:sz w:val="22"/>
          <w:szCs w:val="22"/>
        </w:rPr>
        <w:t xml:space="preserve">his section does not waive any requirement of s. 287.055. </w:t>
      </w:r>
      <w:r w:rsidRPr="00A26229">
        <w:rPr>
          <w:rFonts w:ascii="Courier" w:hAnsi="Courier"/>
          <w:sz w:val="22"/>
          <w:szCs w:val="22"/>
          <w:u w:val="single"/>
        </w:rPr>
        <w:t xml:space="preserve">However, subject to </w:t>
      </w:r>
      <w:r w:rsidR="00F702B1">
        <w:rPr>
          <w:rFonts w:ascii="Courier" w:hAnsi="Courier"/>
          <w:sz w:val="22"/>
          <w:szCs w:val="22"/>
          <w:u w:val="single"/>
        </w:rPr>
        <w:t xml:space="preserve">compliance with the requirements of </w:t>
      </w:r>
      <w:r w:rsidRPr="00A26229">
        <w:rPr>
          <w:rFonts w:ascii="Courier" w:hAnsi="Courier"/>
          <w:sz w:val="22"/>
          <w:szCs w:val="22"/>
          <w:u w:val="single"/>
        </w:rPr>
        <w:t>subsection (3), if a responsible public entity receives an unsolicited proposal for a qualifying project that includes design-build services subject to s. 287.055, the responsible public entity is not required to solicit competitive proposals or initiate a competitive procurement process under s. 287.055 in order to evaluate or negotiate such unsolicited proposal.</w:t>
      </w:r>
    </w:p>
    <w:p w14:paraId="71742A83" w14:textId="77777777" w:rsidR="00A26229" w:rsidRDefault="00A26229" w:rsidP="00CC39B7">
      <w:pPr>
        <w:spacing w:line="480" w:lineRule="auto"/>
        <w:ind w:left="180" w:right="720"/>
        <w:rPr>
          <w:rFonts w:ascii="Courier" w:hAnsi="Courier"/>
          <w:sz w:val="22"/>
          <w:szCs w:val="22"/>
        </w:rPr>
      </w:pPr>
    </w:p>
    <w:p w14:paraId="108FDBB4" w14:textId="0272CD3C" w:rsidR="007A450A" w:rsidRDefault="007A450A" w:rsidP="00CC39B7">
      <w:pPr>
        <w:spacing w:line="480" w:lineRule="auto"/>
        <w:ind w:left="180" w:right="720"/>
        <w:rPr>
          <w:rFonts w:ascii="Courier" w:hAnsi="Courier"/>
          <w:sz w:val="22"/>
          <w:szCs w:val="22"/>
        </w:rPr>
      </w:pPr>
      <w:r w:rsidRPr="007A450A">
        <w:rPr>
          <w:rFonts w:ascii="Courier" w:hAnsi="Courier"/>
          <w:sz w:val="22"/>
          <w:szCs w:val="22"/>
        </w:rPr>
        <w:t>Subsection (5) of section 255.065, Florida Statutes, is amended to add the following language to paragraph (b):</w:t>
      </w:r>
    </w:p>
    <w:p w14:paraId="79EC4275" w14:textId="77777777" w:rsidR="007A450A" w:rsidRDefault="007A450A" w:rsidP="00CC39B7">
      <w:pPr>
        <w:spacing w:line="480" w:lineRule="auto"/>
        <w:ind w:left="180" w:right="720"/>
      </w:pPr>
      <w:r w:rsidRPr="007A450A">
        <w:rPr>
          <w:rFonts w:ascii="Courier" w:hAnsi="Courier"/>
          <w:sz w:val="22"/>
          <w:szCs w:val="22"/>
        </w:rPr>
        <w:t>(5) PROJECT QUALIFICATION AND PROCESS.—</w:t>
      </w:r>
      <w:r w:rsidRPr="007A450A">
        <w:t xml:space="preserve"> </w:t>
      </w:r>
    </w:p>
    <w:p w14:paraId="50BBC724" w14:textId="7BF29273" w:rsidR="004326C9" w:rsidRPr="00C34A4E" w:rsidRDefault="004326C9" w:rsidP="00CC39B7">
      <w:pPr>
        <w:spacing w:line="480" w:lineRule="auto"/>
        <w:ind w:left="180" w:right="720"/>
        <w:rPr>
          <w:rFonts w:ascii="Courier" w:hAnsi="Courier"/>
          <w:sz w:val="22"/>
          <w:szCs w:val="22"/>
        </w:rPr>
      </w:pPr>
      <w:r w:rsidRPr="00C34A4E">
        <w:rPr>
          <w:rFonts w:ascii="Courier" w:hAnsi="Courier"/>
          <w:sz w:val="22"/>
          <w:szCs w:val="22"/>
        </w:rPr>
        <w:t>…</w:t>
      </w:r>
    </w:p>
    <w:p w14:paraId="62751292" w14:textId="48A17358" w:rsidR="004326C9" w:rsidRDefault="007A450A" w:rsidP="00CC39B7">
      <w:pPr>
        <w:spacing w:line="480" w:lineRule="auto"/>
        <w:ind w:left="180" w:right="720"/>
        <w:rPr>
          <w:rFonts w:ascii="Courier" w:hAnsi="Courier"/>
          <w:sz w:val="22"/>
          <w:szCs w:val="22"/>
        </w:rPr>
      </w:pPr>
      <w:r w:rsidRPr="00C34A4E">
        <w:rPr>
          <w:rFonts w:ascii="Courier" w:hAnsi="Courier"/>
          <w:sz w:val="22"/>
          <w:szCs w:val="22"/>
        </w:rPr>
        <w:t>(</w:t>
      </w:r>
      <w:r w:rsidR="004326C9" w:rsidRPr="00C34A4E">
        <w:rPr>
          <w:rFonts w:ascii="Courier" w:hAnsi="Courier"/>
          <w:sz w:val="22"/>
          <w:szCs w:val="22"/>
        </w:rPr>
        <w:t>b</w:t>
      </w:r>
      <w:r w:rsidRPr="00C34A4E">
        <w:rPr>
          <w:rFonts w:ascii="Courier" w:hAnsi="Courier"/>
          <w:sz w:val="22"/>
          <w:szCs w:val="22"/>
        </w:rPr>
        <w:t xml:space="preserve">) </w:t>
      </w:r>
      <w:r w:rsidR="004326C9" w:rsidRPr="004326C9">
        <w:rPr>
          <w:rFonts w:ascii="Courier" w:hAnsi="Courier"/>
          <w:sz w:val="22"/>
          <w:szCs w:val="22"/>
        </w:rPr>
        <w:t>The responsible public entity must:</w:t>
      </w:r>
    </w:p>
    <w:p w14:paraId="77BE79F0" w14:textId="5622EC8F" w:rsidR="007A450A" w:rsidRPr="007A450A" w:rsidRDefault="004326C9" w:rsidP="00C34A4E">
      <w:pPr>
        <w:spacing w:line="480" w:lineRule="auto"/>
        <w:ind w:left="180" w:right="720" w:firstLine="540"/>
        <w:rPr>
          <w:rFonts w:ascii="Courier" w:hAnsi="Courier"/>
          <w:sz w:val="22"/>
          <w:szCs w:val="22"/>
          <w:u w:val="single"/>
        </w:rPr>
      </w:pPr>
      <w:r w:rsidRPr="004326C9">
        <w:rPr>
          <w:rFonts w:ascii="Courier" w:hAnsi="Courier"/>
          <w:sz w:val="22"/>
          <w:szCs w:val="22"/>
        </w:rPr>
        <w:t>1.</w:t>
      </w:r>
      <w:r w:rsidRPr="004326C9">
        <w:rPr>
          <w:rFonts w:ascii="Courier" w:hAnsi="Courier"/>
          <w:sz w:val="22"/>
          <w:szCs w:val="22"/>
        </w:rPr>
        <w:t> </w:t>
      </w:r>
      <w:r w:rsidRPr="004326C9">
        <w:rPr>
          <w:rFonts w:ascii="Courier" w:hAnsi="Courier"/>
          <w:sz w:val="22"/>
          <w:szCs w:val="22"/>
        </w:rPr>
        <w:t>Ensure that provision is made for the private entity’s performance and payment of subcontractors, including, but not limited to, surety bonds, letters of credit, parent company guarantees, and lender and equity partner guarantees. For the components of the qualifying project which involve construction performance and payment, bonds are required and are subject to the recordation, notice, suit limitation, and other requirements of s. </w:t>
      </w:r>
      <w:r w:rsidR="004355C2" w:rsidRPr="00C34A4E">
        <w:rPr>
          <w:rFonts w:ascii="Courier" w:hAnsi="Courier"/>
          <w:sz w:val="22"/>
          <w:szCs w:val="22"/>
        </w:rPr>
        <w:t>255.05</w:t>
      </w:r>
      <w:r w:rsidRPr="004326C9">
        <w:rPr>
          <w:rFonts w:ascii="Courier" w:hAnsi="Courier"/>
          <w:sz w:val="22"/>
          <w:szCs w:val="22"/>
        </w:rPr>
        <w:t>.</w:t>
      </w:r>
      <w:r w:rsidR="004355C2">
        <w:rPr>
          <w:rFonts w:ascii="Courier" w:hAnsi="Courier"/>
          <w:sz w:val="22"/>
          <w:szCs w:val="22"/>
        </w:rPr>
        <w:t xml:space="preserve"> </w:t>
      </w:r>
      <w:r w:rsidR="007A450A" w:rsidRPr="007A450A">
        <w:rPr>
          <w:rFonts w:ascii="Courier" w:hAnsi="Courier"/>
          <w:sz w:val="22"/>
          <w:szCs w:val="22"/>
          <w:u w:val="single"/>
        </w:rPr>
        <w:t>Regardless of whether the responsible public entity contracts directly with a developer or concessionaire or with a general contractor, the general contractor performing construction services is responsible for procuring performance and payment bonds required under s. 255.05.</w:t>
      </w:r>
    </w:p>
    <w:p w14:paraId="7A5769ED" w14:textId="77777777" w:rsidR="00680EDF" w:rsidRDefault="00680EDF" w:rsidP="00CC39B7">
      <w:pPr>
        <w:spacing w:line="480" w:lineRule="auto"/>
        <w:ind w:left="180" w:right="720"/>
        <w:rPr>
          <w:rFonts w:ascii="Courier" w:hAnsi="Courier"/>
          <w:sz w:val="22"/>
          <w:szCs w:val="22"/>
        </w:rPr>
      </w:pPr>
    </w:p>
    <w:p w14:paraId="6158DAB4" w14:textId="7CC3B082" w:rsidR="007A450A" w:rsidRDefault="007A450A" w:rsidP="00CC39B7">
      <w:pPr>
        <w:spacing w:line="480" w:lineRule="auto"/>
        <w:ind w:left="180" w:right="720"/>
        <w:rPr>
          <w:rFonts w:ascii="Courier" w:hAnsi="Courier"/>
          <w:sz w:val="22"/>
          <w:szCs w:val="22"/>
        </w:rPr>
      </w:pPr>
      <w:r w:rsidRPr="007A450A">
        <w:rPr>
          <w:rFonts w:ascii="Courier" w:hAnsi="Courier"/>
          <w:sz w:val="22"/>
          <w:szCs w:val="22"/>
        </w:rPr>
        <w:t>Paragraph (a) of subsection (7) of section 255.065, Florida Statutes, is amended to read:</w:t>
      </w:r>
    </w:p>
    <w:p w14:paraId="28CB2899" w14:textId="77777777" w:rsidR="007A450A" w:rsidRDefault="007A450A" w:rsidP="00CC39B7">
      <w:pPr>
        <w:spacing w:line="480" w:lineRule="auto"/>
        <w:ind w:left="180" w:right="720"/>
        <w:rPr>
          <w:rFonts w:ascii="Courier" w:hAnsi="Courier"/>
          <w:sz w:val="22"/>
          <w:szCs w:val="22"/>
        </w:rPr>
      </w:pPr>
      <w:r w:rsidRPr="007A450A">
        <w:rPr>
          <w:rFonts w:ascii="Courier" w:hAnsi="Courier"/>
          <w:sz w:val="22"/>
          <w:szCs w:val="22"/>
        </w:rPr>
        <w:t>(7) COMPREHENSIVE AGREEMENT.—</w:t>
      </w:r>
    </w:p>
    <w:p w14:paraId="14E13D11" w14:textId="77777777" w:rsidR="007A450A" w:rsidRDefault="007A450A" w:rsidP="00CC39B7">
      <w:pPr>
        <w:spacing w:line="480" w:lineRule="auto"/>
        <w:ind w:left="180" w:right="720"/>
        <w:rPr>
          <w:rFonts w:ascii="Courier" w:hAnsi="Courier"/>
          <w:sz w:val="22"/>
          <w:szCs w:val="22"/>
        </w:rPr>
      </w:pPr>
      <w:r w:rsidRPr="007A450A">
        <w:rPr>
          <w:rFonts w:ascii="Courier" w:hAnsi="Courier"/>
          <w:sz w:val="22"/>
          <w:szCs w:val="22"/>
        </w:rPr>
        <w:t>(a) Before developing or operating the qualifying project, the private entity must enter into a comprehensive agreement with the responsible public entity. The comprehensive agreement must provide for:</w:t>
      </w:r>
    </w:p>
    <w:p w14:paraId="4039CAED" w14:textId="04F16815" w:rsidR="00D73178" w:rsidRDefault="00D73178" w:rsidP="00CC39B7">
      <w:pPr>
        <w:spacing w:line="480" w:lineRule="auto"/>
        <w:ind w:left="180" w:right="720"/>
        <w:rPr>
          <w:rFonts w:ascii="Courier" w:hAnsi="Courier"/>
          <w:sz w:val="22"/>
          <w:szCs w:val="22"/>
        </w:rPr>
      </w:pPr>
      <w:r>
        <w:rPr>
          <w:rFonts w:ascii="Courier" w:hAnsi="Courier"/>
          <w:sz w:val="22"/>
          <w:szCs w:val="22"/>
        </w:rPr>
        <w:t>…</w:t>
      </w:r>
    </w:p>
    <w:p w14:paraId="1FF07398" w14:textId="74BBE03D" w:rsidR="007A450A" w:rsidRPr="007A450A" w:rsidRDefault="007A450A" w:rsidP="00C34A4E">
      <w:pPr>
        <w:spacing w:line="480" w:lineRule="auto"/>
        <w:ind w:left="180" w:right="720" w:firstLine="540"/>
        <w:rPr>
          <w:rFonts w:ascii="Courier" w:hAnsi="Courier"/>
          <w:sz w:val="22"/>
          <w:szCs w:val="22"/>
          <w:u w:val="single"/>
        </w:rPr>
      </w:pPr>
      <w:r w:rsidRPr="007A450A">
        <w:rPr>
          <w:rFonts w:ascii="Courier" w:hAnsi="Courier"/>
          <w:sz w:val="22"/>
          <w:szCs w:val="22"/>
        </w:rPr>
        <w:t>9. Duties of the private entity, including the terms and conditions that the responsible public entity determines serve the public purpose of this section</w:t>
      </w:r>
      <w:r>
        <w:rPr>
          <w:rFonts w:ascii="Courier" w:hAnsi="Courier"/>
          <w:sz w:val="22"/>
          <w:szCs w:val="22"/>
        </w:rPr>
        <w:t xml:space="preserve">, </w:t>
      </w:r>
      <w:r>
        <w:rPr>
          <w:rFonts w:ascii="Courier" w:hAnsi="Courier"/>
          <w:sz w:val="22"/>
          <w:szCs w:val="22"/>
          <w:u w:val="single"/>
        </w:rPr>
        <w:t xml:space="preserve">including </w:t>
      </w:r>
      <w:r w:rsidR="00316C24">
        <w:rPr>
          <w:rFonts w:ascii="Courier" w:hAnsi="Courier"/>
          <w:sz w:val="22"/>
          <w:szCs w:val="22"/>
          <w:u w:val="single"/>
        </w:rPr>
        <w:t>procurement</w:t>
      </w:r>
      <w:r w:rsidR="00316C24" w:rsidRPr="007A450A">
        <w:rPr>
          <w:rFonts w:ascii="Courier" w:hAnsi="Courier"/>
          <w:sz w:val="22"/>
          <w:szCs w:val="22"/>
          <w:u w:val="single"/>
        </w:rPr>
        <w:t xml:space="preserve"> </w:t>
      </w:r>
      <w:r w:rsidRPr="007A450A">
        <w:rPr>
          <w:rFonts w:ascii="Courier" w:hAnsi="Courier"/>
          <w:sz w:val="22"/>
          <w:szCs w:val="22"/>
          <w:u w:val="single"/>
        </w:rPr>
        <w:t xml:space="preserve">of performance and payment bonds required under s. 255.05 by the general contractor performing construction services </w:t>
      </w:r>
      <w:r w:rsidR="00F60716">
        <w:rPr>
          <w:rFonts w:ascii="Courier" w:hAnsi="Courier"/>
          <w:sz w:val="22"/>
          <w:szCs w:val="22"/>
          <w:u w:val="single"/>
        </w:rPr>
        <w:t>for</w:t>
      </w:r>
      <w:r w:rsidRPr="007A450A">
        <w:rPr>
          <w:rFonts w:ascii="Courier" w:hAnsi="Courier"/>
          <w:sz w:val="22"/>
          <w:szCs w:val="22"/>
          <w:u w:val="single"/>
        </w:rPr>
        <w:t xml:space="preserve"> the qualifying project.</w:t>
      </w:r>
    </w:p>
    <w:p w14:paraId="668F4D75" w14:textId="77777777" w:rsidR="004D0DB1" w:rsidRDefault="004D0DB1" w:rsidP="00CC39B7">
      <w:pPr>
        <w:spacing w:line="480" w:lineRule="auto"/>
        <w:ind w:left="180" w:right="720"/>
        <w:rPr>
          <w:rFonts w:ascii="Courier" w:hAnsi="Courier"/>
          <w:sz w:val="22"/>
          <w:szCs w:val="22"/>
        </w:rPr>
      </w:pPr>
    </w:p>
    <w:p w14:paraId="229B6709" w14:textId="77777777" w:rsidR="007A450A" w:rsidRDefault="007A450A" w:rsidP="00CC39B7">
      <w:pPr>
        <w:spacing w:line="480" w:lineRule="auto"/>
        <w:ind w:left="180" w:right="720"/>
        <w:rPr>
          <w:rFonts w:ascii="Courier" w:hAnsi="Courier"/>
          <w:sz w:val="22"/>
          <w:szCs w:val="22"/>
        </w:rPr>
      </w:pPr>
      <w:r w:rsidRPr="007A450A">
        <w:rPr>
          <w:rFonts w:ascii="Courier" w:hAnsi="Courier"/>
          <w:sz w:val="22"/>
          <w:szCs w:val="22"/>
        </w:rPr>
        <w:t>Section 255.065, Florida Statutes, is amended to add subsection (15) to read:</w:t>
      </w:r>
    </w:p>
    <w:p w14:paraId="4321BA11" w14:textId="6788DB12" w:rsidR="004B4DD3" w:rsidRPr="00C34A4E" w:rsidRDefault="004B4DD3" w:rsidP="00C34A4E">
      <w:pPr>
        <w:spacing w:line="480" w:lineRule="auto"/>
        <w:ind w:right="720"/>
        <w:rPr>
          <w:rFonts w:ascii="Courier" w:hAnsi="Courier"/>
          <w:sz w:val="22"/>
          <w:szCs w:val="22"/>
          <w:u w:val="single"/>
        </w:rPr>
      </w:pPr>
      <w:r>
        <w:rPr>
          <w:rFonts w:ascii="Courier" w:hAnsi="Courier"/>
          <w:sz w:val="22"/>
          <w:szCs w:val="22"/>
        </w:rPr>
        <w:t xml:space="preserve"> </w:t>
      </w:r>
      <w:r w:rsidRPr="00C34A4E">
        <w:rPr>
          <w:rFonts w:ascii="Courier" w:hAnsi="Courier"/>
          <w:sz w:val="22"/>
          <w:szCs w:val="22"/>
          <w:u w:val="single"/>
        </w:rPr>
        <w:t>(15) PUBLIC RECORDS AND PUBLIC MEETINGS EXEMPTIONS.—</w:t>
      </w:r>
    </w:p>
    <w:p w14:paraId="3ECC7C77" w14:textId="77777777" w:rsidR="004D0DB1" w:rsidRPr="004D0DB1" w:rsidRDefault="004D0DB1" w:rsidP="004D0DB1">
      <w:pPr>
        <w:spacing w:line="480" w:lineRule="auto"/>
        <w:ind w:left="180" w:right="720"/>
        <w:rPr>
          <w:rFonts w:ascii="Courier" w:hAnsi="Courier"/>
          <w:sz w:val="22"/>
          <w:szCs w:val="22"/>
          <w:u w:val="single"/>
        </w:rPr>
      </w:pPr>
      <w:r w:rsidRPr="004D0DB1">
        <w:rPr>
          <w:rFonts w:ascii="Courier" w:hAnsi="Courier"/>
          <w:sz w:val="22"/>
          <w:szCs w:val="22"/>
          <w:u w:val="single"/>
        </w:rPr>
        <w:t>(a) As used in this subsection, the term “competitive solicitation” has the same meaning as provided in s. 119.071(1).</w:t>
      </w:r>
    </w:p>
    <w:p w14:paraId="45CFC3E9" w14:textId="47C46E89" w:rsidR="004D0DB1" w:rsidRDefault="004D0DB1" w:rsidP="004D0DB1">
      <w:pPr>
        <w:spacing w:line="480" w:lineRule="auto"/>
        <w:ind w:left="180" w:right="720"/>
        <w:rPr>
          <w:rFonts w:ascii="Courier" w:hAnsi="Courier"/>
          <w:sz w:val="22"/>
          <w:szCs w:val="22"/>
          <w:u w:val="single"/>
        </w:rPr>
      </w:pPr>
      <w:r w:rsidRPr="004D0DB1">
        <w:rPr>
          <w:rFonts w:ascii="Courier" w:hAnsi="Courier"/>
          <w:sz w:val="22"/>
          <w:szCs w:val="22"/>
          <w:u w:val="single"/>
        </w:rPr>
        <w:t>(b)1. An unsolicited proposal received by a responsible public entity is exempt from s. 119.07(1) and s. 24(a), Art. I of the State Constitution until such time as the responsible public entity provides notice of an intended decision for a qualifying project</w:t>
      </w:r>
      <w:r w:rsidR="00D66EA1" w:rsidRPr="00D66EA1">
        <w:rPr>
          <w:rFonts w:ascii="Courier" w:hAnsi="Courier"/>
          <w:sz w:val="22"/>
          <w:szCs w:val="22"/>
          <w:u w:val="single"/>
        </w:rPr>
        <w:t>, or upon the noticing of a public meeting under subsection (3)(c)</w:t>
      </w:r>
      <w:r w:rsidRPr="004D0DB1">
        <w:rPr>
          <w:rFonts w:ascii="Courier" w:hAnsi="Courier"/>
          <w:sz w:val="22"/>
          <w:szCs w:val="22"/>
          <w:u w:val="single"/>
        </w:rPr>
        <w:t>.</w:t>
      </w:r>
    </w:p>
    <w:p w14:paraId="75FF8080" w14:textId="5C56BBFE" w:rsidR="003C775C" w:rsidRDefault="003C775C" w:rsidP="00C34A4E">
      <w:pPr>
        <w:spacing w:line="480" w:lineRule="auto"/>
        <w:ind w:left="180" w:right="720" w:firstLine="540"/>
        <w:rPr>
          <w:rFonts w:ascii="Courier" w:hAnsi="Courier"/>
          <w:sz w:val="22"/>
          <w:szCs w:val="22"/>
          <w:u w:val="single"/>
        </w:rPr>
      </w:pPr>
      <w:r w:rsidRPr="003C775C">
        <w:rPr>
          <w:rFonts w:ascii="Courier" w:hAnsi="Courier"/>
          <w:sz w:val="22"/>
          <w:szCs w:val="22"/>
          <w:u w:val="single"/>
        </w:rPr>
        <w:t>2. If the responsible public entity rejects all proposals</w:t>
      </w:r>
      <w:r>
        <w:rPr>
          <w:rFonts w:ascii="Courier" w:hAnsi="Courier"/>
          <w:sz w:val="22"/>
          <w:szCs w:val="22"/>
          <w:u w:val="single"/>
        </w:rPr>
        <w:t xml:space="preserve"> </w:t>
      </w:r>
      <w:r w:rsidRPr="003C775C">
        <w:rPr>
          <w:rFonts w:ascii="Courier" w:hAnsi="Courier"/>
          <w:sz w:val="22"/>
          <w:szCs w:val="22"/>
          <w:u w:val="single"/>
        </w:rPr>
        <w:t>submitted pursuant to a competitive solicitation for a</w:t>
      </w:r>
      <w:r>
        <w:rPr>
          <w:rFonts w:ascii="Courier" w:hAnsi="Courier"/>
          <w:sz w:val="22"/>
          <w:szCs w:val="22"/>
          <w:u w:val="single"/>
        </w:rPr>
        <w:t xml:space="preserve"> </w:t>
      </w:r>
      <w:r w:rsidRPr="003C775C">
        <w:rPr>
          <w:rFonts w:ascii="Courier" w:hAnsi="Courier"/>
          <w:sz w:val="22"/>
          <w:szCs w:val="22"/>
          <w:u w:val="single"/>
        </w:rPr>
        <w:t>qualifying project and such entity concurrently provides notice</w:t>
      </w:r>
      <w:r>
        <w:rPr>
          <w:rFonts w:ascii="Courier" w:hAnsi="Courier"/>
          <w:sz w:val="22"/>
          <w:szCs w:val="22"/>
          <w:u w:val="single"/>
        </w:rPr>
        <w:t xml:space="preserve"> </w:t>
      </w:r>
      <w:r w:rsidRPr="003C775C">
        <w:rPr>
          <w:rFonts w:ascii="Courier" w:hAnsi="Courier"/>
          <w:sz w:val="22"/>
          <w:szCs w:val="22"/>
          <w:u w:val="single"/>
        </w:rPr>
        <w:t>of its intent to seek additional proposals for such project, the</w:t>
      </w:r>
      <w:r>
        <w:rPr>
          <w:rFonts w:ascii="Courier" w:hAnsi="Courier"/>
          <w:sz w:val="22"/>
          <w:szCs w:val="22"/>
          <w:u w:val="single"/>
        </w:rPr>
        <w:t xml:space="preserve"> </w:t>
      </w:r>
      <w:r w:rsidRPr="003C775C">
        <w:rPr>
          <w:rFonts w:ascii="Courier" w:hAnsi="Courier"/>
          <w:sz w:val="22"/>
          <w:szCs w:val="22"/>
          <w:u w:val="single"/>
        </w:rPr>
        <w:t>unsolicited proposal remains exempt until the responsible public</w:t>
      </w:r>
      <w:r>
        <w:rPr>
          <w:rFonts w:ascii="Courier" w:hAnsi="Courier"/>
          <w:sz w:val="22"/>
          <w:szCs w:val="22"/>
          <w:u w:val="single"/>
        </w:rPr>
        <w:t xml:space="preserve"> </w:t>
      </w:r>
      <w:r w:rsidRPr="003C775C">
        <w:rPr>
          <w:rFonts w:ascii="Courier" w:hAnsi="Courier"/>
          <w:sz w:val="22"/>
          <w:szCs w:val="22"/>
          <w:u w:val="single"/>
        </w:rPr>
        <w:t>entity provides notice of an intended decision concerning the</w:t>
      </w:r>
      <w:r>
        <w:rPr>
          <w:rFonts w:ascii="Courier" w:hAnsi="Courier"/>
          <w:sz w:val="22"/>
          <w:szCs w:val="22"/>
          <w:u w:val="single"/>
        </w:rPr>
        <w:t xml:space="preserve"> </w:t>
      </w:r>
      <w:r w:rsidRPr="003C775C">
        <w:rPr>
          <w:rFonts w:ascii="Courier" w:hAnsi="Courier"/>
          <w:sz w:val="22"/>
          <w:szCs w:val="22"/>
          <w:u w:val="single"/>
        </w:rPr>
        <w:t>reissued competitive solicitation for the qualifying project or</w:t>
      </w:r>
      <w:r>
        <w:rPr>
          <w:rFonts w:ascii="Courier" w:hAnsi="Courier"/>
          <w:sz w:val="22"/>
          <w:szCs w:val="22"/>
          <w:u w:val="single"/>
        </w:rPr>
        <w:t xml:space="preserve"> </w:t>
      </w:r>
      <w:r w:rsidRPr="003C775C">
        <w:rPr>
          <w:rFonts w:ascii="Courier" w:hAnsi="Courier"/>
          <w:sz w:val="22"/>
          <w:szCs w:val="22"/>
          <w:u w:val="single"/>
        </w:rPr>
        <w:t>until the responsible public entity withdraws the reissued</w:t>
      </w:r>
      <w:r>
        <w:rPr>
          <w:rFonts w:ascii="Courier" w:hAnsi="Courier"/>
          <w:sz w:val="22"/>
          <w:szCs w:val="22"/>
          <w:u w:val="single"/>
        </w:rPr>
        <w:t xml:space="preserve"> </w:t>
      </w:r>
      <w:r w:rsidRPr="003C775C">
        <w:rPr>
          <w:rFonts w:ascii="Courier" w:hAnsi="Courier"/>
          <w:sz w:val="22"/>
          <w:szCs w:val="22"/>
          <w:u w:val="single"/>
        </w:rPr>
        <w:t>competitive solicitation for such project.</w:t>
      </w:r>
    </w:p>
    <w:p w14:paraId="10246072" w14:textId="0D9C585A" w:rsidR="003C775C" w:rsidRDefault="008E49FA" w:rsidP="00C34A4E">
      <w:pPr>
        <w:spacing w:line="480" w:lineRule="auto"/>
        <w:ind w:left="180" w:right="720" w:firstLine="540"/>
        <w:rPr>
          <w:rFonts w:ascii="Courier" w:hAnsi="Courier"/>
          <w:sz w:val="22"/>
          <w:szCs w:val="22"/>
          <w:u w:val="single"/>
        </w:rPr>
      </w:pPr>
      <w:r w:rsidRPr="008E49FA">
        <w:rPr>
          <w:rFonts w:ascii="Courier" w:hAnsi="Courier"/>
          <w:sz w:val="22"/>
          <w:szCs w:val="22"/>
          <w:u w:val="single"/>
        </w:rPr>
        <w:t>3. An unsolicited proposal is exempt for no longer than 90 days after the initial notice by the responsible public entity</w:t>
      </w:r>
      <w:r>
        <w:rPr>
          <w:rFonts w:ascii="Courier" w:hAnsi="Courier"/>
          <w:sz w:val="22"/>
          <w:szCs w:val="22"/>
          <w:u w:val="single"/>
        </w:rPr>
        <w:t xml:space="preserve"> </w:t>
      </w:r>
      <w:r w:rsidRPr="008E49FA">
        <w:rPr>
          <w:rFonts w:ascii="Courier" w:hAnsi="Courier"/>
          <w:sz w:val="22"/>
          <w:szCs w:val="22"/>
          <w:u w:val="single"/>
        </w:rPr>
        <w:t>rejecting all proposals.</w:t>
      </w:r>
    </w:p>
    <w:p w14:paraId="033BE4AB" w14:textId="64ABE314" w:rsidR="003C775C" w:rsidRDefault="00CD6D5E" w:rsidP="004D0DB1">
      <w:pPr>
        <w:spacing w:line="480" w:lineRule="auto"/>
        <w:ind w:left="180" w:right="720"/>
        <w:rPr>
          <w:rFonts w:ascii="Courier" w:hAnsi="Courier"/>
          <w:sz w:val="22"/>
          <w:szCs w:val="22"/>
          <w:u w:val="single"/>
        </w:rPr>
      </w:pPr>
      <w:r w:rsidRPr="00CD6D5E">
        <w:rPr>
          <w:rFonts w:ascii="Courier" w:hAnsi="Courier"/>
          <w:sz w:val="22"/>
          <w:szCs w:val="22"/>
          <w:u w:val="single"/>
        </w:rPr>
        <w:t>(c) If the responsible public entity does not issue a</w:t>
      </w:r>
      <w:r>
        <w:rPr>
          <w:rFonts w:ascii="Courier" w:hAnsi="Courier"/>
          <w:sz w:val="22"/>
          <w:szCs w:val="22"/>
          <w:u w:val="single"/>
        </w:rPr>
        <w:t xml:space="preserve"> </w:t>
      </w:r>
      <w:r w:rsidRPr="00CD6D5E">
        <w:rPr>
          <w:rFonts w:ascii="Courier" w:hAnsi="Courier"/>
          <w:sz w:val="22"/>
          <w:szCs w:val="22"/>
          <w:u w:val="single"/>
        </w:rPr>
        <w:t>competitive solicitation for a qualifying project, the</w:t>
      </w:r>
      <w:r>
        <w:rPr>
          <w:rFonts w:ascii="Courier" w:hAnsi="Courier"/>
          <w:sz w:val="22"/>
          <w:szCs w:val="22"/>
          <w:u w:val="single"/>
        </w:rPr>
        <w:t xml:space="preserve"> </w:t>
      </w:r>
      <w:r w:rsidRPr="00CD6D5E">
        <w:rPr>
          <w:rFonts w:ascii="Courier" w:hAnsi="Courier"/>
          <w:sz w:val="22"/>
          <w:szCs w:val="22"/>
          <w:u w:val="single"/>
        </w:rPr>
        <w:t>unsolicited proposal ceases to be exempt 180 days after receipt</w:t>
      </w:r>
      <w:r>
        <w:rPr>
          <w:rFonts w:ascii="Courier" w:hAnsi="Courier"/>
          <w:sz w:val="22"/>
          <w:szCs w:val="22"/>
          <w:u w:val="single"/>
        </w:rPr>
        <w:t xml:space="preserve"> </w:t>
      </w:r>
      <w:r w:rsidRPr="00CD6D5E">
        <w:rPr>
          <w:rFonts w:ascii="Courier" w:hAnsi="Courier"/>
          <w:sz w:val="22"/>
          <w:szCs w:val="22"/>
          <w:u w:val="single"/>
        </w:rPr>
        <w:t>of the unsolicited proposal by such entity.</w:t>
      </w:r>
    </w:p>
    <w:p w14:paraId="4E9BA3F3" w14:textId="7197076F" w:rsidR="004D0DB1" w:rsidRPr="004D0DB1" w:rsidRDefault="00CD6D5E" w:rsidP="004D0DB1">
      <w:pPr>
        <w:spacing w:line="480" w:lineRule="auto"/>
        <w:ind w:left="180" w:right="720"/>
        <w:rPr>
          <w:rFonts w:ascii="Courier" w:hAnsi="Courier"/>
          <w:sz w:val="22"/>
          <w:szCs w:val="22"/>
          <w:u w:val="single"/>
        </w:rPr>
      </w:pPr>
      <w:r>
        <w:rPr>
          <w:rFonts w:ascii="Courier" w:hAnsi="Courier"/>
          <w:sz w:val="22"/>
          <w:szCs w:val="22"/>
          <w:u w:val="single"/>
        </w:rPr>
        <w:t>(d)1.</w:t>
      </w:r>
      <w:r w:rsidR="004D0DB1" w:rsidRPr="004D0DB1">
        <w:rPr>
          <w:rFonts w:ascii="Courier" w:hAnsi="Courier"/>
          <w:sz w:val="22"/>
          <w:szCs w:val="22"/>
          <w:u w:val="single"/>
        </w:rPr>
        <w:t xml:space="preserve"> </w:t>
      </w:r>
      <w:r w:rsidR="00D66EA1" w:rsidRPr="00D66EA1">
        <w:rPr>
          <w:rFonts w:ascii="Courier" w:hAnsi="Courier"/>
          <w:sz w:val="22"/>
          <w:szCs w:val="22"/>
          <w:u w:val="single"/>
        </w:rPr>
        <w:t>Except for a public meeting under subsection (3)(c), a</w:t>
      </w:r>
      <w:r w:rsidR="004D0DB1" w:rsidRPr="004D0DB1">
        <w:rPr>
          <w:rFonts w:ascii="Courier" w:hAnsi="Courier"/>
          <w:sz w:val="22"/>
          <w:szCs w:val="22"/>
          <w:u w:val="single"/>
        </w:rPr>
        <w:t>ny portion of a meeting of a responsible public entity during which an unsolicited proposal that is exempt is discussed is exempt from s. 286.011 and s. 24(b), Art. I of the State Constitution.</w:t>
      </w:r>
    </w:p>
    <w:p w14:paraId="43ED871B" w14:textId="334D4467" w:rsidR="004D0DB1" w:rsidRPr="004D0DB1" w:rsidRDefault="005D30C5" w:rsidP="00C34A4E">
      <w:pPr>
        <w:spacing w:line="480" w:lineRule="auto"/>
        <w:ind w:left="180" w:right="720" w:firstLine="540"/>
        <w:rPr>
          <w:rFonts w:ascii="Courier" w:hAnsi="Courier"/>
          <w:sz w:val="22"/>
          <w:szCs w:val="22"/>
          <w:u w:val="single"/>
        </w:rPr>
      </w:pPr>
      <w:r>
        <w:rPr>
          <w:rFonts w:ascii="Courier" w:hAnsi="Courier"/>
          <w:sz w:val="22"/>
          <w:szCs w:val="22"/>
          <w:u w:val="single"/>
        </w:rPr>
        <w:t>2.a.</w:t>
      </w:r>
      <w:r w:rsidR="004D0DB1" w:rsidRPr="004D0DB1">
        <w:rPr>
          <w:rFonts w:ascii="Courier" w:hAnsi="Courier"/>
          <w:sz w:val="22"/>
          <w:szCs w:val="22"/>
          <w:u w:val="single"/>
        </w:rPr>
        <w:t xml:space="preserve"> A complete recording must be made of any portion of a meeting closed pursuant to this subsection. No portion of the closed meeting may be held off the record.</w:t>
      </w:r>
    </w:p>
    <w:p w14:paraId="0A64EAE2" w14:textId="35F7BFD0" w:rsidR="004D0DB1" w:rsidRDefault="005D30C5" w:rsidP="00C34A4E">
      <w:pPr>
        <w:spacing w:line="480" w:lineRule="auto"/>
        <w:ind w:left="180" w:right="720" w:firstLine="1260"/>
        <w:rPr>
          <w:rFonts w:ascii="Courier" w:hAnsi="Courier"/>
          <w:sz w:val="22"/>
          <w:szCs w:val="22"/>
          <w:u w:val="single"/>
        </w:rPr>
      </w:pPr>
      <w:r>
        <w:rPr>
          <w:rFonts w:ascii="Courier" w:hAnsi="Courier"/>
          <w:sz w:val="22"/>
          <w:szCs w:val="22"/>
          <w:u w:val="single"/>
        </w:rPr>
        <w:t>b.</w:t>
      </w:r>
      <w:r w:rsidR="004D0DB1" w:rsidRPr="004D0DB1">
        <w:rPr>
          <w:rFonts w:ascii="Courier" w:hAnsi="Courier"/>
          <w:sz w:val="22"/>
          <w:szCs w:val="22"/>
          <w:u w:val="single"/>
        </w:rPr>
        <w:t xml:space="preserve"> The recording of, and any records generated during, a closed meeting are exempt from s. 119.07(1) and s. 24(a), Art. I of the State Constitution until the responsible public entity provides notice of an intended decision for a qualifying project or until 180 days after receipt of the unsolicited proposal if a competitive solicitation is not issued</w:t>
      </w:r>
      <w:r w:rsidR="005213E1">
        <w:rPr>
          <w:rFonts w:ascii="Courier" w:hAnsi="Courier"/>
          <w:sz w:val="22"/>
          <w:szCs w:val="22"/>
          <w:u w:val="single"/>
        </w:rPr>
        <w:t xml:space="preserve"> for the subject project</w:t>
      </w:r>
      <w:r w:rsidR="004D0DB1" w:rsidRPr="004D0DB1">
        <w:rPr>
          <w:rFonts w:ascii="Courier" w:hAnsi="Courier"/>
          <w:sz w:val="22"/>
          <w:szCs w:val="22"/>
          <w:u w:val="single"/>
        </w:rPr>
        <w:t>.</w:t>
      </w:r>
    </w:p>
    <w:p w14:paraId="79207B81" w14:textId="1D10CF88" w:rsidR="00714C38" w:rsidRPr="00714C38" w:rsidRDefault="00714C38" w:rsidP="00C34A4E">
      <w:pPr>
        <w:spacing w:line="480" w:lineRule="auto"/>
        <w:ind w:left="180" w:right="720" w:firstLine="1260"/>
        <w:rPr>
          <w:rFonts w:ascii="Courier" w:hAnsi="Courier"/>
          <w:sz w:val="22"/>
          <w:szCs w:val="22"/>
          <w:u w:val="single"/>
        </w:rPr>
      </w:pPr>
      <w:r w:rsidRPr="00714C38">
        <w:rPr>
          <w:rFonts w:ascii="Courier" w:hAnsi="Courier"/>
          <w:sz w:val="22"/>
          <w:szCs w:val="22"/>
          <w:u w:val="single"/>
        </w:rPr>
        <w:t>c. If the responsible public entity rejects all proposals and concurrently provides notice of its intent to reissue a</w:t>
      </w:r>
      <w:r>
        <w:rPr>
          <w:rFonts w:ascii="Courier" w:hAnsi="Courier"/>
          <w:sz w:val="22"/>
          <w:szCs w:val="22"/>
          <w:u w:val="single"/>
        </w:rPr>
        <w:t xml:space="preserve"> </w:t>
      </w:r>
      <w:r w:rsidRPr="00714C38">
        <w:rPr>
          <w:rFonts w:ascii="Courier" w:hAnsi="Courier"/>
          <w:sz w:val="22"/>
          <w:szCs w:val="22"/>
          <w:u w:val="single"/>
        </w:rPr>
        <w:t xml:space="preserve">competitive solicitation, the recording and any records generated at </w:t>
      </w:r>
      <w:r w:rsidR="00316B03">
        <w:rPr>
          <w:rFonts w:ascii="Courier" w:hAnsi="Courier"/>
          <w:sz w:val="22"/>
          <w:szCs w:val="22"/>
          <w:u w:val="single"/>
        </w:rPr>
        <w:t xml:space="preserve">a closed </w:t>
      </w:r>
      <w:r w:rsidRPr="00714C38">
        <w:rPr>
          <w:rFonts w:ascii="Courier" w:hAnsi="Courier"/>
          <w:sz w:val="22"/>
          <w:szCs w:val="22"/>
          <w:u w:val="single"/>
        </w:rPr>
        <w:t>meeting remain exempt from s. 119.07(1)</w:t>
      </w:r>
      <w:r>
        <w:rPr>
          <w:rFonts w:ascii="Courier" w:hAnsi="Courier"/>
          <w:sz w:val="22"/>
          <w:szCs w:val="22"/>
          <w:u w:val="single"/>
        </w:rPr>
        <w:t xml:space="preserve"> </w:t>
      </w:r>
      <w:r w:rsidRPr="00714C38">
        <w:rPr>
          <w:rFonts w:ascii="Courier" w:hAnsi="Courier"/>
          <w:sz w:val="22"/>
          <w:szCs w:val="22"/>
          <w:u w:val="single"/>
        </w:rPr>
        <w:t>and s. 24(a), Art. I of the State Constitution until such time as the responsible public entity provides notice of an intended decision concerning the reissued competitive solicitation or until the responsible public entity withdraws the reissued competitive solicitation for such project.</w:t>
      </w:r>
    </w:p>
    <w:p w14:paraId="3612534F" w14:textId="3229235B" w:rsidR="00714C38" w:rsidRDefault="00714C38" w:rsidP="00C34A4E">
      <w:pPr>
        <w:spacing w:line="480" w:lineRule="auto"/>
        <w:ind w:left="180" w:right="720" w:firstLine="1260"/>
        <w:rPr>
          <w:rFonts w:ascii="Courier" w:hAnsi="Courier"/>
          <w:sz w:val="22"/>
          <w:szCs w:val="22"/>
          <w:u w:val="single"/>
        </w:rPr>
      </w:pPr>
      <w:r w:rsidRPr="00714C38">
        <w:rPr>
          <w:rFonts w:ascii="Courier" w:hAnsi="Courier"/>
          <w:sz w:val="22"/>
          <w:szCs w:val="22"/>
          <w:u w:val="single"/>
        </w:rPr>
        <w:t>d. A recording and any records generated during a</w:t>
      </w:r>
      <w:r w:rsidR="00316B03">
        <w:rPr>
          <w:rFonts w:ascii="Courier" w:hAnsi="Courier"/>
          <w:sz w:val="22"/>
          <w:szCs w:val="22"/>
          <w:u w:val="single"/>
        </w:rPr>
        <w:t xml:space="preserve"> closed</w:t>
      </w:r>
      <w:r w:rsidRPr="00714C38">
        <w:rPr>
          <w:rFonts w:ascii="Courier" w:hAnsi="Courier"/>
          <w:sz w:val="22"/>
          <w:szCs w:val="22"/>
          <w:u w:val="single"/>
        </w:rPr>
        <w:t xml:space="preserve"> meeting are exempt for no longer than 90 days after the initial notice by the responsible public entity rejecting all proposals.</w:t>
      </w:r>
    </w:p>
    <w:p w14:paraId="5C938BEF" w14:textId="3C5862DB" w:rsidR="007A450A" w:rsidRPr="004D0DB1" w:rsidRDefault="004D0DB1" w:rsidP="004D0DB1">
      <w:pPr>
        <w:spacing w:line="480" w:lineRule="auto"/>
        <w:ind w:left="180" w:right="720"/>
        <w:rPr>
          <w:rFonts w:ascii="Courier" w:hAnsi="Courier"/>
          <w:sz w:val="22"/>
          <w:szCs w:val="22"/>
          <w:u w:val="single"/>
        </w:rPr>
      </w:pPr>
      <w:r w:rsidRPr="00621154">
        <w:rPr>
          <w:rFonts w:ascii="Courier" w:hAnsi="Courier"/>
          <w:sz w:val="22"/>
          <w:szCs w:val="22"/>
          <w:u w:val="single"/>
        </w:rPr>
        <w:t>(e) This subsection is subject to the Open Government Sunset Review Act in accordance with s. 119.15 and shall stand repealed on</w:t>
      </w:r>
      <w:r w:rsidR="00621154" w:rsidRPr="00621154">
        <w:rPr>
          <w:rFonts w:ascii="Courier" w:hAnsi="Courier"/>
          <w:sz w:val="22"/>
          <w:szCs w:val="22"/>
          <w:u w:val="single"/>
        </w:rPr>
        <w:t xml:space="preserve"> October 5</w:t>
      </w:r>
      <w:r w:rsidRPr="00621154">
        <w:rPr>
          <w:rFonts w:ascii="Courier" w:hAnsi="Courier"/>
          <w:sz w:val="22"/>
          <w:szCs w:val="22"/>
          <w:u w:val="single"/>
        </w:rPr>
        <w:t>, 20</w:t>
      </w:r>
      <w:r w:rsidR="00621154" w:rsidRPr="00621154">
        <w:rPr>
          <w:rFonts w:ascii="Courier" w:hAnsi="Courier"/>
          <w:sz w:val="22"/>
          <w:szCs w:val="22"/>
          <w:u w:val="single"/>
        </w:rPr>
        <w:t>32</w:t>
      </w:r>
      <w:r w:rsidRPr="00621154">
        <w:rPr>
          <w:rFonts w:ascii="Courier" w:hAnsi="Courier"/>
          <w:sz w:val="22"/>
          <w:szCs w:val="22"/>
          <w:u w:val="single"/>
        </w:rPr>
        <w:t>, unless reviewed and saved from repeal through reenactment by the Legislature.</w:t>
      </w:r>
    </w:p>
    <w:p w14:paraId="236C33A1" w14:textId="77777777" w:rsidR="004D0DB1" w:rsidRDefault="004D0DB1" w:rsidP="004D0DB1">
      <w:pPr>
        <w:spacing w:line="480" w:lineRule="auto"/>
        <w:ind w:right="720"/>
        <w:rPr>
          <w:rFonts w:ascii="Courier" w:hAnsi="Courier"/>
          <w:sz w:val="22"/>
          <w:szCs w:val="22"/>
        </w:rPr>
      </w:pPr>
    </w:p>
    <w:p w14:paraId="09057F3C" w14:textId="77777777" w:rsidR="00A26229" w:rsidRDefault="00A26229" w:rsidP="00CC39B7">
      <w:pPr>
        <w:spacing w:line="480" w:lineRule="auto"/>
        <w:ind w:left="180" w:right="720"/>
        <w:rPr>
          <w:rFonts w:ascii="Courier" w:hAnsi="Courier"/>
          <w:sz w:val="22"/>
          <w:szCs w:val="22"/>
        </w:rPr>
      </w:pPr>
      <w:r w:rsidRPr="00A26229">
        <w:rPr>
          <w:rFonts w:ascii="Courier" w:hAnsi="Courier"/>
          <w:sz w:val="22"/>
          <w:szCs w:val="22"/>
        </w:rPr>
        <w:t>Paragraph (g) of subsection (2) of section 287.055, Florida Statutes, is amended to read:</w:t>
      </w:r>
    </w:p>
    <w:p w14:paraId="32EEC8CF" w14:textId="77777777" w:rsidR="007A450A" w:rsidRDefault="004D0DB1" w:rsidP="00CC39B7">
      <w:pPr>
        <w:spacing w:line="480" w:lineRule="auto"/>
        <w:ind w:left="180" w:right="720"/>
        <w:rPr>
          <w:rFonts w:ascii="Courier" w:hAnsi="Courier"/>
          <w:sz w:val="22"/>
          <w:szCs w:val="22"/>
        </w:rPr>
      </w:pPr>
      <w:r w:rsidRPr="004D0DB1">
        <w:rPr>
          <w:rFonts w:ascii="Courier" w:hAnsi="Courier"/>
          <w:sz w:val="22"/>
          <w:szCs w:val="22"/>
        </w:rPr>
        <w:t>(g)1. A “continuing contract” is a contract for any of the following:</w:t>
      </w:r>
    </w:p>
    <w:p w14:paraId="0D9A86E4" w14:textId="77777777" w:rsidR="004D0DB1" w:rsidRPr="004D0DB1" w:rsidRDefault="004D0DB1" w:rsidP="004D0DB1">
      <w:pPr>
        <w:spacing w:line="480" w:lineRule="auto"/>
        <w:ind w:left="180" w:right="720"/>
        <w:rPr>
          <w:rFonts w:ascii="Courier" w:hAnsi="Courier"/>
          <w:sz w:val="22"/>
          <w:szCs w:val="22"/>
        </w:rPr>
      </w:pPr>
      <w:r w:rsidRPr="004D0DB1">
        <w:rPr>
          <w:rFonts w:ascii="Courier" w:hAnsi="Courier"/>
          <w:sz w:val="22"/>
          <w:szCs w:val="22"/>
        </w:rPr>
        <w:t>a. Professional services entered into in accordance with all the procedures of this act between an agency and a firm whereby the firm provides professional services to the agency for projects in which the estimated construction cost of each individual project under the contract does not exceed $7.5 million. Beginning July 1, 2025, and each July 1 thereafter, the department shall adjust the maximum amount allowed on the preceding June 30 for each individual project in a continuing contract by using the change in the June-to-June Consumer Price Index for All Urban Consumers issued by the Bureau of Labor Statistics of the United States Department of Labor. The department shall publish the adjusted amount on its website;</w:t>
      </w:r>
    </w:p>
    <w:p w14:paraId="7C359C8F" w14:textId="77777777" w:rsidR="004D0DB1" w:rsidRPr="004D0DB1" w:rsidRDefault="004D0DB1" w:rsidP="004D0DB1">
      <w:pPr>
        <w:spacing w:line="480" w:lineRule="auto"/>
        <w:ind w:left="180" w:right="720"/>
        <w:rPr>
          <w:rFonts w:ascii="Courier" w:hAnsi="Courier"/>
          <w:sz w:val="22"/>
          <w:szCs w:val="22"/>
        </w:rPr>
      </w:pPr>
      <w:r w:rsidRPr="004D0DB1">
        <w:rPr>
          <w:rFonts w:ascii="Courier" w:hAnsi="Courier"/>
          <w:sz w:val="22"/>
          <w:szCs w:val="22"/>
        </w:rPr>
        <w:t>b. Study activity if the fee for professional services for each individual study under the contract does not exceed $500,000; or</w:t>
      </w:r>
    </w:p>
    <w:p w14:paraId="2FC421F2" w14:textId="77777777" w:rsidR="004D0DB1" w:rsidRDefault="004D0DB1" w:rsidP="004D0DB1">
      <w:pPr>
        <w:spacing w:line="480" w:lineRule="auto"/>
        <w:ind w:left="180" w:right="720"/>
        <w:rPr>
          <w:rFonts w:ascii="Courier" w:hAnsi="Courier"/>
          <w:sz w:val="22"/>
          <w:szCs w:val="22"/>
        </w:rPr>
      </w:pPr>
      <w:r w:rsidRPr="004D0DB1">
        <w:rPr>
          <w:rFonts w:ascii="Courier" w:hAnsi="Courier"/>
          <w:sz w:val="22"/>
          <w:szCs w:val="22"/>
        </w:rPr>
        <w:t>c. Work of a specified nature as outlined in the contract required by the agency, with the contract being for a fixed term or with no time limitation except that the contract must provide a termination clause.</w:t>
      </w:r>
    </w:p>
    <w:p w14:paraId="12570E78" w14:textId="77777777" w:rsidR="007A450A" w:rsidRDefault="002249A8" w:rsidP="00CC39B7">
      <w:pPr>
        <w:spacing w:line="480" w:lineRule="auto"/>
        <w:ind w:left="180" w:right="720"/>
        <w:rPr>
          <w:rFonts w:ascii="Courier" w:hAnsi="Courier"/>
          <w:sz w:val="22"/>
          <w:szCs w:val="22"/>
          <w:u w:val="single"/>
        </w:rPr>
      </w:pPr>
      <w:r w:rsidRPr="002249A8">
        <w:rPr>
          <w:rFonts w:ascii="Courier" w:hAnsi="Courier"/>
          <w:sz w:val="22"/>
          <w:szCs w:val="22"/>
          <w:u w:val="single"/>
        </w:rPr>
        <w:t xml:space="preserve">2. </w:t>
      </w:r>
      <w:r w:rsidRPr="002249A8">
        <w:rPr>
          <w:rFonts w:ascii="Courier" w:hAnsi="Courier"/>
          <w:strike/>
          <w:sz w:val="22"/>
          <w:szCs w:val="22"/>
          <w:u w:val="single"/>
        </w:rPr>
        <w:t>Firms providing professional services under continuing contracts may not be required to bid against one another.</w:t>
      </w:r>
      <w:r>
        <w:rPr>
          <w:rFonts w:ascii="Courier" w:hAnsi="Courier"/>
          <w:sz w:val="22"/>
          <w:szCs w:val="22"/>
          <w:u w:val="single"/>
        </w:rPr>
        <w:t xml:space="preserve"> </w:t>
      </w:r>
      <w:r w:rsidRPr="002249A8">
        <w:rPr>
          <w:rFonts w:ascii="Courier" w:hAnsi="Courier"/>
          <w:sz w:val="22"/>
          <w:szCs w:val="22"/>
          <w:u w:val="single"/>
        </w:rPr>
        <w:t>The categories set forth in subparagraphs 1.a., 1.b., and 1.c. are independent and disjunctive, and the monetary limitations applicable to subparagraphs 1.a. and 1.b. do not apply to contracts entered into pursuant to subparagraph 1.c.</w:t>
      </w:r>
    </w:p>
    <w:p w14:paraId="30D2C4FF" w14:textId="77777777" w:rsidR="002249A8" w:rsidRDefault="002249A8" w:rsidP="002249A8">
      <w:pPr>
        <w:spacing w:line="480" w:lineRule="auto"/>
        <w:ind w:left="180" w:right="720"/>
        <w:rPr>
          <w:rFonts w:ascii="Courier" w:hAnsi="Courier"/>
          <w:sz w:val="22"/>
          <w:szCs w:val="22"/>
          <w:u w:val="single"/>
        </w:rPr>
      </w:pPr>
      <w:r>
        <w:rPr>
          <w:rFonts w:ascii="Courier" w:hAnsi="Courier"/>
          <w:sz w:val="22"/>
          <w:szCs w:val="22"/>
          <w:u w:val="single"/>
        </w:rPr>
        <w:t xml:space="preserve">3. </w:t>
      </w:r>
      <w:r w:rsidRPr="002249A8">
        <w:rPr>
          <w:rFonts w:ascii="Courier" w:hAnsi="Courier"/>
          <w:sz w:val="22"/>
          <w:szCs w:val="22"/>
          <w:u w:val="single"/>
        </w:rPr>
        <w:t>Firms providing professional services under continuing contracts may not be required to bid against one another.</w:t>
      </w:r>
    </w:p>
    <w:p w14:paraId="20DC3558" w14:textId="77777777" w:rsidR="002249A8" w:rsidRDefault="002249A8" w:rsidP="002249A8">
      <w:pPr>
        <w:spacing w:line="480" w:lineRule="auto"/>
        <w:ind w:left="180" w:right="720"/>
        <w:rPr>
          <w:rFonts w:ascii="Courier" w:hAnsi="Courier"/>
          <w:sz w:val="22"/>
          <w:szCs w:val="22"/>
          <w:u w:val="single"/>
        </w:rPr>
      </w:pPr>
    </w:p>
    <w:p w14:paraId="7DD8ABF5" w14:textId="26B3D4B4" w:rsidR="009521CB" w:rsidRDefault="00E85B9C" w:rsidP="009521CB">
      <w:pPr>
        <w:spacing w:line="480" w:lineRule="auto"/>
        <w:ind w:left="180" w:right="720"/>
        <w:rPr>
          <w:rFonts w:ascii="Courier" w:hAnsi="Courier"/>
          <w:sz w:val="22"/>
          <w:szCs w:val="22"/>
        </w:rPr>
      </w:pPr>
      <w:r w:rsidRPr="00A26229">
        <w:rPr>
          <w:rFonts w:ascii="Courier" w:hAnsi="Courier"/>
          <w:sz w:val="22"/>
          <w:szCs w:val="22"/>
        </w:rPr>
        <w:t>Paragraph (</w:t>
      </w:r>
      <w:r>
        <w:rPr>
          <w:rFonts w:ascii="Courier" w:hAnsi="Courier"/>
          <w:sz w:val="22"/>
          <w:szCs w:val="22"/>
        </w:rPr>
        <w:t>a</w:t>
      </w:r>
      <w:r w:rsidRPr="00A26229">
        <w:rPr>
          <w:rFonts w:ascii="Courier" w:hAnsi="Courier"/>
          <w:sz w:val="22"/>
          <w:szCs w:val="22"/>
        </w:rPr>
        <w:t xml:space="preserve">) of subsection </w:t>
      </w:r>
      <w:r w:rsidR="009521CB" w:rsidRPr="002249A8">
        <w:rPr>
          <w:rFonts w:ascii="Courier" w:hAnsi="Courier"/>
          <w:sz w:val="22"/>
          <w:szCs w:val="22"/>
        </w:rPr>
        <w:t>(4) of section 287.055, Florida Statutes, is amended to read:</w:t>
      </w:r>
    </w:p>
    <w:p w14:paraId="33B32492" w14:textId="77777777" w:rsidR="009521CB" w:rsidRDefault="009521CB" w:rsidP="009521CB">
      <w:pPr>
        <w:spacing w:line="480" w:lineRule="auto"/>
        <w:ind w:left="180" w:right="720"/>
        <w:rPr>
          <w:rFonts w:ascii="Courier" w:hAnsi="Courier"/>
          <w:sz w:val="22"/>
          <w:szCs w:val="22"/>
        </w:rPr>
      </w:pPr>
      <w:r w:rsidRPr="002249A8">
        <w:rPr>
          <w:rFonts w:ascii="Courier" w:hAnsi="Courier"/>
          <w:sz w:val="22"/>
          <w:szCs w:val="22"/>
        </w:rPr>
        <w:t>(4) COMPETITIVE SELECTION.—</w:t>
      </w:r>
    </w:p>
    <w:p w14:paraId="3A4EE88E" w14:textId="1A8CE0B7" w:rsidR="009521CB" w:rsidRPr="00D21804" w:rsidRDefault="009521CB" w:rsidP="002249A8">
      <w:pPr>
        <w:spacing w:line="480" w:lineRule="auto"/>
        <w:ind w:left="180" w:right="720"/>
        <w:rPr>
          <w:rFonts w:ascii="Courier" w:hAnsi="Courier"/>
          <w:sz w:val="22"/>
          <w:szCs w:val="22"/>
        </w:rPr>
      </w:pPr>
      <w:r w:rsidRPr="00E85B9C">
        <w:rPr>
          <w:rFonts w:ascii="Courier" w:hAnsi="Courier"/>
          <w:sz w:val="22"/>
          <w:szCs w:val="22"/>
        </w:rPr>
        <w:t>(a)</w:t>
      </w:r>
      <w:r w:rsidRPr="00E85B9C">
        <w:rPr>
          <w:rFonts w:ascii="Courier" w:hAnsi="Courier"/>
          <w:sz w:val="22"/>
          <w:szCs w:val="22"/>
        </w:rPr>
        <w:t> </w:t>
      </w:r>
      <w:r w:rsidRPr="00E85B9C">
        <w:rPr>
          <w:rFonts w:ascii="Courier" w:hAnsi="Courier"/>
          <w:sz w:val="22"/>
          <w:szCs w:val="22"/>
        </w:rPr>
        <w:t xml:space="preserve">For each proposed project, the agency shall evaluate current statements of qualifications and performance data on file with the agency, together with those that may be submitted by other firms regarding the proposed project, and shall conduct discussions with, and may require </w:t>
      </w:r>
      <w:r w:rsidRPr="00E85B9C">
        <w:rPr>
          <w:rFonts w:ascii="Courier" w:hAnsi="Courier"/>
          <w:strike/>
          <w:sz w:val="22"/>
          <w:szCs w:val="22"/>
        </w:rPr>
        <w:t xml:space="preserve">public </w:t>
      </w:r>
      <w:r w:rsidRPr="00D21804">
        <w:rPr>
          <w:rFonts w:ascii="Courier" w:hAnsi="Courier"/>
          <w:sz w:val="22"/>
          <w:szCs w:val="22"/>
        </w:rPr>
        <w:t>presentations by, no fewer than three firms regarding their qualifications, approach to the project, and ability to furnish the required services.</w:t>
      </w:r>
      <w:r w:rsidR="00172D47">
        <w:rPr>
          <w:rFonts w:ascii="Courier" w:hAnsi="Courier"/>
          <w:sz w:val="22"/>
          <w:szCs w:val="22"/>
          <w:u w:val="single"/>
        </w:rPr>
        <w:t xml:space="preserve"> Such discussions</w:t>
      </w:r>
      <w:r w:rsidR="00031538">
        <w:rPr>
          <w:rFonts w:ascii="Courier" w:hAnsi="Courier"/>
          <w:sz w:val="22"/>
          <w:szCs w:val="22"/>
          <w:u w:val="single"/>
        </w:rPr>
        <w:t>, negotiations,</w:t>
      </w:r>
      <w:r w:rsidR="00172D47">
        <w:rPr>
          <w:rFonts w:ascii="Courier" w:hAnsi="Courier"/>
          <w:sz w:val="22"/>
          <w:szCs w:val="22"/>
          <w:u w:val="single"/>
        </w:rPr>
        <w:t xml:space="preserve"> </w:t>
      </w:r>
      <w:r w:rsidR="00031538">
        <w:rPr>
          <w:rFonts w:ascii="Courier" w:hAnsi="Courier"/>
          <w:sz w:val="22"/>
          <w:szCs w:val="22"/>
          <w:u w:val="single"/>
        </w:rPr>
        <w:t>or</w:t>
      </w:r>
      <w:r w:rsidR="00172D47">
        <w:rPr>
          <w:rFonts w:ascii="Courier" w:hAnsi="Courier"/>
          <w:sz w:val="22"/>
          <w:szCs w:val="22"/>
          <w:u w:val="single"/>
        </w:rPr>
        <w:t xml:space="preserve"> presentations shall be conducted in a closed, recorded session subject to</w:t>
      </w:r>
      <w:r w:rsidR="0007414E">
        <w:rPr>
          <w:rFonts w:ascii="Courier" w:hAnsi="Courier"/>
          <w:sz w:val="22"/>
          <w:szCs w:val="22"/>
          <w:u w:val="single"/>
        </w:rPr>
        <w:t xml:space="preserve"> the</w:t>
      </w:r>
      <w:r w:rsidR="00172D47">
        <w:rPr>
          <w:rFonts w:ascii="Courier" w:hAnsi="Courier"/>
          <w:sz w:val="22"/>
          <w:szCs w:val="22"/>
          <w:u w:val="single"/>
        </w:rPr>
        <w:t xml:space="preserve"> temporary exemption </w:t>
      </w:r>
      <w:r w:rsidR="00172D47" w:rsidRPr="00172D47">
        <w:rPr>
          <w:rFonts w:ascii="Courier" w:hAnsi="Courier"/>
          <w:sz w:val="22"/>
          <w:szCs w:val="22"/>
          <w:u w:val="single"/>
        </w:rPr>
        <w:t>from public records requirements</w:t>
      </w:r>
      <w:r w:rsidR="00172D47">
        <w:rPr>
          <w:rFonts w:ascii="Courier" w:hAnsi="Courier"/>
          <w:sz w:val="22"/>
          <w:szCs w:val="22"/>
          <w:u w:val="single"/>
        </w:rPr>
        <w:t xml:space="preserve"> set forth in s</w:t>
      </w:r>
      <w:r w:rsidR="00997707">
        <w:rPr>
          <w:rFonts w:ascii="Courier" w:hAnsi="Courier"/>
          <w:sz w:val="22"/>
          <w:szCs w:val="22"/>
          <w:u w:val="single"/>
        </w:rPr>
        <w:t>s</w:t>
      </w:r>
      <w:r w:rsidR="00172D47">
        <w:rPr>
          <w:rFonts w:ascii="Courier" w:hAnsi="Courier"/>
          <w:sz w:val="22"/>
          <w:szCs w:val="22"/>
          <w:u w:val="single"/>
        </w:rPr>
        <w:t>. 119.071(</w:t>
      </w:r>
      <w:r w:rsidR="00422419">
        <w:rPr>
          <w:rFonts w:ascii="Courier" w:hAnsi="Courier"/>
          <w:sz w:val="22"/>
          <w:szCs w:val="22"/>
          <w:u w:val="single"/>
        </w:rPr>
        <w:t>1</w:t>
      </w:r>
      <w:r w:rsidR="00172D47">
        <w:rPr>
          <w:rFonts w:ascii="Courier" w:hAnsi="Courier"/>
          <w:sz w:val="22"/>
          <w:szCs w:val="22"/>
          <w:u w:val="single"/>
        </w:rPr>
        <w:t>)</w:t>
      </w:r>
      <w:r w:rsidR="005E60CB">
        <w:rPr>
          <w:rFonts w:ascii="Courier" w:hAnsi="Courier"/>
          <w:sz w:val="22"/>
          <w:szCs w:val="22"/>
          <w:u w:val="single"/>
        </w:rPr>
        <w:t>(b)</w:t>
      </w:r>
      <w:r w:rsidR="00997707">
        <w:rPr>
          <w:rFonts w:ascii="Courier" w:hAnsi="Courier"/>
          <w:sz w:val="22"/>
          <w:szCs w:val="22"/>
          <w:u w:val="single"/>
        </w:rPr>
        <w:t xml:space="preserve"> and 286.0113(2)</w:t>
      </w:r>
      <w:r w:rsidR="00172D47">
        <w:rPr>
          <w:rFonts w:ascii="Courier" w:hAnsi="Courier"/>
          <w:sz w:val="22"/>
          <w:szCs w:val="22"/>
          <w:u w:val="single"/>
        </w:rPr>
        <w:t>, Florida Statutes</w:t>
      </w:r>
      <w:r w:rsidR="003F0985" w:rsidRPr="00D21804">
        <w:rPr>
          <w:rFonts w:ascii="Courier" w:hAnsi="Courier"/>
          <w:sz w:val="22"/>
          <w:szCs w:val="22"/>
          <w:u w:val="single"/>
        </w:rPr>
        <w:t>.</w:t>
      </w:r>
    </w:p>
    <w:p w14:paraId="2916B1B8" w14:textId="77777777" w:rsidR="009521CB" w:rsidRDefault="009521CB" w:rsidP="002249A8">
      <w:pPr>
        <w:spacing w:line="480" w:lineRule="auto"/>
        <w:ind w:left="180" w:right="720"/>
        <w:rPr>
          <w:rFonts w:ascii="Courier" w:hAnsi="Courier"/>
          <w:sz w:val="22"/>
          <w:szCs w:val="22"/>
          <w:u w:val="single"/>
        </w:rPr>
      </w:pPr>
    </w:p>
    <w:p w14:paraId="3AF7281E" w14:textId="4B1DEC10" w:rsidR="002249A8" w:rsidRDefault="002249A8" w:rsidP="002249A8">
      <w:pPr>
        <w:spacing w:line="480" w:lineRule="auto"/>
        <w:ind w:left="180" w:right="720"/>
        <w:rPr>
          <w:rFonts w:ascii="Courier" w:hAnsi="Courier"/>
          <w:sz w:val="22"/>
          <w:szCs w:val="22"/>
        </w:rPr>
      </w:pPr>
      <w:r w:rsidRPr="002249A8">
        <w:rPr>
          <w:rFonts w:ascii="Courier" w:hAnsi="Courier"/>
          <w:sz w:val="22"/>
          <w:szCs w:val="22"/>
        </w:rPr>
        <w:t>Subsection (4) of section 287.055, Florida Statutes, is amended to add paragraph (</w:t>
      </w:r>
      <w:r w:rsidR="00E93D59">
        <w:rPr>
          <w:rFonts w:ascii="Courier" w:hAnsi="Courier"/>
          <w:sz w:val="22"/>
          <w:szCs w:val="22"/>
        </w:rPr>
        <w:t>e</w:t>
      </w:r>
      <w:r w:rsidRPr="002249A8">
        <w:rPr>
          <w:rFonts w:ascii="Courier" w:hAnsi="Courier"/>
          <w:sz w:val="22"/>
          <w:szCs w:val="22"/>
        </w:rPr>
        <w:t>) to read:</w:t>
      </w:r>
    </w:p>
    <w:p w14:paraId="36CAD4C0" w14:textId="77777777" w:rsidR="002249A8" w:rsidRDefault="002249A8" w:rsidP="002249A8">
      <w:pPr>
        <w:spacing w:line="480" w:lineRule="auto"/>
        <w:ind w:left="180" w:right="720"/>
        <w:rPr>
          <w:rFonts w:ascii="Courier" w:hAnsi="Courier"/>
          <w:sz w:val="22"/>
          <w:szCs w:val="22"/>
        </w:rPr>
      </w:pPr>
      <w:r w:rsidRPr="002249A8">
        <w:rPr>
          <w:rFonts w:ascii="Courier" w:hAnsi="Courier"/>
          <w:sz w:val="22"/>
          <w:szCs w:val="22"/>
        </w:rPr>
        <w:t>(4) COMPETITIVE SELECTION.—</w:t>
      </w:r>
    </w:p>
    <w:p w14:paraId="2D5DC14F" w14:textId="688CC0DF" w:rsidR="00302F31" w:rsidRDefault="00302F31" w:rsidP="002249A8">
      <w:pPr>
        <w:spacing w:line="480" w:lineRule="auto"/>
        <w:ind w:left="180" w:right="720"/>
        <w:rPr>
          <w:rFonts w:ascii="Courier" w:hAnsi="Courier"/>
          <w:sz w:val="22"/>
          <w:szCs w:val="22"/>
        </w:rPr>
      </w:pPr>
      <w:r>
        <w:rPr>
          <w:rFonts w:ascii="Courier" w:hAnsi="Courier"/>
          <w:sz w:val="22"/>
          <w:szCs w:val="22"/>
        </w:rPr>
        <w:t>…</w:t>
      </w:r>
    </w:p>
    <w:p w14:paraId="1E509907" w14:textId="55F60D55" w:rsidR="002249A8" w:rsidRDefault="002249A8" w:rsidP="002249A8">
      <w:pPr>
        <w:spacing w:line="480" w:lineRule="auto"/>
        <w:ind w:left="180" w:right="720"/>
        <w:rPr>
          <w:rFonts w:ascii="Courier" w:hAnsi="Courier"/>
          <w:sz w:val="22"/>
          <w:szCs w:val="22"/>
          <w:u w:val="single"/>
        </w:rPr>
      </w:pPr>
      <w:r w:rsidRPr="002249A8">
        <w:rPr>
          <w:rFonts w:ascii="Courier" w:hAnsi="Courier"/>
          <w:sz w:val="22"/>
          <w:szCs w:val="22"/>
          <w:u w:val="single"/>
        </w:rPr>
        <w:t>(</w:t>
      </w:r>
      <w:r w:rsidR="00E05993">
        <w:rPr>
          <w:rFonts w:ascii="Courier" w:hAnsi="Courier"/>
          <w:sz w:val="22"/>
          <w:szCs w:val="22"/>
          <w:u w:val="single"/>
        </w:rPr>
        <w:t>e</w:t>
      </w:r>
      <w:r w:rsidRPr="002249A8">
        <w:rPr>
          <w:rFonts w:ascii="Courier" w:hAnsi="Courier"/>
          <w:sz w:val="22"/>
          <w:szCs w:val="22"/>
          <w:u w:val="single"/>
        </w:rPr>
        <w:t>) Notwithstanding paragraphs (a) and (b), if fewer than three firms respond to a properly advertised solicitation or if fewer than three firms are determined to be qualified after evaluation pursuant to this section, the agency may proceed with discussions, shortlisting, and ranking of the responding or qualified firms, provided that all other requirements of this section are satisfied.</w:t>
      </w:r>
    </w:p>
    <w:p w14:paraId="150B5BC4" w14:textId="77777777" w:rsidR="002249A8" w:rsidRDefault="002249A8" w:rsidP="002249A8">
      <w:pPr>
        <w:spacing w:line="480" w:lineRule="auto"/>
        <w:ind w:left="180" w:right="720"/>
        <w:rPr>
          <w:rFonts w:ascii="Courier" w:hAnsi="Courier"/>
          <w:sz w:val="22"/>
          <w:szCs w:val="22"/>
          <w:u w:val="single"/>
        </w:rPr>
      </w:pPr>
    </w:p>
    <w:p w14:paraId="5D9D7B5A" w14:textId="4B9435C3" w:rsidR="006F68D4" w:rsidRDefault="006F68D4" w:rsidP="006F68D4">
      <w:pPr>
        <w:spacing w:line="480" w:lineRule="auto"/>
        <w:ind w:left="180" w:right="720"/>
        <w:rPr>
          <w:rFonts w:ascii="Courier" w:hAnsi="Courier"/>
          <w:sz w:val="22"/>
          <w:szCs w:val="22"/>
        </w:rPr>
      </w:pPr>
      <w:r w:rsidRPr="002249A8">
        <w:rPr>
          <w:rFonts w:ascii="Courier" w:hAnsi="Courier"/>
          <w:sz w:val="22"/>
          <w:szCs w:val="22"/>
        </w:rPr>
        <w:t>Subsection (4) of section 287.055, Florida Statutes, is amended to add paragraph (</w:t>
      </w:r>
      <w:r>
        <w:rPr>
          <w:rFonts w:ascii="Courier" w:hAnsi="Courier"/>
          <w:sz w:val="22"/>
          <w:szCs w:val="22"/>
        </w:rPr>
        <w:t>f</w:t>
      </w:r>
      <w:r w:rsidRPr="002249A8">
        <w:rPr>
          <w:rFonts w:ascii="Courier" w:hAnsi="Courier"/>
          <w:sz w:val="22"/>
          <w:szCs w:val="22"/>
        </w:rPr>
        <w:t>) to read:</w:t>
      </w:r>
    </w:p>
    <w:p w14:paraId="7D9223BA" w14:textId="77777777" w:rsidR="006F68D4" w:rsidRDefault="006F68D4" w:rsidP="006F68D4">
      <w:pPr>
        <w:spacing w:line="480" w:lineRule="auto"/>
        <w:ind w:left="180" w:right="720"/>
        <w:rPr>
          <w:rFonts w:ascii="Courier" w:hAnsi="Courier"/>
          <w:sz w:val="22"/>
          <w:szCs w:val="22"/>
        </w:rPr>
      </w:pPr>
      <w:r w:rsidRPr="002249A8">
        <w:rPr>
          <w:rFonts w:ascii="Courier" w:hAnsi="Courier"/>
          <w:sz w:val="22"/>
          <w:szCs w:val="22"/>
        </w:rPr>
        <w:t>(4) COMPETITIVE SELECTION.—</w:t>
      </w:r>
    </w:p>
    <w:p w14:paraId="6A719652" w14:textId="77777777" w:rsidR="006F68D4" w:rsidRDefault="006F68D4" w:rsidP="006F68D4">
      <w:pPr>
        <w:spacing w:line="480" w:lineRule="auto"/>
        <w:ind w:left="180" w:right="720"/>
        <w:rPr>
          <w:rFonts w:ascii="Courier" w:hAnsi="Courier"/>
          <w:sz w:val="22"/>
          <w:szCs w:val="22"/>
        </w:rPr>
      </w:pPr>
      <w:r>
        <w:rPr>
          <w:rFonts w:ascii="Courier" w:hAnsi="Courier"/>
          <w:sz w:val="22"/>
          <w:szCs w:val="22"/>
        </w:rPr>
        <w:t>…</w:t>
      </w:r>
    </w:p>
    <w:p w14:paraId="27E9544D" w14:textId="5604B48A" w:rsidR="00C91689" w:rsidRDefault="007B5EA3" w:rsidP="002249A8">
      <w:pPr>
        <w:spacing w:line="480" w:lineRule="auto"/>
        <w:ind w:left="180" w:right="720"/>
        <w:rPr>
          <w:rFonts w:ascii="Courier" w:hAnsi="Courier"/>
          <w:sz w:val="22"/>
          <w:szCs w:val="22"/>
          <w:u w:val="single"/>
        </w:rPr>
      </w:pPr>
      <w:r>
        <w:rPr>
          <w:rFonts w:ascii="Courier" w:hAnsi="Courier"/>
          <w:sz w:val="22"/>
          <w:szCs w:val="22"/>
          <w:u w:val="single"/>
        </w:rPr>
        <w:t xml:space="preserve">(f) </w:t>
      </w:r>
      <w:r w:rsidR="007974DB">
        <w:rPr>
          <w:rFonts w:ascii="Courier" w:hAnsi="Courier"/>
          <w:sz w:val="22"/>
          <w:szCs w:val="22"/>
          <w:u w:val="single"/>
        </w:rPr>
        <w:t>A</w:t>
      </w:r>
      <w:r>
        <w:rPr>
          <w:rFonts w:ascii="Courier" w:hAnsi="Courier"/>
          <w:sz w:val="22"/>
          <w:szCs w:val="22"/>
          <w:u w:val="single"/>
        </w:rPr>
        <w:t>n agency</w:t>
      </w:r>
      <w:r w:rsidRPr="007B5EA3">
        <w:rPr>
          <w:rFonts w:ascii="Courier" w:hAnsi="Courier"/>
          <w:sz w:val="22"/>
          <w:szCs w:val="22"/>
          <w:u w:val="single"/>
        </w:rPr>
        <w:t xml:space="preserve"> </w:t>
      </w:r>
      <w:r w:rsidR="00B172E3" w:rsidRPr="007B5EA3">
        <w:rPr>
          <w:rFonts w:ascii="Courier" w:hAnsi="Courier"/>
          <w:sz w:val="22"/>
          <w:szCs w:val="22"/>
          <w:u w:val="single"/>
        </w:rPr>
        <w:t>solicit</w:t>
      </w:r>
      <w:r w:rsidR="00B172E3">
        <w:rPr>
          <w:rFonts w:ascii="Courier" w:hAnsi="Courier"/>
          <w:sz w:val="22"/>
          <w:szCs w:val="22"/>
          <w:u w:val="single"/>
        </w:rPr>
        <w:t>ing</w:t>
      </w:r>
      <w:r w:rsidR="00B172E3" w:rsidRPr="007B5EA3">
        <w:rPr>
          <w:rFonts w:ascii="Courier" w:hAnsi="Courier"/>
          <w:sz w:val="22"/>
          <w:szCs w:val="22"/>
          <w:u w:val="single"/>
        </w:rPr>
        <w:t xml:space="preserve"> a </w:t>
      </w:r>
      <w:r w:rsidR="00B172E3">
        <w:rPr>
          <w:rFonts w:ascii="Courier" w:hAnsi="Courier"/>
          <w:sz w:val="22"/>
          <w:szCs w:val="22"/>
          <w:u w:val="single"/>
        </w:rPr>
        <w:t>public-private partnership</w:t>
      </w:r>
      <w:r w:rsidR="00B172E3" w:rsidRPr="007B5EA3">
        <w:rPr>
          <w:rFonts w:ascii="Courier" w:hAnsi="Courier"/>
          <w:sz w:val="22"/>
          <w:szCs w:val="22"/>
          <w:u w:val="single"/>
        </w:rPr>
        <w:t xml:space="preserve"> project subject to </w:t>
      </w:r>
      <w:r w:rsidR="00B172E3">
        <w:rPr>
          <w:rFonts w:ascii="Courier" w:hAnsi="Courier"/>
          <w:sz w:val="22"/>
          <w:szCs w:val="22"/>
          <w:u w:val="single"/>
        </w:rPr>
        <w:t xml:space="preserve">this act </w:t>
      </w:r>
      <w:r w:rsidR="007974DB">
        <w:rPr>
          <w:rFonts w:ascii="Courier" w:hAnsi="Courier"/>
          <w:sz w:val="22"/>
          <w:szCs w:val="22"/>
          <w:u w:val="single"/>
        </w:rPr>
        <w:t xml:space="preserve">is not required to </w:t>
      </w:r>
      <w:r w:rsidR="000D0F81">
        <w:rPr>
          <w:rFonts w:ascii="Courier" w:hAnsi="Courier"/>
          <w:sz w:val="22"/>
          <w:szCs w:val="22"/>
          <w:u w:val="single"/>
        </w:rPr>
        <w:t>proceed with the two-step process set forth in</w:t>
      </w:r>
      <w:r w:rsidR="007974DB">
        <w:rPr>
          <w:rFonts w:ascii="Courier" w:hAnsi="Courier"/>
          <w:sz w:val="22"/>
          <w:szCs w:val="22"/>
          <w:u w:val="single"/>
        </w:rPr>
        <w:t xml:space="preserve"> </w:t>
      </w:r>
      <w:r w:rsidR="007974DB" w:rsidRPr="002249A8">
        <w:rPr>
          <w:rFonts w:ascii="Courier" w:hAnsi="Courier"/>
          <w:sz w:val="22"/>
          <w:szCs w:val="22"/>
          <w:u w:val="single"/>
        </w:rPr>
        <w:t>paragraphs (a) and (b),</w:t>
      </w:r>
      <w:r w:rsidR="007974DB">
        <w:rPr>
          <w:rFonts w:ascii="Courier" w:hAnsi="Courier"/>
          <w:sz w:val="22"/>
          <w:szCs w:val="22"/>
          <w:u w:val="single"/>
        </w:rPr>
        <w:t xml:space="preserve"> but instead may comply</w:t>
      </w:r>
      <w:r w:rsidR="000D0F81">
        <w:rPr>
          <w:rFonts w:ascii="Courier" w:hAnsi="Courier"/>
          <w:sz w:val="22"/>
          <w:szCs w:val="22"/>
          <w:u w:val="single"/>
        </w:rPr>
        <w:t xml:space="preserve"> herewith</w:t>
      </w:r>
      <w:r w:rsidR="007974DB">
        <w:rPr>
          <w:rFonts w:ascii="Courier" w:hAnsi="Courier"/>
          <w:sz w:val="22"/>
          <w:szCs w:val="22"/>
          <w:u w:val="single"/>
        </w:rPr>
        <w:t xml:space="preserve"> by </w:t>
      </w:r>
      <w:r w:rsidR="007974DB" w:rsidRPr="007B5EA3">
        <w:rPr>
          <w:rFonts w:ascii="Courier" w:hAnsi="Courier"/>
          <w:sz w:val="22"/>
          <w:szCs w:val="22"/>
          <w:u w:val="single"/>
        </w:rPr>
        <w:t>select</w:t>
      </w:r>
      <w:r w:rsidR="007974DB">
        <w:rPr>
          <w:rFonts w:ascii="Courier" w:hAnsi="Courier"/>
          <w:sz w:val="22"/>
          <w:szCs w:val="22"/>
          <w:u w:val="single"/>
        </w:rPr>
        <w:t>ing</w:t>
      </w:r>
      <w:r w:rsidR="007974DB" w:rsidRPr="007B5EA3">
        <w:rPr>
          <w:rFonts w:ascii="Courier" w:hAnsi="Courier"/>
          <w:sz w:val="22"/>
          <w:szCs w:val="22"/>
          <w:u w:val="single"/>
        </w:rPr>
        <w:t xml:space="preserve"> a developer</w:t>
      </w:r>
      <w:r w:rsidR="007974DB">
        <w:rPr>
          <w:rFonts w:ascii="Courier" w:hAnsi="Courier"/>
          <w:sz w:val="22"/>
          <w:szCs w:val="22"/>
          <w:u w:val="single"/>
        </w:rPr>
        <w:t xml:space="preserve"> or concessionaire without </w:t>
      </w:r>
      <w:r w:rsidR="007974DB" w:rsidRPr="007B5EA3">
        <w:rPr>
          <w:rFonts w:ascii="Courier" w:hAnsi="Courier"/>
          <w:sz w:val="22"/>
          <w:szCs w:val="22"/>
          <w:u w:val="single"/>
        </w:rPr>
        <w:t>an associated design team</w:t>
      </w:r>
      <w:r w:rsidR="007974DB">
        <w:rPr>
          <w:rFonts w:ascii="Courier" w:hAnsi="Courier"/>
          <w:sz w:val="22"/>
          <w:szCs w:val="22"/>
          <w:u w:val="single"/>
        </w:rPr>
        <w:t xml:space="preserve"> and requiring the </w:t>
      </w:r>
      <w:r w:rsidR="007974DB" w:rsidRPr="007B5EA3">
        <w:rPr>
          <w:rFonts w:ascii="Courier" w:hAnsi="Courier"/>
          <w:sz w:val="22"/>
          <w:szCs w:val="22"/>
          <w:u w:val="single"/>
        </w:rPr>
        <w:t>developer</w:t>
      </w:r>
      <w:r w:rsidR="007974DB">
        <w:rPr>
          <w:rFonts w:ascii="Courier" w:hAnsi="Courier"/>
          <w:sz w:val="22"/>
          <w:szCs w:val="22"/>
          <w:u w:val="single"/>
        </w:rPr>
        <w:t xml:space="preserve"> or concessionaire to </w:t>
      </w:r>
      <w:r w:rsidR="000D0F81" w:rsidRPr="007B5EA3">
        <w:rPr>
          <w:rFonts w:ascii="Courier" w:hAnsi="Courier"/>
          <w:sz w:val="22"/>
          <w:szCs w:val="22"/>
          <w:u w:val="single"/>
        </w:rPr>
        <w:t>procure its design team in a manner that complies with</w:t>
      </w:r>
      <w:r w:rsidR="000D0F81">
        <w:rPr>
          <w:rFonts w:ascii="Courier" w:hAnsi="Courier"/>
          <w:sz w:val="22"/>
          <w:szCs w:val="22"/>
          <w:u w:val="single"/>
        </w:rPr>
        <w:t xml:space="preserve"> the requirements of this act.</w:t>
      </w:r>
    </w:p>
    <w:p w14:paraId="396AFCDE" w14:textId="77777777" w:rsidR="007B5EA3" w:rsidRPr="002249A8" w:rsidRDefault="007B5EA3" w:rsidP="002249A8">
      <w:pPr>
        <w:spacing w:line="480" w:lineRule="auto"/>
        <w:ind w:left="180" w:right="720"/>
        <w:rPr>
          <w:rFonts w:ascii="Courier" w:hAnsi="Courier"/>
          <w:sz w:val="22"/>
          <w:szCs w:val="22"/>
          <w:u w:val="single"/>
        </w:rPr>
      </w:pPr>
    </w:p>
    <w:p w14:paraId="6FCC26D9" w14:textId="0A8730F6" w:rsidR="002249A8" w:rsidRPr="002249A8" w:rsidRDefault="002249A8" w:rsidP="002249A8">
      <w:pPr>
        <w:spacing w:line="480" w:lineRule="auto"/>
        <w:ind w:left="180" w:right="720"/>
        <w:rPr>
          <w:rFonts w:ascii="Courier" w:hAnsi="Courier"/>
          <w:sz w:val="22"/>
          <w:szCs w:val="22"/>
        </w:rPr>
      </w:pPr>
      <w:r w:rsidRPr="002249A8">
        <w:rPr>
          <w:rFonts w:ascii="Courier" w:hAnsi="Courier"/>
          <w:sz w:val="22"/>
          <w:szCs w:val="22"/>
        </w:rPr>
        <w:t xml:space="preserve">Section 287.055, Florida Statutes, add </w:t>
      </w:r>
      <w:r w:rsidR="00621154">
        <w:rPr>
          <w:rFonts w:ascii="Courier" w:hAnsi="Courier"/>
          <w:sz w:val="22"/>
          <w:szCs w:val="22"/>
        </w:rPr>
        <w:t xml:space="preserve">new </w:t>
      </w:r>
      <w:r w:rsidRPr="002249A8">
        <w:rPr>
          <w:rFonts w:ascii="Courier" w:hAnsi="Courier"/>
          <w:sz w:val="22"/>
          <w:szCs w:val="22"/>
        </w:rPr>
        <w:t>subsection</w:t>
      </w:r>
      <w:r w:rsidR="00621154">
        <w:rPr>
          <w:rFonts w:ascii="Courier" w:hAnsi="Courier"/>
          <w:sz w:val="22"/>
          <w:szCs w:val="22"/>
        </w:rPr>
        <w:t xml:space="preserve"> (10) and renumber existing subsections</w:t>
      </w:r>
      <w:r w:rsidRPr="002249A8">
        <w:rPr>
          <w:rFonts w:ascii="Courier" w:hAnsi="Courier"/>
          <w:sz w:val="22"/>
          <w:szCs w:val="22"/>
        </w:rPr>
        <w:t xml:space="preserve"> to read:</w:t>
      </w:r>
    </w:p>
    <w:p w14:paraId="05FB38F7" w14:textId="681FA7F1" w:rsidR="002249A8" w:rsidRDefault="002249A8" w:rsidP="002249A8">
      <w:pPr>
        <w:spacing w:line="480" w:lineRule="auto"/>
        <w:ind w:left="180" w:right="720"/>
        <w:rPr>
          <w:rFonts w:ascii="Courier" w:hAnsi="Courier"/>
          <w:sz w:val="22"/>
          <w:szCs w:val="22"/>
          <w:u w:val="single"/>
        </w:rPr>
      </w:pPr>
      <w:r w:rsidRPr="0018363B">
        <w:rPr>
          <w:rFonts w:ascii="Courier" w:hAnsi="Courier"/>
          <w:sz w:val="22"/>
          <w:szCs w:val="22"/>
          <w:u w:val="single"/>
        </w:rPr>
        <w:t>(1</w:t>
      </w:r>
      <w:r w:rsidR="00621154">
        <w:rPr>
          <w:rFonts w:ascii="Courier" w:hAnsi="Courier"/>
          <w:sz w:val="22"/>
          <w:szCs w:val="22"/>
          <w:u w:val="single"/>
        </w:rPr>
        <w:t>0</w:t>
      </w:r>
      <w:r w:rsidRPr="0018363B">
        <w:rPr>
          <w:rFonts w:ascii="Courier" w:hAnsi="Courier"/>
          <w:sz w:val="22"/>
          <w:szCs w:val="22"/>
          <w:u w:val="single"/>
        </w:rPr>
        <w:t>) P</w:t>
      </w:r>
      <w:r w:rsidR="00C5026A" w:rsidRPr="0018363B">
        <w:rPr>
          <w:rFonts w:ascii="Courier" w:hAnsi="Courier"/>
          <w:sz w:val="22"/>
          <w:szCs w:val="22"/>
          <w:u w:val="single"/>
        </w:rPr>
        <w:t>HASED</w:t>
      </w:r>
      <w:r w:rsidRPr="0018363B">
        <w:rPr>
          <w:rFonts w:ascii="Courier" w:hAnsi="Courier"/>
          <w:sz w:val="22"/>
          <w:szCs w:val="22"/>
          <w:u w:val="single"/>
        </w:rPr>
        <w:t xml:space="preserve"> DESIGN-BUILD.—</w:t>
      </w:r>
      <w:r w:rsidR="00C5026A" w:rsidRPr="0018363B">
        <w:rPr>
          <w:rFonts w:ascii="Courier" w:hAnsi="Courier"/>
          <w:sz w:val="22"/>
          <w:szCs w:val="22"/>
          <w:u w:val="single"/>
        </w:rPr>
        <w:t xml:space="preserve"> </w:t>
      </w:r>
      <w:r w:rsidR="00D57BE6" w:rsidRPr="0018363B">
        <w:rPr>
          <w:rFonts w:ascii="Courier" w:hAnsi="Courier"/>
          <w:sz w:val="22"/>
          <w:szCs w:val="22"/>
          <w:u w:val="single"/>
        </w:rPr>
        <w:t>An Agency</w:t>
      </w:r>
      <w:r w:rsidR="00C5026A" w:rsidRPr="0018363B">
        <w:rPr>
          <w:rFonts w:ascii="Courier" w:hAnsi="Courier"/>
          <w:sz w:val="22"/>
          <w:szCs w:val="22"/>
          <w:u w:val="single"/>
        </w:rPr>
        <w:t xml:space="preserve"> may combine the design and construction phases of a project into a single contract and select the design-build firm in the early stages of a project</w:t>
      </w:r>
      <w:r w:rsidR="00D57BE6" w:rsidRPr="0018363B">
        <w:rPr>
          <w:rFonts w:ascii="Courier" w:hAnsi="Courier"/>
          <w:sz w:val="22"/>
          <w:szCs w:val="22"/>
          <w:u w:val="single"/>
        </w:rPr>
        <w:t xml:space="preserve"> </w:t>
      </w:r>
      <w:r w:rsidR="001F393F" w:rsidRPr="0018363B">
        <w:rPr>
          <w:rFonts w:ascii="Courier" w:hAnsi="Courier"/>
          <w:sz w:val="22"/>
          <w:szCs w:val="22"/>
          <w:u w:val="single"/>
        </w:rPr>
        <w:t>to be a</w:t>
      </w:r>
      <w:r w:rsidR="00C5026A" w:rsidRPr="0018363B">
        <w:rPr>
          <w:rFonts w:ascii="Courier" w:hAnsi="Courier"/>
          <w:sz w:val="22"/>
          <w:szCs w:val="22"/>
          <w:u w:val="single"/>
        </w:rPr>
        <w:t xml:space="preserve"> part of the collaboration and development of the design as part of a step-by-step progression through construction. Such a contract is referred to as a phased design-build contract. For phased design-build contracts, selection and award must include a two-phase process. For phase one, the </w:t>
      </w:r>
      <w:r w:rsidR="001F393F" w:rsidRPr="0018363B">
        <w:rPr>
          <w:rFonts w:ascii="Courier" w:hAnsi="Courier"/>
          <w:sz w:val="22"/>
          <w:szCs w:val="22"/>
          <w:u w:val="single"/>
        </w:rPr>
        <w:t>Agency</w:t>
      </w:r>
      <w:r w:rsidR="00C5026A" w:rsidRPr="0018363B">
        <w:rPr>
          <w:rFonts w:ascii="Courier" w:hAnsi="Courier"/>
          <w:sz w:val="22"/>
          <w:szCs w:val="22"/>
          <w:u w:val="single"/>
        </w:rPr>
        <w:t xml:space="preserve"> shall competitively award the contract to a design-build firm </w:t>
      </w:r>
      <w:r w:rsidR="00FD0E91" w:rsidRPr="0018363B">
        <w:rPr>
          <w:rFonts w:ascii="Courier" w:hAnsi="Courier"/>
          <w:sz w:val="22"/>
          <w:szCs w:val="22"/>
          <w:u w:val="single"/>
        </w:rPr>
        <w:t>by the use of a qualifications-based selection process pursuant to subsections (3), (4), and (5)</w:t>
      </w:r>
      <w:r w:rsidR="00C5026A" w:rsidRPr="0018363B">
        <w:rPr>
          <w:rFonts w:ascii="Courier" w:hAnsi="Courier"/>
          <w:sz w:val="22"/>
          <w:szCs w:val="22"/>
          <w:u w:val="single"/>
        </w:rPr>
        <w:t xml:space="preserve">. For phase two, the design-build firm shall competitively bid construction trade subcontractor packages and, based upon these bids, negotiate with the </w:t>
      </w:r>
      <w:r w:rsidR="00FD0E91" w:rsidRPr="0018363B">
        <w:rPr>
          <w:rFonts w:ascii="Courier" w:hAnsi="Courier"/>
          <w:sz w:val="22"/>
          <w:szCs w:val="22"/>
          <w:u w:val="single"/>
        </w:rPr>
        <w:t>Agency</w:t>
      </w:r>
      <w:r w:rsidR="00C5026A" w:rsidRPr="0018363B">
        <w:rPr>
          <w:rFonts w:ascii="Courier" w:hAnsi="Courier"/>
          <w:sz w:val="22"/>
          <w:szCs w:val="22"/>
          <w:u w:val="single"/>
        </w:rPr>
        <w:t xml:space="preserve"> a guaranteed maximum price</w:t>
      </w:r>
      <w:r w:rsidR="00FD0E91" w:rsidRPr="0018363B">
        <w:rPr>
          <w:rFonts w:ascii="Courier" w:hAnsi="Courier"/>
          <w:sz w:val="22"/>
          <w:szCs w:val="22"/>
          <w:u w:val="single"/>
        </w:rPr>
        <w:t xml:space="preserve"> or fixed price and guaranteed completion date</w:t>
      </w:r>
      <w:r w:rsidR="00C5026A" w:rsidRPr="0018363B">
        <w:rPr>
          <w:rFonts w:ascii="Courier" w:hAnsi="Courier"/>
          <w:sz w:val="22"/>
          <w:szCs w:val="22"/>
          <w:u w:val="single"/>
        </w:rPr>
        <w:t xml:space="preserve"> that meets the project budget and scope as advertised in the request for qualifications.</w:t>
      </w:r>
    </w:p>
    <w:p w14:paraId="596CC6D2" w14:textId="3EDAC254" w:rsidR="00C239FD" w:rsidRPr="00C239FD" w:rsidRDefault="00C239FD" w:rsidP="00C239FD">
      <w:pPr>
        <w:spacing w:line="480" w:lineRule="auto"/>
        <w:ind w:left="180" w:right="720"/>
        <w:rPr>
          <w:rFonts w:ascii="Courier" w:hAnsi="Courier"/>
          <w:sz w:val="22"/>
          <w:szCs w:val="22"/>
          <w:u w:val="single"/>
        </w:rPr>
      </w:pPr>
      <w:r w:rsidRPr="00C239FD">
        <w:rPr>
          <w:rFonts w:ascii="Courier" w:hAnsi="Courier"/>
          <w:sz w:val="22"/>
          <w:szCs w:val="22"/>
          <w:u w:val="single"/>
        </w:rPr>
        <w:t>(</w:t>
      </w:r>
      <w:r w:rsidRPr="00C239FD">
        <w:rPr>
          <w:rFonts w:ascii="Courier" w:hAnsi="Courier"/>
          <w:strike/>
          <w:sz w:val="22"/>
          <w:szCs w:val="22"/>
          <w:u w:val="single"/>
        </w:rPr>
        <w:t>10</w:t>
      </w:r>
      <w:r>
        <w:rPr>
          <w:rFonts w:ascii="Courier" w:hAnsi="Courier"/>
          <w:sz w:val="22"/>
          <w:szCs w:val="22"/>
          <w:u w:val="single"/>
        </w:rPr>
        <w:t>11</w:t>
      </w:r>
      <w:r w:rsidRPr="00C239FD">
        <w:rPr>
          <w:rFonts w:ascii="Courier" w:hAnsi="Courier"/>
          <w:sz w:val="22"/>
          <w:szCs w:val="22"/>
          <w:u w:val="single"/>
        </w:rPr>
        <w:t>) REUSE OF EXISTING PLANS.—Notwithstanding any other provision of this section, there shall be no public notice requirement or utilization of the selection process as provided in this section for projects in which the agency is able to reuse existing plans from a prior project of the agency, or, in the case of a board as defined in s. 1013.01, a prior project of that or any other board. Except for plans of a board as defined in s. 1013.01, public notice for any plans that are intended to be reused at some future time must contain a statement that provides that the plans are subject to reuse in accordance with the provisions of this subsection.</w:t>
      </w:r>
    </w:p>
    <w:p w14:paraId="1A305566" w14:textId="0CC9FE3D" w:rsidR="00621154" w:rsidRDefault="00C239FD" w:rsidP="00C239FD">
      <w:pPr>
        <w:spacing w:line="480" w:lineRule="auto"/>
        <w:ind w:left="180" w:right="720"/>
        <w:rPr>
          <w:rFonts w:ascii="Courier" w:hAnsi="Courier"/>
          <w:sz w:val="22"/>
          <w:szCs w:val="22"/>
          <w:u w:val="single"/>
        </w:rPr>
      </w:pPr>
      <w:r w:rsidRPr="00C239FD">
        <w:rPr>
          <w:rFonts w:ascii="Courier" w:hAnsi="Courier"/>
          <w:sz w:val="22"/>
          <w:szCs w:val="22"/>
          <w:u w:val="single"/>
        </w:rPr>
        <w:t>(</w:t>
      </w:r>
      <w:r w:rsidRPr="00C239FD">
        <w:rPr>
          <w:rFonts w:ascii="Courier" w:hAnsi="Courier"/>
          <w:strike/>
          <w:sz w:val="22"/>
          <w:szCs w:val="22"/>
          <w:u w:val="single"/>
        </w:rPr>
        <w:t>11</w:t>
      </w:r>
      <w:r>
        <w:rPr>
          <w:rFonts w:ascii="Courier" w:hAnsi="Courier"/>
          <w:sz w:val="22"/>
          <w:szCs w:val="22"/>
          <w:u w:val="single"/>
        </w:rPr>
        <w:t>12</w:t>
      </w:r>
      <w:r w:rsidRPr="00C239FD">
        <w:rPr>
          <w:rFonts w:ascii="Courier" w:hAnsi="Courier"/>
          <w:sz w:val="22"/>
          <w:szCs w:val="22"/>
          <w:u w:val="single"/>
        </w:rPr>
        <w:t>) CONSTRUCTION OF LAW.—Nothing in the amendment of this section by chapter 75-281, Laws of Florida, is intended to supersede the provisions of ss. 1013.45 and 1013.46.</w:t>
      </w:r>
    </w:p>
    <w:p w14:paraId="2FAE224F" w14:textId="77777777" w:rsidR="00C239FD" w:rsidRPr="0018363B" w:rsidRDefault="00C239FD" w:rsidP="00C239FD">
      <w:pPr>
        <w:spacing w:line="480" w:lineRule="auto"/>
        <w:ind w:left="180" w:right="720"/>
        <w:rPr>
          <w:rFonts w:ascii="Courier" w:hAnsi="Courier"/>
          <w:sz w:val="22"/>
          <w:szCs w:val="22"/>
          <w:u w:val="single"/>
        </w:rPr>
      </w:pPr>
    </w:p>
    <w:p w14:paraId="4D7851DC" w14:textId="08048EB3" w:rsidR="002249A8" w:rsidRDefault="00C5026A" w:rsidP="002249A8">
      <w:pPr>
        <w:spacing w:line="480" w:lineRule="auto"/>
        <w:ind w:left="180" w:right="720"/>
        <w:rPr>
          <w:rFonts w:ascii="Courier" w:hAnsi="Courier"/>
          <w:sz w:val="22"/>
          <w:szCs w:val="22"/>
          <w:u w:val="single"/>
        </w:rPr>
      </w:pPr>
      <w:r>
        <w:rPr>
          <w:rFonts w:ascii="Courier" w:hAnsi="Courier"/>
          <w:sz w:val="22"/>
          <w:szCs w:val="22"/>
          <w:u w:val="single"/>
        </w:rPr>
        <w:t>Section 255.20, Florida Statutes, is amended to read:</w:t>
      </w:r>
    </w:p>
    <w:p w14:paraId="40B3BBBC" w14:textId="7ABB2823" w:rsidR="00C5026A" w:rsidRDefault="00C5026A" w:rsidP="0018363B">
      <w:pPr>
        <w:pStyle w:val="ListParagraph"/>
        <w:numPr>
          <w:ilvl w:val="0"/>
          <w:numId w:val="1"/>
        </w:numPr>
        <w:spacing w:line="480" w:lineRule="auto"/>
        <w:ind w:right="720"/>
        <w:rPr>
          <w:rFonts w:ascii="Courier" w:hAnsi="Courier"/>
          <w:sz w:val="22"/>
          <w:szCs w:val="22"/>
          <w:u w:val="single"/>
        </w:rPr>
      </w:pPr>
      <w:r w:rsidRPr="00C5026A">
        <w:rPr>
          <w:rFonts w:ascii="Courier" w:hAnsi="Courier"/>
          <w:sz w:val="22"/>
          <w:szCs w:val="22"/>
          <w:u w:val="single"/>
        </w:rPr>
        <w:t>A county, municipality, special district as defined in chapter 189, or other political subdivision of the state seeking to construct or improve a public building, structure, or other public construction works must competitively award to an appropriately licensed contractor each project that is estimated to cost more than $300,000. For electrical work, the local government must competitively award to an appropriately licensed contractor each project that is estimated to cost more than $75,000. As used in this section, the term “competitively award” means to award contracts based on the submission of sealed bids, proposals submitted in response to a request for proposal, proposals submitted in response to a request for qualifications, or proposals submitted for competitive negotiation. This subsection expressly allows contracts for construction management services, design/build contracts,</w:t>
      </w:r>
      <w:r w:rsidR="0018363B">
        <w:rPr>
          <w:rFonts w:ascii="Courier" w:hAnsi="Courier"/>
          <w:sz w:val="22"/>
          <w:szCs w:val="22"/>
          <w:u w:val="single"/>
        </w:rPr>
        <w:t xml:space="preserve"> phased design/build contracts</w:t>
      </w:r>
      <w:r w:rsidR="0018363B">
        <w:rPr>
          <w:rFonts w:ascii="Courier" w:hAnsi="Courier"/>
          <w:sz w:val="22"/>
          <w:szCs w:val="22"/>
          <w:u w:val="single"/>
        </w:rPr>
        <w:t>,</w:t>
      </w:r>
      <w:r w:rsidRPr="00C5026A">
        <w:rPr>
          <w:rFonts w:ascii="Courier" w:hAnsi="Courier"/>
          <w:sz w:val="22"/>
          <w:szCs w:val="22"/>
          <w:u w:val="single"/>
        </w:rPr>
        <w:t xml:space="preserve"> continuation contracts based on unit prices, and any other contract arrangement with a private sector contractor permitted by any applicable municipal or county ordinance, by district resolution, or by state law. For purposes of this section, cost includes employee compensation and benefits, except inmate labor, the cost of equipment and maintenance, insurance costs, and the cost of direct materials to be used in the construction of the project, including materials purchased by the local government, and other direct costs, plus a factor of 20 percent for management, overhead, and other indirect costs. Subject to the provisions of subsection (3), the county, municipality, special district, or other political subdivision may establish, by municipal or county ordinance or special district resolution, procedures for conducting the bidding process.</w:t>
      </w:r>
    </w:p>
    <w:p w14:paraId="6DD776ED" w14:textId="77777777" w:rsidR="00621154" w:rsidRPr="00621154" w:rsidRDefault="00621154" w:rsidP="00621154">
      <w:pPr>
        <w:spacing w:line="480" w:lineRule="auto"/>
        <w:ind w:left="180" w:right="720"/>
        <w:rPr>
          <w:rFonts w:ascii="Courier" w:hAnsi="Courier"/>
          <w:sz w:val="22"/>
          <w:szCs w:val="22"/>
          <w:u w:val="single"/>
        </w:rPr>
      </w:pPr>
    </w:p>
    <w:p w14:paraId="1BE9461B" w14:textId="1B42A880" w:rsidR="00B40559" w:rsidRPr="00AC3293" w:rsidRDefault="00270734" w:rsidP="008F6A97">
      <w:pPr>
        <w:spacing w:line="480" w:lineRule="auto"/>
        <w:ind w:left="180" w:right="720" w:firstLine="540"/>
        <w:rPr>
          <w:rFonts w:ascii="Courier" w:hAnsi="Courier"/>
          <w:sz w:val="22"/>
          <w:szCs w:val="22"/>
          <w:u w:val="single"/>
        </w:rPr>
      </w:pPr>
      <w:r w:rsidRPr="00AC3293">
        <w:rPr>
          <w:rFonts w:ascii="Courier" w:hAnsi="Courier"/>
          <w:sz w:val="22"/>
          <w:szCs w:val="22"/>
          <w:u w:val="single"/>
        </w:rPr>
        <w:t xml:space="preserve">Section 2. This act shall take effect </w:t>
      </w:r>
      <w:r w:rsidR="00D66EA1">
        <w:rPr>
          <w:rFonts w:ascii="Courier" w:hAnsi="Courier"/>
          <w:sz w:val="22"/>
          <w:szCs w:val="22"/>
          <w:u w:val="single"/>
        </w:rPr>
        <w:t>July 1, 2027</w:t>
      </w:r>
      <w:r w:rsidRPr="00AC3293">
        <w:rPr>
          <w:rFonts w:ascii="Courier" w:hAnsi="Courier"/>
          <w:sz w:val="22"/>
          <w:szCs w:val="22"/>
          <w:u w:val="single"/>
        </w:rPr>
        <w:t>.</w:t>
      </w:r>
    </w:p>
    <w:sectPr w:rsidR="00B40559" w:rsidRPr="00AC329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left w:val="single" w:sz="4" w:space="4" w:color="auto"/>
        <w:right w:val="single" w:sz="4" w:space="4" w:color="auto"/>
      </w:pgBorders>
      <w:lnNumType w:countBy="1" w:distance="144"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DF2C" w14:textId="77777777" w:rsidR="00E50046" w:rsidRDefault="00E50046">
      <w:r>
        <w:separator/>
      </w:r>
    </w:p>
  </w:endnote>
  <w:endnote w:type="continuationSeparator" w:id="0">
    <w:p w14:paraId="6CD12DC8" w14:textId="77777777" w:rsidR="00E50046" w:rsidRDefault="00E5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3C8E" w14:textId="77777777" w:rsidR="0077290A" w:rsidRDefault="0077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E0CD" w14:textId="77777777" w:rsidR="00621043" w:rsidRDefault="00621043">
    <w:pPr>
      <w:pStyle w:val="Footer"/>
      <w:rPr>
        <w:rStyle w:val="ProfileInfoChar"/>
      </w:rPr>
    </w:pPr>
  </w:p>
  <w:p w14:paraId="456C0904" w14:textId="77777777" w:rsidR="00621043" w:rsidRDefault="00621043">
    <w:pPr>
      <w:pStyle w:val="Footer"/>
      <w:rPr>
        <w:rStyle w:val="ProfileInfoChar"/>
      </w:rPr>
    </w:pPr>
  </w:p>
  <w:p w14:paraId="5CA2B18C" w14:textId="77777777" w:rsidR="00621043" w:rsidRDefault="005334CF">
    <w:pPr>
      <w:pStyle w:val="Footer"/>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E674BD">
      <w:rPr>
        <w:rFonts w:ascii="Arial" w:hAnsi="Arial" w:cs="Arial"/>
        <w:noProof/>
        <w:sz w:val="22"/>
        <w:szCs w:val="22"/>
      </w:rPr>
      <w:t>4</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E674BD">
      <w:rPr>
        <w:rFonts w:ascii="Arial" w:hAnsi="Arial" w:cs="Arial"/>
        <w:noProof/>
        <w:sz w:val="22"/>
        <w:szCs w:val="22"/>
      </w:rPr>
      <w:t>4</w:t>
    </w:r>
    <w:r>
      <w:rPr>
        <w:rFonts w:ascii="Arial" w:hAnsi="Arial" w:cs="Arial"/>
        <w:sz w:val="22"/>
        <w:szCs w:val="22"/>
      </w:rPr>
      <w:fldChar w:fldCharType="end"/>
    </w:r>
  </w:p>
  <w:p w14:paraId="6882328E" w14:textId="77777777" w:rsidR="00621043" w:rsidRDefault="00621043">
    <w:pPr>
      <w:pStyle w:val="Footer"/>
      <w:jc w:val="center"/>
      <w:rPr>
        <w:rFonts w:ascii="Arial" w:hAnsi="Arial" w:cs="Arial"/>
        <w:sz w:val="18"/>
        <w:szCs w:val="18"/>
      </w:rPr>
    </w:pPr>
  </w:p>
  <w:p w14:paraId="65DA6499" w14:textId="77777777" w:rsidR="00621043" w:rsidRDefault="005334CF">
    <w:pPr>
      <w:pStyle w:val="Footer"/>
      <w:rPr>
        <w:rFonts w:ascii="Arial" w:hAnsi="Arial" w:cs="Arial"/>
        <w:sz w:val="18"/>
        <w:szCs w:val="18"/>
      </w:rPr>
    </w:pPr>
    <w:r>
      <w:rPr>
        <w:rFonts w:ascii="Arial" w:hAnsi="Arial" w:cs="Arial"/>
        <w:sz w:val="18"/>
        <w:szCs w:val="18"/>
      </w:rPr>
      <w:t xml:space="preserve">CODING:  Words </w:t>
    </w:r>
    <w:r>
      <w:rPr>
        <w:rFonts w:ascii="Arial" w:hAnsi="Arial" w:cs="Arial"/>
        <w:strike/>
        <w:sz w:val="18"/>
        <w:szCs w:val="18"/>
      </w:rPr>
      <w:t>stricken</w:t>
    </w:r>
    <w:r>
      <w:rPr>
        <w:rFonts w:ascii="Arial" w:hAnsi="Arial" w:cs="Arial"/>
        <w:sz w:val="18"/>
        <w:szCs w:val="18"/>
      </w:rPr>
      <w:t xml:space="preserve"> are deletions; words </w:t>
    </w:r>
    <w:r>
      <w:rPr>
        <w:rFonts w:ascii="Arial" w:hAnsi="Arial" w:cs="Arial"/>
        <w:sz w:val="18"/>
        <w:szCs w:val="18"/>
        <w:u w:val="single"/>
      </w:rPr>
      <w:t>underlined</w:t>
    </w:r>
    <w:r>
      <w:rPr>
        <w:rFonts w:ascii="Arial" w:hAnsi="Arial" w:cs="Arial"/>
        <w:sz w:val="18"/>
        <w:szCs w:val="18"/>
      </w:rPr>
      <w:t xml:space="preserve"> are additions.</w:t>
    </w:r>
  </w:p>
  <w:p w14:paraId="4CBDEC78" w14:textId="4021319A" w:rsidR="00E71D0D" w:rsidRDefault="00E71D0D">
    <w:pPr>
      <w:pStyle w:val="Footer"/>
      <w:rPr>
        <w:rFonts w:ascii="Arial" w:hAnsi="Arial" w:cs="Arial"/>
        <w:sz w:val="18"/>
        <w:szCs w:val="18"/>
      </w:rPr>
    </w:pPr>
    <w:r w:rsidRPr="00E71D0D">
      <w:rPr>
        <w:rStyle w:val="DocID"/>
      </w:rPr>
      <w:fldChar w:fldCharType="begin"/>
    </w:r>
    <w:r w:rsidRPr="00E71D0D">
      <w:rPr>
        <w:rStyle w:val="DocID"/>
      </w:rPr>
      <w:instrText xml:space="preserve"> DOCPROPERTY "DocID" \* MERGEFORMAT </w:instrText>
    </w:r>
    <w:r w:rsidRPr="00E71D0D">
      <w:rPr>
        <w:rStyle w:val="DocID"/>
      </w:rPr>
      <w:fldChar w:fldCharType="separate"/>
    </w:r>
    <w:r w:rsidRPr="00E71D0D">
      <w:rPr>
        <w:rStyle w:val="DocID"/>
      </w:rPr>
      <w:t>143182171.1</w:t>
    </w:r>
    <w:r w:rsidRPr="00E71D0D">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69AC" w14:textId="77777777" w:rsidR="00621043" w:rsidRDefault="005334CF">
    <w:pPr>
      <w:pStyle w:val="Footer"/>
      <w:rPr>
        <w:rStyle w:val="ProfileInfoChar"/>
      </w:rPr>
    </w:pPr>
    <w:r>
      <w:rPr>
        <w:rStyle w:val="ProfileInfoChar"/>
      </w:rPr>
      <w:t>RM:6724080:1</w:t>
    </w:r>
  </w:p>
  <w:p w14:paraId="6F25A58D" w14:textId="77777777" w:rsidR="00621043" w:rsidRDefault="00621043">
    <w:pPr>
      <w:pStyle w:val="Footer"/>
      <w:rPr>
        <w:rStyle w:val="ProfileInfoChar"/>
      </w:rPr>
    </w:pPr>
  </w:p>
  <w:p w14:paraId="124D09A9" w14:textId="77777777" w:rsidR="00621043" w:rsidRDefault="0062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5C5D" w14:textId="77777777" w:rsidR="00E50046" w:rsidRDefault="00E50046">
      <w:r>
        <w:separator/>
      </w:r>
    </w:p>
  </w:footnote>
  <w:footnote w:type="continuationSeparator" w:id="0">
    <w:p w14:paraId="1432BAAF" w14:textId="77777777" w:rsidR="00E50046" w:rsidRDefault="00E5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3985" w14:textId="77777777" w:rsidR="0077290A" w:rsidRDefault="00772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022" w14:textId="77777777" w:rsidR="00621043" w:rsidRDefault="00621043">
    <w:pPr>
      <w:pStyle w:val="Header"/>
      <w:jc w:val="right"/>
      <w:rPr>
        <w:rFonts w:ascii="Arial" w:hAnsi="Arial" w:cs="Arial"/>
        <w:sz w:val="20"/>
        <w:szCs w:val="20"/>
      </w:rPr>
    </w:pPr>
  </w:p>
  <w:p w14:paraId="71F4D830" w14:textId="77777777" w:rsidR="00621043" w:rsidRDefault="00621043">
    <w:pPr>
      <w:pStyle w:val="Header"/>
      <w:jc w:val="right"/>
      <w:rPr>
        <w:rFonts w:ascii="Arial" w:hAnsi="Arial" w:cs="Arial"/>
        <w:sz w:val="20"/>
        <w:szCs w:val="20"/>
      </w:rPr>
    </w:pPr>
  </w:p>
  <w:p w14:paraId="5916A059" w14:textId="77777777" w:rsidR="00621043" w:rsidRDefault="005334CF">
    <w:pPr>
      <w:pStyle w:val="Header"/>
      <w:jc w:val="right"/>
      <w:rPr>
        <w:rFonts w:ascii="Arial" w:hAnsi="Arial" w:cs="Arial"/>
        <w:sz w:val="20"/>
        <w:szCs w:val="20"/>
      </w:rPr>
    </w:pPr>
    <w:r>
      <w:rPr>
        <w:rFonts w:ascii="Arial" w:hAnsi="Arial" w:cs="Arial"/>
        <w:sz w:val="20"/>
        <w:szCs w:val="20"/>
      </w:rPr>
      <w:t>20</w:t>
    </w:r>
    <w:r w:rsidR="00CC39B7">
      <w:rPr>
        <w:rFonts w:ascii="Arial" w:hAnsi="Arial" w:cs="Arial"/>
        <w:sz w:val="20"/>
        <w:szCs w:val="20"/>
      </w:rPr>
      <w:t>25</w:t>
    </w:r>
  </w:p>
  <w:p w14:paraId="54125A5C" w14:textId="77777777" w:rsidR="00621043" w:rsidRDefault="00621043">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39B9" w14:textId="77777777" w:rsidR="0077290A" w:rsidRDefault="0077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4342F"/>
    <w:multiLevelType w:val="hybridMultilevel"/>
    <w:tmpl w:val="28604500"/>
    <w:lvl w:ilvl="0" w:tplc="7F963BD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07338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8A5E06"/>
    <w:rsid w:val="000039B5"/>
    <w:rsid w:val="00022161"/>
    <w:rsid w:val="00023B0C"/>
    <w:rsid w:val="000271FB"/>
    <w:rsid w:val="00031538"/>
    <w:rsid w:val="000343B6"/>
    <w:rsid w:val="00036FD7"/>
    <w:rsid w:val="00046FCB"/>
    <w:rsid w:val="000560C3"/>
    <w:rsid w:val="0007414E"/>
    <w:rsid w:val="0007496C"/>
    <w:rsid w:val="00095B90"/>
    <w:rsid w:val="000968EF"/>
    <w:rsid w:val="000B6D9F"/>
    <w:rsid w:val="000C6254"/>
    <w:rsid w:val="000C6FB3"/>
    <w:rsid w:val="000D0F81"/>
    <w:rsid w:val="000D77B2"/>
    <w:rsid w:val="000E651C"/>
    <w:rsid w:val="00122CBD"/>
    <w:rsid w:val="00127ECC"/>
    <w:rsid w:val="00172D47"/>
    <w:rsid w:val="0018363B"/>
    <w:rsid w:val="001947AA"/>
    <w:rsid w:val="00197E92"/>
    <w:rsid w:val="001A0C64"/>
    <w:rsid w:val="001B18F5"/>
    <w:rsid w:val="001F393F"/>
    <w:rsid w:val="00202407"/>
    <w:rsid w:val="002249A8"/>
    <w:rsid w:val="00226B58"/>
    <w:rsid w:val="00226CAE"/>
    <w:rsid w:val="00244160"/>
    <w:rsid w:val="00270734"/>
    <w:rsid w:val="00277EB6"/>
    <w:rsid w:val="002A21AE"/>
    <w:rsid w:val="002A2B38"/>
    <w:rsid w:val="002B5F28"/>
    <w:rsid w:val="002E3800"/>
    <w:rsid w:val="002E4C39"/>
    <w:rsid w:val="002F14D8"/>
    <w:rsid w:val="003027AE"/>
    <w:rsid w:val="00302F31"/>
    <w:rsid w:val="00303018"/>
    <w:rsid w:val="00307A1F"/>
    <w:rsid w:val="00316B03"/>
    <w:rsid w:val="00316C24"/>
    <w:rsid w:val="00323478"/>
    <w:rsid w:val="003244F5"/>
    <w:rsid w:val="0032547B"/>
    <w:rsid w:val="0036301E"/>
    <w:rsid w:val="00393A39"/>
    <w:rsid w:val="0039432B"/>
    <w:rsid w:val="003977A0"/>
    <w:rsid w:val="003C775C"/>
    <w:rsid w:val="003F0985"/>
    <w:rsid w:val="003F5EB6"/>
    <w:rsid w:val="004176C9"/>
    <w:rsid w:val="00422419"/>
    <w:rsid w:val="004326C9"/>
    <w:rsid w:val="004355C2"/>
    <w:rsid w:val="004677F4"/>
    <w:rsid w:val="0047455F"/>
    <w:rsid w:val="004774C6"/>
    <w:rsid w:val="00485730"/>
    <w:rsid w:val="004B4DD3"/>
    <w:rsid w:val="004C449E"/>
    <w:rsid w:val="004C4B90"/>
    <w:rsid w:val="004D0DB1"/>
    <w:rsid w:val="004F1E46"/>
    <w:rsid w:val="005213E1"/>
    <w:rsid w:val="005334CF"/>
    <w:rsid w:val="00534BD4"/>
    <w:rsid w:val="00550514"/>
    <w:rsid w:val="0057640A"/>
    <w:rsid w:val="00597823"/>
    <w:rsid w:val="005D30C5"/>
    <w:rsid w:val="005E60CB"/>
    <w:rsid w:val="005F79E4"/>
    <w:rsid w:val="00601AAD"/>
    <w:rsid w:val="0061386E"/>
    <w:rsid w:val="00616B10"/>
    <w:rsid w:val="006177C9"/>
    <w:rsid w:val="00621043"/>
    <w:rsid w:val="00621154"/>
    <w:rsid w:val="00633B75"/>
    <w:rsid w:val="00661AE5"/>
    <w:rsid w:val="00667C8C"/>
    <w:rsid w:val="00680EDF"/>
    <w:rsid w:val="006A1223"/>
    <w:rsid w:val="006A3E6C"/>
    <w:rsid w:val="006E254D"/>
    <w:rsid w:val="006F09C6"/>
    <w:rsid w:val="006F68D4"/>
    <w:rsid w:val="00714C38"/>
    <w:rsid w:val="0071702C"/>
    <w:rsid w:val="00717E68"/>
    <w:rsid w:val="00733B57"/>
    <w:rsid w:val="007502D7"/>
    <w:rsid w:val="0077103C"/>
    <w:rsid w:val="0077290A"/>
    <w:rsid w:val="00795B9C"/>
    <w:rsid w:val="007974DB"/>
    <w:rsid w:val="007A450A"/>
    <w:rsid w:val="007A4CE9"/>
    <w:rsid w:val="007A75CE"/>
    <w:rsid w:val="007B5EA3"/>
    <w:rsid w:val="007C0E3A"/>
    <w:rsid w:val="007C6CB9"/>
    <w:rsid w:val="007F0A3C"/>
    <w:rsid w:val="00853EFC"/>
    <w:rsid w:val="008A14FE"/>
    <w:rsid w:val="008A5E06"/>
    <w:rsid w:val="008C7158"/>
    <w:rsid w:val="008E49FA"/>
    <w:rsid w:val="008F6A97"/>
    <w:rsid w:val="009173FD"/>
    <w:rsid w:val="009265BD"/>
    <w:rsid w:val="00951EB1"/>
    <w:rsid w:val="009521CB"/>
    <w:rsid w:val="009701C2"/>
    <w:rsid w:val="00997707"/>
    <w:rsid w:val="009E1653"/>
    <w:rsid w:val="009E290E"/>
    <w:rsid w:val="009F60D7"/>
    <w:rsid w:val="00A24520"/>
    <w:rsid w:val="00A26229"/>
    <w:rsid w:val="00A40A4D"/>
    <w:rsid w:val="00A432A6"/>
    <w:rsid w:val="00A5589B"/>
    <w:rsid w:val="00A70691"/>
    <w:rsid w:val="00A71478"/>
    <w:rsid w:val="00A73278"/>
    <w:rsid w:val="00AB7884"/>
    <w:rsid w:val="00AC3293"/>
    <w:rsid w:val="00AD1334"/>
    <w:rsid w:val="00AF0290"/>
    <w:rsid w:val="00B10661"/>
    <w:rsid w:val="00B108D1"/>
    <w:rsid w:val="00B1227B"/>
    <w:rsid w:val="00B172E3"/>
    <w:rsid w:val="00B40559"/>
    <w:rsid w:val="00B4306F"/>
    <w:rsid w:val="00B73C97"/>
    <w:rsid w:val="00BC2BCD"/>
    <w:rsid w:val="00BE158F"/>
    <w:rsid w:val="00BF6E31"/>
    <w:rsid w:val="00C16695"/>
    <w:rsid w:val="00C239FD"/>
    <w:rsid w:val="00C34A4E"/>
    <w:rsid w:val="00C459DF"/>
    <w:rsid w:val="00C500D1"/>
    <w:rsid w:val="00C5026A"/>
    <w:rsid w:val="00C745F7"/>
    <w:rsid w:val="00C91689"/>
    <w:rsid w:val="00C96ED5"/>
    <w:rsid w:val="00CC39B7"/>
    <w:rsid w:val="00CD6D5E"/>
    <w:rsid w:val="00CE4558"/>
    <w:rsid w:val="00CE61C1"/>
    <w:rsid w:val="00D12911"/>
    <w:rsid w:val="00D13BD3"/>
    <w:rsid w:val="00D17757"/>
    <w:rsid w:val="00D21804"/>
    <w:rsid w:val="00D37CA6"/>
    <w:rsid w:val="00D42F96"/>
    <w:rsid w:val="00D54D35"/>
    <w:rsid w:val="00D55227"/>
    <w:rsid w:val="00D57BE6"/>
    <w:rsid w:val="00D66EA1"/>
    <w:rsid w:val="00D70C86"/>
    <w:rsid w:val="00D73178"/>
    <w:rsid w:val="00DC008B"/>
    <w:rsid w:val="00DD44B6"/>
    <w:rsid w:val="00DF045E"/>
    <w:rsid w:val="00DF071C"/>
    <w:rsid w:val="00E0045C"/>
    <w:rsid w:val="00E00556"/>
    <w:rsid w:val="00E05993"/>
    <w:rsid w:val="00E2041A"/>
    <w:rsid w:val="00E50046"/>
    <w:rsid w:val="00E53EDD"/>
    <w:rsid w:val="00E674BD"/>
    <w:rsid w:val="00E71D0D"/>
    <w:rsid w:val="00E81FB7"/>
    <w:rsid w:val="00E84A9D"/>
    <w:rsid w:val="00E85B9C"/>
    <w:rsid w:val="00E93D59"/>
    <w:rsid w:val="00EB4E58"/>
    <w:rsid w:val="00ED61C6"/>
    <w:rsid w:val="00F042B2"/>
    <w:rsid w:val="00F0617E"/>
    <w:rsid w:val="00F45A67"/>
    <w:rsid w:val="00F60716"/>
    <w:rsid w:val="00F64A32"/>
    <w:rsid w:val="00F64A39"/>
    <w:rsid w:val="00F702B1"/>
    <w:rsid w:val="00F743AF"/>
    <w:rsid w:val="00F766CA"/>
    <w:rsid w:val="00F96CC3"/>
    <w:rsid w:val="00FD0E91"/>
    <w:rsid w:val="00FD5855"/>
    <w:rsid w:val="00FF3D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4418A1"/>
  <w15:chartTrackingRefBased/>
  <w15:docId w15:val="{3C41A0B5-C6D6-4AAE-9645-FC15A67F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ofileInfo">
    <w:name w:val="ProfileInfo"/>
    <w:basedOn w:val="Normal"/>
    <w:next w:val="Normal"/>
    <w:link w:val="ProfileInfoChar"/>
    <w:rPr>
      <w:sz w:val="16"/>
    </w:rPr>
  </w:style>
  <w:style w:type="character" w:customStyle="1" w:styleId="ProfileInfoChar">
    <w:name w:val="ProfileInfo Char"/>
    <w:link w:val="ProfileInfo"/>
    <w:rPr>
      <w:sz w:val="16"/>
      <w:szCs w:val="24"/>
      <w:lang w:val="en-US" w:eastAsia="en-US" w:bidi="ar-SA"/>
    </w:rPr>
  </w:style>
  <w:style w:type="character" w:styleId="CommentReference">
    <w:name w:val="annotation reference"/>
    <w:rsid w:val="00AD1334"/>
    <w:rPr>
      <w:sz w:val="16"/>
      <w:szCs w:val="16"/>
    </w:rPr>
  </w:style>
  <w:style w:type="paragraph" w:styleId="CommentText">
    <w:name w:val="annotation text"/>
    <w:basedOn w:val="Normal"/>
    <w:link w:val="CommentTextChar"/>
    <w:rsid w:val="00AD1334"/>
    <w:rPr>
      <w:sz w:val="20"/>
      <w:szCs w:val="20"/>
    </w:rPr>
  </w:style>
  <w:style w:type="character" w:customStyle="1" w:styleId="CommentTextChar">
    <w:name w:val="Comment Text Char"/>
    <w:basedOn w:val="DefaultParagraphFont"/>
    <w:link w:val="CommentText"/>
    <w:rsid w:val="00AD1334"/>
  </w:style>
  <w:style w:type="paragraph" w:styleId="CommentSubject">
    <w:name w:val="annotation subject"/>
    <w:basedOn w:val="CommentText"/>
    <w:next w:val="CommentText"/>
    <w:link w:val="CommentSubjectChar"/>
    <w:rsid w:val="00AD1334"/>
    <w:rPr>
      <w:b/>
      <w:bCs/>
    </w:rPr>
  </w:style>
  <w:style w:type="character" w:customStyle="1" w:styleId="CommentSubjectChar">
    <w:name w:val="Comment Subject Char"/>
    <w:link w:val="CommentSubject"/>
    <w:rsid w:val="00AD1334"/>
    <w:rPr>
      <w:b/>
      <w:bCs/>
    </w:rPr>
  </w:style>
  <w:style w:type="paragraph" w:styleId="BalloonText">
    <w:name w:val="Balloon Text"/>
    <w:basedOn w:val="Normal"/>
    <w:link w:val="BalloonTextChar"/>
    <w:rsid w:val="00AD1334"/>
    <w:rPr>
      <w:rFonts w:ascii="Segoe UI" w:hAnsi="Segoe UI" w:cs="Segoe UI"/>
      <w:sz w:val="18"/>
      <w:szCs w:val="18"/>
    </w:rPr>
  </w:style>
  <w:style w:type="character" w:customStyle="1" w:styleId="BalloonTextChar">
    <w:name w:val="Balloon Text Char"/>
    <w:link w:val="BalloonText"/>
    <w:rsid w:val="00AD1334"/>
    <w:rPr>
      <w:rFonts w:ascii="Segoe UI" w:hAnsi="Segoe UI" w:cs="Segoe UI"/>
      <w:sz w:val="18"/>
      <w:szCs w:val="18"/>
    </w:rPr>
  </w:style>
  <w:style w:type="paragraph" w:styleId="Revision">
    <w:name w:val="Revision"/>
    <w:hidden/>
    <w:uiPriority w:val="99"/>
    <w:semiHidden/>
    <w:rsid w:val="002F14D8"/>
    <w:rPr>
      <w:sz w:val="24"/>
      <w:szCs w:val="24"/>
    </w:rPr>
  </w:style>
  <w:style w:type="character" w:styleId="Hyperlink">
    <w:name w:val="Hyperlink"/>
    <w:basedOn w:val="DefaultParagraphFont"/>
    <w:rsid w:val="004326C9"/>
    <w:rPr>
      <w:color w:val="467886" w:themeColor="hyperlink"/>
      <w:u w:val="single"/>
    </w:rPr>
  </w:style>
  <w:style w:type="character" w:styleId="UnresolvedMention">
    <w:name w:val="Unresolved Mention"/>
    <w:basedOn w:val="DefaultParagraphFont"/>
    <w:uiPriority w:val="99"/>
    <w:semiHidden/>
    <w:unhideWhenUsed/>
    <w:rsid w:val="004326C9"/>
    <w:rPr>
      <w:color w:val="605E5C"/>
      <w:shd w:val="clear" w:color="auto" w:fill="E1DFDD"/>
    </w:rPr>
  </w:style>
  <w:style w:type="paragraph" w:styleId="ListParagraph">
    <w:name w:val="List Paragraph"/>
    <w:basedOn w:val="Normal"/>
    <w:uiPriority w:val="34"/>
    <w:qFormat/>
    <w:rsid w:val="00C5026A"/>
    <w:pPr>
      <w:ind w:left="720"/>
      <w:contextualSpacing/>
    </w:pPr>
  </w:style>
  <w:style w:type="character" w:customStyle="1" w:styleId="DocID">
    <w:name w:val="DocID"/>
    <w:basedOn w:val="DefaultParagraphFont"/>
    <w:rsid w:val="00E71D0D"/>
    <w:rPr>
      <w:rFonts w:ascii="Arial" w:hAnsi="Arial" w:cs="Arial"/>
      <w:b w:val="0"/>
      <w:i w:val="0"/>
      <w:caps w:val="0"/>
      <w:vanish w:val="0"/>
      <w:color w:val="000000"/>
      <w:sz w:val="18"/>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30633">
      <w:bodyDiv w:val="1"/>
      <w:marLeft w:val="0"/>
      <w:marRight w:val="0"/>
      <w:marTop w:val="0"/>
      <w:marBottom w:val="0"/>
      <w:divBdr>
        <w:top w:val="none" w:sz="0" w:space="0" w:color="auto"/>
        <w:left w:val="none" w:sz="0" w:space="0" w:color="auto"/>
        <w:bottom w:val="none" w:sz="0" w:space="0" w:color="auto"/>
        <w:right w:val="none" w:sz="0" w:space="0" w:color="auto"/>
      </w:divBdr>
      <w:divsChild>
        <w:div w:id="1935016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965528">
      <w:bodyDiv w:val="1"/>
      <w:marLeft w:val="0"/>
      <w:marRight w:val="0"/>
      <w:marTop w:val="0"/>
      <w:marBottom w:val="0"/>
      <w:divBdr>
        <w:top w:val="none" w:sz="0" w:space="0" w:color="auto"/>
        <w:left w:val="none" w:sz="0" w:space="0" w:color="auto"/>
        <w:bottom w:val="none" w:sz="0" w:space="0" w:color="auto"/>
        <w:right w:val="none" w:sz="0" w:space="0" w:color="auto"/>
      </w:divBdr>
    </w:div>
    <w:div w:id="1415971229">
      <w:bodyDiv w:val="1"/>
      <w:marLeft w:val="0"/>
      <w:marRight w:val="0"/>
      <w:marTop w:val="0"/>
      <w:marBottom w:val="0"/>
      <w:divBdr>
        <w:top w:val="none" w:sz="0" w:space="0" w:color="auto"/>
        <w:left w:val="none" w:sz="0" w:space="0" w:color="auto"/>
        <w:bottom w:val="none" w:sz="0" w:space="0" w:color="auto"/>
        <w:right w:val="none" w:sz="0" w:space="0" w:color="auto"/>
      </w:divBdr>
    </w:div>
    <w:div w:id="1493594596">
      <w:bodyDiv w:val="1"/>
      <w:marLeft w:val="0"/>
      <w:marRight w:val="0"/>
      <w:marTop w:val="0"/>
      <w:marBottom w:val="0"/>
      <w:divBdr>
        <w:top w:val="none" w:sz="0" w:space="0" w:color="auto"/>
        <w:left w:val="none" w:sz="0" w:space="0" w:color="auto"/>
        <w:bottom w:val="none" w:sz="0" w:space="0" w:color="auto"/>
        <w:right w:val="none" w:sz="0" w:space="0" w:color="auto"/>
      </w:divBdr>
    </w:div>
    <w:div w:id="1902012365">
      <w:bodyDiv w:val="1"/>
      <w:marLeft w:val="0"/>
      <w:marRight w:val="0"/>
      <w:marTop w:val="0"/>
      <w:marBottom w:val="0"/>
      <w:divBdr>
        <w:top w:val="none" w:sz="0" w:space="0" w:color="auto"/>
        <w:left w:val="none" w:sz="0" w:space="0" w:color="auto"/>
        <w:bottom w:val="none" w:sz="0" w:space="0" w:color="auto"/>
        <w:right w:val="none" w:sz="0" w:space="0" w:color="auto"/>
      </w:divBdr>
      <w:divsChild>
        <w:div w:id="897057118">
          <w:marLeft w:val="0"/>
          <w:marRight w:val="0"/>
          <w:marTop w:val="0"/>
          <w:marBottom w:val="0"/>
          <w:divBdr>
            <w:top w:val="none" w:sz="0" w:space="0" w:color="auto"/>
            <w:left w:val="none" w:sz="0" w:space="0" w:color="auto"/>
            <w:bottom w:val="none" w:sz="0" w:space="0" w:color="auto"/>
            <w:right w:val="none" w:sz="0" w:space="0" w:color="auto"/>
          </w:divBdr>
        </w:div>
        <w:div w:id="1852064644">
          <w:marLeft w:val="0"/>
          <w:marRight w:val="0"/>
          <w:marTop w:val="0"/>
          <w:marBottom w:val="0"/>
          <w:divBdr>
            <w:top w:val="none" w:sz="0" w:space="0" w:color="auto"/>
            <w:left w:val="none" w:sz="0" w:space="0" w:color="auto"/>
            <w:bottom w:val="none" w:sz="0" w:space="0" w:color="auto"/>
            <w:right w:val="none" w:sz="0" w:space="0" w:color="auto"/>
          </w:divBdr>
        </w:div>
        <w:div w:id="2138718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2.xml>��< ? x m l   v e r s i o n = " 1 . 0 "   e n c o d i n g = " u t f - 1 6 " ? >  
 < p r o p e r t i e s   x m l n s = " h t t p : / / w w w . i m a n a g e . c o m / w o r k / x m l s c h e m a " >  
     < d o c u m e n t i d > d b C a r l t o n 0 1 ! 1 4 3 1 8 2 1 7 1 . 1 < / d o c u m e n t i d >  
     < s e n d e r i d > B H E N S < / s e n d e r i d >  
     < s e n d e r e m a i l > B H E N S O N @ C A R L T O N F I E L D S . C O M < / s e n d e r e m a i l >  
     < l a s t m o d i f i e d > 2 0 2 6 - 0 1 - 0 9 T 1 1 : 3 3 : 0 0 . 0 0 0 0 0 0 0 - 0 5 : 0 0 < / l a s t m o d i f i e d >  
     < d a t a b a s e > d b C a r l t o n 0 1 < / 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8549A-D8C8-4407-B024-BB971FCC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Schroder</dc:creator>
  <cp:keywords/>
  <dc:description/>
  <cp:lastModifiedBy>Henson, Brett M.</cp:lastModifiedBy>
  <cp:revision>2</cp:revision>
  <cp:lastPrinted>1900-01-01T05:00:00Z</cp:lastPrinted>
  <dcterms:created xsi:type="dcterms:W3CDTF">2026-01-09T16:33:00Z</dcterms:created>
  <dcterms:modified xsi:type="dcterms:W3CDTF">2026-01-09T16:33:00Z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143182171</vt:lpwstr>
  </property>
  <property fmtid="{D5CDD505-2E9C-101B-9397-08002B2CF9AE}" pid="3" name="DocumentVersion">
    <vt:lpwstr>1</vt:lpwstr>
  </property>
  <property fmtid="{D5CDD505-2E9C-101B-9397-08002B2CF9AE}" pid="4" name="ClientNumber">
    <vt:lpwstr>91214</vt:lpwstr>
  </property>
  <property fmtid="{D5CDD505-2E9C-101B-9397-08002B2CF9AE}" pid="5" name="MatterNumber">
    <vt:lpwstr>91229</vt:lpwstr>
  </property>
  <property fmtid="{D5CDD505-2E9C-101B-9397-08002B2CF9AE}" pid="6" name="ClientName">
    <vt:lpwstr>EMPLOYEE PERSONAL CHARGES</vt:lpwstr>
  </property>
  <property fmtid="{D5CDD505-2E9C-101B-9397-08002B2CF9AE}" pid="7" name="MatterName">
    <vt:lpwstr>HENSON, BRETT M., PERSONAL CHARGES</vt:lpwstr>
  </property>
  <property fmtid="{D5CDD505-2E9C-101B-9397-08002B2CF9AE}" pid="8" name="DatabaseName">
    <vt:lpwstr>DBCARLTON01</vt:lpwstr>
  </property>
  <property fmtid="{D5CDD505-2E9C-101B-9397-08002B2CF9AE}" pid="9" name="TypistName">
    <vt:lpwstr>BHENS</vt:lpwstr>
  </property>
  <property fmtid="{D5CDD505-2E9C-101B-9397-08002B2CF9AE}" pid="10" name="AuthorName">
    <vt:lpwstr>BHENS</vt:lpwstr>
  </property>
  <property fmtid="{D5CDD505-2E9C-101B-9397-08002B2CF9AE}" pid="11" name="InUseBy">
    <vt:lpwstr/>
  </property>
  <property fmtid="{D5CDD505-2E9C-101B-9397-08002B2CF9AE}" pid="12" name="EditDate">
    <vt:lpwstr>1/1/0001 12:00:00 AM</vt:lpwstr>
  </property>
  <property fmtid="{D5CDD505-2E9C-101B-9397-08002B2CF9AE}" pid="13" name="EditTime">
    <vt:lpwstr/>
  </property>
  <property fmtid="{D5CDD505-2E9C-101B-9397-08002B2CF9AE}" pid="14" name="IsiManageWork">
    <vt:lpwstr>True</vt:lpwstr>
  </property>
  <property fmtid="{D5CDD505-2E9C-101B-9397-08002B2CF9AE}" pid="15" name="DocID">
    <vt:lpwstr>143182171.1</vt:lpwstr>
  </property>
</Properties>
</file>