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LegislativeDocument"/>
        <w:tag w:val="LegislativeDocument"/>
        <w:id w:val="1138765044"/>
      </w:sdtPr>
      <w:sdtEndPr>
        <w:rPr>
          <w:rFonts w:eastAsiaTheme="minorHAnsi"/>
        </w:rPr>
      </w:sdtEndPr>
      <w:sdtContent>
        <w:sdt>
          <w:sdtPr>
            <w:alias w:val="Amendment"/>
            <w:tag w:val="Amendment"/>
            <w:id w:val="2032075044"/>
          </w:sdtPr>
          <w:sdtEndPr>
            <w:rPr>
              <w:rFonts w:eastAsiaTheme="minorHAnsi"/>
            </w:rPr>
          </w:sdtEndPr>
          <w:sdtContent>
            <w:sdt>
              <w:sdtPr>
                <w:alias w:val="LegislativeAction"/>
                <w:tag w:val="LegislativeAction"/>
                <w:id w:val="-1811629328"/>
              </w:sdtPr>
              <w:sdtEndPr/>
              <w:sdtContent>
                <w:p w:rsidR="002155ED" w:rsidRPr="00830563" w:rsidRDefault="002155ED" w:rsidP="00B0069B">
                  <w:pPr>
                    <w:pStyle w:val="AlignCenter"/>
                  </w:pPr>
                  <w:r w:rsidRPr="00830563">
                    <w:t>LEGISLATIVE ACTION</w:t>
                  </w:r>
                </w:p>
                <w:p w:rsidR="002155ED" w:rsidRPr="00307D03" w:rsidRDefault="002155ED" w:rsidP="00B0069B">
                  <w:pPr>
                    <w:jc w:val="center"/>
                    <w:sectPr w:rsidR="002155ED" w:rsidRPr="00307D03" w:rsidSect="00B350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432" w:gutter="0"/>
                      <w:pgBorders>
                        <w:left w:val="single" w:sz="4" w:space="4" w:color="auto"/>
                        <w:right w:val="single" w:sz="4" w:space="4" w:color="auto"/>
                      </w:pgBorders>
                      <w:cols w:space="720"/>
                      <w:docGrid w:linePitch="360"/>
                    </w:sectPr>
                  </w:pPr>
                </w:p>
                <w:p w:rsidR="002155ED" w:rsidRPr="00830563" w:rsidRDefault="002155ED" w:rsidP="00B0069B">
                  <w:pPr>
                    <w:pStyle w:val="AlignCenter"/>
                    <w:rPr>
                      <w:rFonts w:eastAsia="Calibri"/>
                    </w:rPr>
                  </w:pPr>
                  <w:r w:rsidRPr="00830563">
                    <w:rPr>
                      <w:rFonts w:eastAsia="Calibri"/>
                    </w:rPr>
                    <w:t>Senate</w:t>
                  </w:r>
                </w:p>
                <w:sdt>
                  <w:sdtPr>
                    <w:alias w:val="CommitteeActionSenate"/>
                    <w:tag w:val="CommitteeActionSenate"/>
                    <w:id w:val="-622998962"/>
                  </w:sdtPr>
                  <w:sdtEndPr/>
                  <w:sdtContent>
                    <w:p w:rsidR="002155ED" w:rsidRPr="008A417C" w:rsidRDefault="002155ED" w:rsidP="00B0069B">
                      <w:pPr>
                        <w:pStyle w:val="AlignCenter"/>
                        <w:suppressLineNumbers/>
                        <w:rPr>
                          <w:rFonts w:eastAsia="Calibri"/>
                        </w:rPr>
                      </w:pPr>
                    </w:p>
                    <w:p w:rsidR="002155ED" w:rsidRDefault="003A69B5" w:rsidP="00B0069B">
                      <w:pPr>
                        <w:pStyle w:val="AlignCenter"/>
                      </w:pPr>
                    </w:p>
                  </w:sdtContent>
                </w:sdt>
                <w:sdt>
                  <w:sdtPr>
                    <w:alias w:val="FloorActionSenate"/>
                    <w:tag w:val="FloorActionSenate"/>
                    <w:id w:val="2045096163"/>
                  </w:sdtPr>
                  <w:sdtEndPr/>
                  <w:sdtContent>
                    <w:p w:rsidR="002155ED" w:rsidRDefault="002155ED" w:rsidP="00B0069B">
                      <w:pPr>
                        <w:pStyle w:val="AlignCenter"/>
                      </w:pPr>
                    </w:p>
                    <w:p w:rsidR="002155ED" w:rsidRDefault="003A69B5" w:rsidP="00B0069B">
                      <w:pPr>
                        <w:pStyle w:val="AlignCenter"/>
                      </w:pPr>
                    </w:p>
                  </w:sdtContent>
                </w:sdt>
                <w:p w:rsidR="002155ED" w:rsidRDefault="002155ED" w:rsidP="00B0069B">
                  <w:pPr>
                    <w:pStyle w:val="AlignCenter"/>
                  </w:pPr>
                </w:p>
                <w:p w:rsidR="002155ED" w:rsidRDefault="002155ED" w:rsidP="00B0069B">
                  <w:pPr>
                    <w:pStyle w:val="AlignCenter"/>
                  </w:pPr>
                </w:p>
                <w:p w:rsidR="002155ED" w:rsidRDefault="002155ED" w:rsidP="00B0069B">
                  <w:pPr>
                    <w:pStyle w:val="AlignCenter"/>
                  </w:pPr>
                  <w:r w:rsidRPr="008A417C">
                    <w:rPr>
                      <w:rFonts w:eastAsia="Calibri"/>
                    </w:rPr>
                    <w:t>.</w:t>
                  </w:r>
                </w:p>
                <w:p w:rsidR="002155ED" w:rsidRPr="008A417C" w:rsidRDefault="002155ED" w:rsidP="00B0069B">
                  <w:pPr>
                    <w:suppressLineNumbers/>
                    <w:jc w:val="center"/>
                    <w:rPr>
                      <w:rFonts w:eastAsia="Calibri" w:cs="Times New Roman"/>
                      <w:szCs w:val="24"/>
                      <w:lang w:eastAsia="en-US"/>
                    </w:rPr>
                  </w:pPr>
                  <w:r w:rsidRPr="008A417C">
                    <w:rPr>
                      <w:rFonts w:eastAsia="Calibri" w:cs="Times New Roman"/>
                      <w:szCs w:val="24"/>
                      <w:lang w:eastAsia="en-US"/>
                    </w:rPr>
                    <w:t>.</w:t>
                  </w:r>
                </w:p>
                <w:p w:rsidR="002155ED" w:rsidRPr="008A417C" w:rsidRDefault="002155ED" w:rsidP="00B0069B">
                  <w:pPr>
                    <w:suppressLineNumbers/>
                    <w:jc w:val="center"/>
                    <w:rPr>
                      <w:rFonts w:eastAsia="Calibri" w:cs="Times New Roman"/>
                      <w:szCs w:val="24"/>
                      <w:lang w:eastAsia="en-US"/>
                    </w:rPr>
                  </w:pPr>
                  <w:r w:rsidRPr="008A417C">
                    <w:rPr>
                      <w:rFonts w:eastAsia="Calibri" w:cs="Times New Roman"/>
                      <w:szCs w:val="24"/>
                      <w:lang w:eastAsia="en-US"/>
                    </w:rPr>
                    <w:t>.</w:t>
                  </w:r>
                </w:p>
                <w:p w:rsidR="002155ED" w:rsidRPr="008A417C" w:rsidRDefault="002155ED" w:rsidP="00B0069B">
                  <w:pPr>
                    <w:suppressLineNumbers/>
                    <w:jc w:val="center"/>
                    <w:rPr>
                      <w:rFonts w:eastAsia="Calibri" w:cs="Times New Roman"/>
                      <w:szCs w:val="24"/>
                      <w:lang w:eastAsia="en-US"/>
                    </w:rPr>
                  </w:pPr>
                  <w:r w:rsidRPr="008A417C">
                    <w:rPr>
                      <w:rFonts w:eastAsia="Calibri" w:cs="Times New Roman"/>
                      <w:szCs w:val="24"/>
                      <w:lang w:eastAsia="en-US"/>
                    </w:rPr>
                    <w:t>.</w:t>
                  </w:r>
                </w:p>
                <w:p w:rsidR="002155ED" w:rsidRPr="008A417C" w:rsidRDefault="002155ED" w:rsidP="00B0069B">
                  <w:pPr>
                    <w:suppressLineNumbers/>
                    <w:jc w:val="center"/>
                    <w:rPr>
                      <w:rFonts w:eastAsia="Calibri" w:cs="Times New Roman"/>
                      <w:szCs w:val="24"/>
                      <w:lang w:eastAsia="en-US"/>
                    </w:rPr>
                  </w:pPr>
                  <w:r w:rsidRPr="008A417C">
                    <w:rPr>
                      <w:rFonts w:eastAsia="Calibri" w:cs="Times New Roman"/>
                      <w:szCs w:val="24"/>
                      <w:lang w:eastAsia="en-US"/>
                    </w:rPr>
                    <w:t>.</w:t>
                  </w:r>
                </w:p>
                <w:p w:rsidR="002155ED" w:rsidRPr="008A417C" w:rsidRDefault="002155ED" w:rsidP="00B0069B">
                  <w:pPr>
                    <w:suppressLineNumbers/>
                    <w:jc w:val="center"/>
                    <w:rPr>
                      <w:rFonts w:eastAsia="Calibri" w:cs="Times New Roman"/>
                      <w:szCs w:val="24"/>
                      <w:lang w:eastAsia="en-US"/>
                    </w:rPr>
                  </w:pPr>
                  <w:r w:rsidRPr="008A417C">
                    <w:rPr>
                      <w:rFonts w:eastAsia="Calibri" w:cs="Times New Roman"/>
                      <w:szCs w:val="24"/>
                      <w:lang w:eastAsia="en-US"/>
                    </w:rPr>
                    <w:t>.</w:t>
                  </w:r>
                </w:p>
                <w:p w:rsidR="002155ED" w:rsidRPr="008A417C" w:rsidRDefault="002155ED" w:rsidP="00B0069B">
                  <w:pPr>
                    <w:suppressLineNumbers/>
                    <w:jc w:val="center"/>
                    <w:rPr>
                      <w:rFonts w:eastAsia="Calibri" w:cs="Times New Roman"/>
                      <w:szCs w:val="24"/>
                      <w:lang w:eastAsia="en-US"/>
                    </w:rPr>
                  </w:pPr>
                </w:p>
                <w:p w:rsidR="002155ED" w:rsidRPr="008A417C" w:rsidRDefault="002155ED" w:rsidP="00B0069B">
                  <w:pPr>
                    <w:pStyle w:val="AlignCenter"/>
                    <w:rPr>
                      <w:rFonts w:eastAsia="Calibri"/>
                    </w:rPr>
                  </w:pPr>
                  <w:r w:rsidRPr="008A417C">
                    <w:rPr>
                      <w:rFonts w:eastAsia="Calibri"/>
                    </w:rPr>
                    <w:t>House</w:t>
                  </w:r>
                </w:p>
                <w:sdt>
                  <w:sdtPr>
                    <w:alias w:val="CommitteeActionHouse"/>
                    <w:tag w:val="CommitteeActionHouse"/>
                    <w:id w:val="-735395872"/>
                  </w:sdtPr>
                  <w:sdtEndPr/>
                  <w:sdtContent>
                    <w:p w:rsidR="002155ED" w:rsidRPr="008A417C" w:rsidRDefault="002155ED" w:rsidP="00B0069B">
                      <w:pPr>
                        <w:pStyle w:val="AlignCenter"/>
                        <w:suppressLineNumbers/>
                        <w:rPr>
                          <w:rFonts w:eastAsia="Calibri"/>
                        </w:rPr>
                      </w:pPr>
                    </w:p>
                    <w:p w:rsidR="002155ED" w:rsidRDefault="003A69B5" w:rsidP="00B0069B">
                      <w:pPr>
                        <w:pStyle w:val="AlignCenter"/>
                      </w:pPr>
                    </w:p>
                  </w:sdtContent>
                </w:sdt>
                <w:sdt>
                  <w:sdtPr>
                    <w:alias w:val="FloorActionHouse"/>
                    <w:tag w:val="FloorActionHouse"/>
                    <w:id w:val="1235973283"/>
                  </w:sdtPr>
                  <w:sdtEndPr/>
                  <w:sdtContent>
                    <w:p w:rsidR="002155ED" w:rsidRDefault="002155ED" w:rsidP="00B0069B">
                      <w:pPr>
                        <w:pStyle w:val="AlignCenter"/>
                      </w:pPr>
                    </w:p>
                    <w:p w:rsidR="002155ED" w:rsidRDefault="003A69B5" w:rsidP="00B0069B">
                      <w:pPr>
                        <w:pStyle w:val="AlignCenter"/>
                      </w:pPr>
                    </w:p>
                  </w:sdtContent>
                </w:sdt>
                <w:p w:rsidR="002155ED" w:rsidRDefault="002155ED" w:rsidP="00B0069B">
                  <w:pPr>
                    <w:pStyle w:val="AlignCenter"/>
                  </w:pPr>
                  <w:r>
                    <w:t xml:space="preserve"> </w:t>
                  </w:r>
                </w:p>
              </w:sdtContent>
            </w:sdt>
            <w:p w:rsidR="002155ED" w:rsidRDefault="002155ED" w:rsidP="00B0069B">
              <w:pPr>
                <w:jc w:val="center"/>
                <w:sectPr w:rsidR="002155ED" w:rsidSect="008A1C03">
                  <w:type w:val="continuous"/>
                  <w:pgSz w:w="12240" w:h="15840"/>
                  <w:pgMar w:top="1440" w:right="1440" w:bottom="1440" w:left="1440" w:header="720" w:footer="720" w:gutter="0"/>
                  <w:pgBorders>
                    <w:left w:val="single" w:sz="4" w:space="4" w:color="auto"/>
                    <w:right w:val="single" w:sz="4" w:space="4" w:color="auto"/>
                  </w:pgBorders>
                  <w:cols w:num="3" w:space="425"/>
                  <w:docGrid w:linePitch="360"/>
                </w:sectPr>
              </w:pPr>
            </w:p>
            <w:p w:rsidR="002155ED" w:rsidRDefault="003A69B5" w:rsidP="00B0069B">
              <w:pPr>
                <w:pStyle w:val="ParagraphFlushLeft"/>
                <w:suppressLineNumbers/>
              </w:pPr>
              <w:r>
                <w:pict w14:anchorId="5F709C22">
                  <v:rect id="_x0000_i1025" style="width:0;height:1.5pt" o:hralign="center" o:hrstd="t" o:hr="t" fillcolor="#9d9da1" stroked="f"/>
                </w:pict>
              </w:r>
            </w:p>
            <w:p w:rsidR="002155ED" w:rsidRPr="008A417C" w:rsidRDefault="002155ED" w:rsidP="00B0069B">
              <w:pPr>
                <w:pStyle w:val="ParagraphFlushLeft"/>
                <w:suppressLineNumbers/>
                <w:rPr>
                  <w:rFonts w:eastAsia="Calibri"/>
                </w:rPr>
              </w:pPr>
            </w:p>
            <w:p w:rsidR="002155ED" w:rsidRPr="00062DF1" w:rsidRDefault="002155ED" w:rsidP="00B0069B">
              <w:pPr>
                <w:pStyle w:val="ParagraphFlushLeft"/>
                <w:suppressLineNumbers/>
              </w:pPr>
            </w:p>
            <w:p w:rsidR="002155ED" w:rsidRPr="00062DF1" w:rsidRDefault="002155ED" w:rsidP="00B0069B">
              <w:pPr>
                <w:pStyle w:val="ParagraphFlushLeft"/>
                <w:suppressLineNumbers/>
              </w:pPr>
            </w:p>
            <w:p w:rsidR="002155ED" w:rsidRPr="00062DF1" w:rsidRDefault="002155ED" w:rsidP="00B0069B">
              <w:pPr>
                <w:pStyle w:val="ParagraphFlushLeft"/>
                <w:suppressLineNumbers/>
              </w:pPr>
            </w:p>
            <w:p w:rsidR="002155ED" w:rsidRPr="00062DF1" w:rsidRDefault="002155ED" w:rsidP="00B0069B">
              <w:pPr>
                <w:pStyle w:val="ParagraphFlushLeft"/>
                <w:suppressLineNumbers/>
              </w:pPr>
            </w:p>
            <w:p w:rsidR="002155ED" w:rsidRPr="00062DF1" w:rsidRDefault="003A69B5" w:rsidP="00B0069B">
              <w:pPr>
                <w:suppressLineNumbers/>
                <w:rPr>
                  <w:rFonts w:eastAsia="Times New Roman" w:cs="Times New Roman"/>
                  <w:szCs w:val="24"/>
                  <w:lang w:eastAsia="en-US"/>
                </w:rPr>
              </w:pPr>
              <w:r>
                <w:rPr>
                  <w:rFonts w:eastAsia="Times New Roman" w:cs="Times New Roman"/>
                  <w:szCs w:val="24"/>
                  <w:lang w:eastAsia="en-US"/>
                </w:rPr>
                <w:pict w14:anchorId="7E229C50">
                  <v:rect id="_x0000_i1026" style="width:0;height:1.5pt" o:hralign="center" o:hrstd="t" o:hr="t" fillcolor="#9d9da1" stroked="f"/>
                </w:pict>
              </w:r>
            </w:p>
            <w:sdt>
              <w:sdtPr>
                <w:alias w:val="SponsorLine"/>
                <w:id w:val="1149181770"/>
              </w:sdtPr>
              <w:sdtEndPr/>
              <w:sdtContent>
                <w:p w:rsidR="002155ED" w:rsidRDefault="003A69B5" w:rsidP="00B0069B">
                  <w:pPr>
                    <w:pStyle w:val="ParagraphFlushLeft"/>
                    <w:suppressLineNumbers/>
                  </w:pPr>
                  <w:sdt>
                    <w:sdtPr>
                      <w:alias w:val="CommitteeName"/>
                      <w:id w:val="1541447509"/>
                    </w:sdtPr>
                    <w:sdtEndPr/>
                    <w:sdtContent>
                      <w:r w:rsidR="002155ED">
                        <w:t>The Committee on Community Affairs</w:t>
                      </w:r>
                    </w:sdtContent>
                  </w:sdt>
                  <w:r w:rsidR="002155ED">
                    <w:t xml:space="preserve"> (</w:t>
                  </w:r>
                  <w:sdt>
                    <w:sdtPr>
                      <w:alias w:val="Sponsor"/>
                      <w:id w:val="574138920"/>
                    </w:sdtPr>
                    <w:sdtEndPr/>
                    <w:sdtContent>
                      <w:r w:rsidR="002155ED">
                        <w:t>Hutson</w:t>
                      </w:r>
                    </w:sdtContent>
                  </w:sdt>
                  <w:r w:rsidR="002155ED">
                    <w:t>) recommended the following:</w:t>
                  </w:r>
                </w:p>
              </w:sdtContent>
            </w:sdt>
            <w:p w:rsidR="002155ED" w:rsidRPr="003403F0" w:rsidRDefault="002155ED" w:rsidP="00B0069B">
              <w:pPr>
                <w:pStyle w:val="ParagraphFlushLeft"/>
                <w:suppressLineNumbers/>
              </w:pPr>
            </w:p>
            <w:sdt>
              <w:sdtPr>
                <w:alias w:val="AmendmentTypeLine"/>
                <w:id w:val="71894480"/>
              </w:sdtPr>
              <w:sdtEndPr/>
              <w:sdtContent>
                <w:p w:rsidR="002155ED" w:rsidRDefault="003A69B5" w:rsidP="00B0069B">
                  <w:pPr>
                    <w:pStyle w:val="ParagraphIndent"/>
                  </w:pPr>
                  <w:sdt>
                    <w:sdtPr>
                      <w:alias w:val="AmendmentType"/>
                      <w:id w:val="1054622295"/>
                    </w:sdtPr>
                    <w:sdtEndPr/>
                    <w:sdtContent>
                      <w:r w:rsidR="002155ED">
                        <w:rPr>
                          <w:b/>
                        </w:rPr>
                        <w:t xml:space="preserve">Senate Amendment </w:t>
                      </w:r>
                    </w:sdtContent>
                  </w:sdt>
                </w:p>
              </w:sdtContent>
            </w:sdt>
            <w:p w:rsidR="002155ED" w:rsidRPr="00417209" w:rsidRDefault="002155ED" w:rsidP="00B0069B">
              <w:pPr>
                <w:pStyle w:val="ParagraphIndent"/>
                <w:rPr>
                  <w:rFonts w:eastAsiaTheme="minorHAnsi"/>
                </w:rPr>
              </w:pPr>
            </w:p>
            <w:sdt>
              <w:sdtPr>
                <w:alias w:val="BodyAmendment"/>
                <w:id w:val="2025015440"/>
              </w:sdtPr>
              <w:sdtEndPr/>
              <w:sdtContent>
                <w:sdt>
                  <w:sdtPr>
                    <w:alias w:val="AmendingInstructions"/>
                    <w:id w:val="1123302250"/>
                  </w:sdtPr>
                  <w:sdtEndPr/>
                  <w:sdtContent>
                    <w:sdt>
                      <w:sdtPr>
                        <w:alias w:val="Action"/>
                        <w:id w:val="923369032"/>
                      </w:sdtPr>
                      <w:sdtEndPr/>
                      <w:sdtContent>
                        <w:p w:rsidR="002155ED" w:rsidRDefault="003A69B5" w:rsidP="00B0069B">
                          <w:pPr>
                            <w:pStyle w:val="ParagraphIndent"/>
                          </w:pPr>
                          <w:sdt>
                            <w:sdtPr>
                              <w:alias w:val="DeleteLanguage"/>
                              <w:id w:val="730323247"/>
                            </w:sdtPr>
                            <w:sdtEndPr/>
                            <w:sdtContent>
                              <w:r w:rsidR="002155ED">
                                <w:t xml:space="preserve">Delete lines </w:t>
                              </w:r>
                            </w:sdtContent>
                          </w:sdt>
                          <w:sdt>
                            <w:sdtPr>
                              <w:alias w:val="Range"/>
                              <w:id w:val="687798272"/>
                            </w:sdtPr>
                            <w:sdtEndPr/>
                            <w:sdtContent>
                              <w:sdt>
                                <w:sdtPr>
                                  <w:alias w:val="StartLine"/>
                                  <w:id w:val="824969221"/>
                                </w:sdtPr>
                                <w:sdtEndPr/>
                                <w:sdtContent>
                                  <w:r w:rsidR="002155ED">
                                    <w:t>44</w:t>
                                  </w:r>
                                </w:sdtContent>
                              </w:sdt>
                              <w:r w:rsidR="002155ED">
                                <w:t xml:space="preserve"> - </w:t>
                              </w:r>
                              <w:sdt>
                                <w:sdtPr>
                                  <w:alias w:val="EndLine"/>
                                  <w:id w:val="290479835"/>
                                </w:sdtPr>
                                <w:sdtEndPr/>
                                <w:sdtContent>
                                  <w:r w:rsidR="002155ED">
                                    <w:t>88</w:t>
                                  </w:r>
                                </w:sdtContent>
                              </w:sdt>
                            </w:sdtContent>
                          </w:sdt>
                          <w:sdt>
                            <w:sdtPr>
                              <w:alias w:val="InsertLanguage"/>
                              <w:id w:val="1894821328"/>
                            </w:sdtPr>
                            <w:sdtEndPr/>
                            <w:sdtContent>
                              <w:r w:rsidR="002155ED">
                                <w:br/>
                                <w:t>and insert:</w:t>
                              </w:r>
                            </w:sdtContent>
                          </w:sdt>
                        </w:p>
                      </w:sdtContent>
                    </w:sdt>
                    <w:sdt>
                      <w:sdtPr>
                        <w:alias w:val="AmendingText"/>
                        <w:id w:val="1833938038"/>
                      </w:sdtPr>
                      <w:sdtEndPr/>
                      <w:sdtContent>
                        <w:p w:rsidR="002155ED" w:rsidRDefault="002155ED" w:rsidP="00B0069B">
                          <w:pPr>
                            <w:pStyle w:val="ParagraphIndent"/>
                          </w:pPr>
                          <w:r>
                            <w:t>Section 1. Paragraph (c) of subsection (3) of section 95.11, Florida Statutes, is amended and present paragraphs (d) through (q) of that subsection are redesignated as paragraphs (c) through (p), respectively, and subsection (12) is added to read:</w:t>
                          </w:r>
                        </w:p>
                        <w:p w:rsidR="002155ED" w:rsidRDefault="002155ED" w:rsidP="00B0069B">
                          <w:pPr>
                            <w:pStyle w:val="ParagraphIndent"/>
                          </w:pPr>
                          <w:r>
                            <w:t xml:space="preserve">95.11 Limitations other than for the recovery of real property.—Actions other than for recovery of real property shall </w:t>
                          </w:r>
                          <w:r>
                            <w:lastRenderedPageBreak/>
                            <w:t>be commenced as follows:</w:t>
                          </w:r>
                        </w:p>
                        <w:p w:rsidR="002155ED" w:rsidRDefault="002155ED" w:rsidP="00B0069B">
                          <w:pPr>
                            <w:pStyle w:val="ParagraphIndent"/>
                          </w:pPr>
                          <w:r>
                            <w:t>(3) WITHIN FOUR YEARS.—</w:t>
                          </w:r>
                        </w:p>
                        <w:p w:rsidR="002155ED" w:rsidRPr="0077710B" w:rsidRDefault="002155ED" w:rsidP="00B0069B">
                          <w:pPr>
                            <w:pStyle w:val="ParagraphIndent"/>
                            <w:rPr>
                              <w:rStyle w:val="Delete"/>
                            </w:rPr>
                          </w:pPr>
                          <w:r w:rsidRPr="0077710B">
                            <w:rPr>
                              <w:rStyle w:val="Delete"/>
                            </w:rPr>
                            <w:t xml:space="preserve">(c) An action founded on the design, planning, or construction of an improvement to real property, with the time running from the date of actual possession by the owner, the date of the issuance of a certificate of occupancy, the date of abandonment of construction if not completed, or the date of completion of the contract or termination of the contract between the professional engineer, registered architect, or licensed contractor and his or her employer, whichever date is latest; except that, when the action involves a latent defect, the time runs from the time the defect is discovered or should have been discovered with the exercise of due diligence. In any event, the action must be commenced within 10 years after the date of actual possession by the owner, the date of the issuance of a certificate of occupancy, the date of abandonment of construction if not completed, or the date of completion of the contract or termination of the contract between the professional engineer, registered architect, or licensed contractor and his or her employer, whichever date is latest. However, counterclaims, cross-claims, and third-party claims that arise out of the conduct, transaction, or occurrence set out or attempted to be set out in a pleading may be commenced up to 1 year after the pleading to which such claims relate is served, even if such claims would otherwise be time barred. With respect to actions founded on the design, planning, or construction of an improvement to real property, if such construction is performed pursuant to a duly issued building permit and if a local enforcement agency, state enforcement agency, or special </w:t>
                          </w:r>
                          <w:r w:rsidRPr="0077710B">
                            <w:rPr>
                              <w:rStyle w:val="Delete"/>
                            </w:rPr>
                            <w:lastRenderedPageBreak/>
                            <w:t>inspector, as those terms are defined in s. 553.71, has issued a final certificate of occupancy or certificate of completion, then as to the construction which is within the scope of such building permit and certificate, the correction of defects to completed work or repair of completed work, whether performed under warranty or otherwise, does not extend the period of time within which an action must be commenced. Completion of the contract means the later of the date of final performance of all the contracted services or the date that final payment for such services becomes due without regard to the date final payment is made.</w:t>
                          </w:r>
                        </w:p>
                        <w:p w:rsidR="002155ED" w:rsidRPr="00140C13" w:rsidRDefault="002155ED" w:rsidP="00B0069B">
                          <w:pPr>
                            <w:pStyle w:val="ParagraphIndent"/>
                            <w:rPr>
                              <w:rStyle w:val="Add"/>
                            </w:rPr>
                          </w:pPr>
                          <w:r w:rsidRPr="00140C13">
                            <w:rPr>
                              <w:rStyle w:val="Add"/>
                            </w:rPr>
                            <w:t>(12) ACTIONS RELATING TO AN IMPROVEMENT TO REAL PROPERTY.</w:t>
                          </w:r>
                          <w:r>
                            <w:rPr>
                              <w:rStyle w:val="Add"/>
                            </w:rPr>
                            <w:t>—</w:t>
                          </w:r>
                        </w:p>
                        <w:p w:rsidR="002155ED" w:rsidRPr="00140C13" w:rsidRDefault="002155ED" w:rsidP="00B0069B">
                          <w:pPr>
                            <w:pStyle w:val="ParagraphIndent"/>
                            <w:rPr>
                              <w:rStyle w:val="Add"/>
                            </w:rPr>
                          </w:pPr>
                          <w:r w:rsidRPr="00140C13">
                            <w:rPr>
                              <w:rStyle w:val="Add"/>
                            </w:rPr>
                            <w:t>(a) </w:t>
                          </w:r>
                          <w:r w:rsidRPr="006F46D2">
                            <w:rPr>
                              <w:rStyle w:val="Add"/>
                              <w:i/>
                            </w:rPr>
                            <w:t>Definitions.</w:t>
                          </w:r>
                          <w:r>
                            <w:rPr>
                              <w:rStyle w:val="Add"/>
                            </w:rPr>
                            <w:t>—</w:t>
                          </w:r>
                          <w:r w:rsidRPr="00140C13">
                            <w:rPr>
                              <w:rStyle w:val="Add"/>
                            </w:rPr>
                            <w:t>As used in this subsection the term:</w:t>
                          </w:r>
                        </w:p>
                        <w:p w:rsidR="002155ED" w:rsidRPr="00140C13" w:rsidRDefault="002155ED" w:rsidP="00B0069B">
                          <w:pPr>
                            <w:pStyle w:val="ParagraphIndent"/>
                            <w:rPr>
                              <w:rStyle w:val="Add"/>
                            </w:rPr>
                          </w:pPr>
                          <w:r w:rsidRPr="00140C13">
                            <w:rPr>
                              <w:rStyle w:val="Add"/>
                            </w:rPr>
                            <w:t>1. “Completion of the contract” means the later of the date of final performance of all the contracted services or the date that final payment for such services becomes due without regard to the date final payment is made.</w:t>
                          </w:r>
                        </w:p>
                        <w:p w:rsidR="002155ED" w:rsidRPr="00140C13" w:rsidRDefault="002155ED" w:rsidP="00B0069B">
                          <w:pPr>
                            <w:pStyle w:val="ParagraphIndent"/>
                            <w:rPr>
                              <w:rStyle w:val="Add"/>
                            </w:rPr>
                          </w:pPr>
                          <w:r w:rsidRPr="00140C13">
                            <w:rPr>
                              <w:rStyle w:val="Add"/>
                            </w:rPr>
                            <w:t>2. “Category 1 improvement” includes a detached single-f</w:t>
                          </w:r>
                          <w:r w:rsidR="006F7AA3">
                            <w:rPr>
                              <w:rStyle w:val="Add"/>
                            </w:rPr>
                            <w:t xml:space="preserve">amily home, including a premanufactured home, </w:t>
                          </w:r>
                          <w:r w:rsidRPr="00140C13">
                            <w:rPr>
                              <w:rStyle w:val="Add"/>
                            </w:rPr>
                            <w:t>or a standalone building structure, intended for use by a single business, occupant or owner, not exceeding three stories in height and related improvements to such homes, buildings, or structures.</w:t>
                          </w:r>
                        </w:p>
                        <w:p w:rsidR="002155ED" w:rsidRPr="00140C13" w:rsidRDefault="002155ED" w:rsidP="00B0069B">
                          <w:pPr>
                            <w:pStyle w:val="ParagraphIndent"/>
                            <w:rPr>
                              <w:rStyle w:val="Add"/>
                            </w:rPr>
                          </w:pPr>
                          <w:r w:rsidRPr="00140C13">
                            <w:rPr>
                              <w:rStyle w:val="Add"/>
                            </w:rPr>
                            <w:t xml:space="preserve">3. “Category 2 improvement” includes a single-family dwelling unit not exceeding three stories in height which is constructed in a series or group of attached units or a commercial or nonresidential building not exceeding three stories in height and related improvements to such dwellings, buildings or structures. </w:t>
                          </w:r>
                        </w:p>
                        <w:p w:rsidR="00B97979" w:rsidRDefault="002155ED" w:rsidP="00B0069B">
                          <w:pPr>
                            <w:pStyle w:val="ParagraphIndent"/>
                            <w:rPr>
                              <w:rStyle w:val="Add"/>
                            </w:rPr>
                          </w:pPr>
                          <w:r w:rsidRPr="00140C13">
                            <w:rPr>
                              <w:rStyle w:val="Add"/>
                            </w:rPr>
                            <w:t xml:space="preserve">4. “Category 3 improvement” includes commercial or </w:t>
                          </w:r>
                          <w:r w:rsidRPr="00140C13">
                            <w:rPr>
                              <w:rStyle w:val="Add"/>
                            </w:rPr>
                            <w:lastRenderedPageBreak/>
                            <w:t>residential buildings or structures of 4 or more stories in height and related improvements to such buildings or structures</w:t>
                          </w:r>
                          <w:r w:rsidR="00B97979">
                            <w:rPr>
                              <w:rStyle w:val="Add"/>
                            </w:rPr>
                            <w:t>.</w:t>
                          </w:r>
                        </w:p>
                        <w:p w:rsidR="002155ED" w:rsidRPr="00140C13" w:rsidRDefault="00B97979" w:rsidP="00B0069B">
                          <w:pPr>
                            <w:pStyle w:val="ParagraphIndent"/>
                            <w:rPr>
                              <w:rStyle w:val="Add"/>
                            </w:rPr>
                          </w:pPr>
                          <w:r>
                            <w:rPr>
                              <w:rStyle w:val="Add"/>
                            </w:rPr>
                            <w:t>5. "Category 4 improvement" includes</w:t>
                          </w:r>
                          <w:r w:rsidR="002155ED" w:rsidRPr="00140C13">
                            <w:rPr>
                              <w:rStyle w:val="Add"/>
                            </w:rPr>
                            <w:t xml:space="preserve"> an improvem</w:t>
                          </w:r>
                          <w:r>
                            <w:rPr>
                              <w:rStyle w:val="Add"/>
                            </w:rPr>
                            <w:t xml:space="preserve">ent that is not a category 1 improvement, </w:t>
                          </w:r>
                          <w:r w:rsidR="002155ED" w:rsidRPr="00140C13">
                            <w:rPr>
                              <w:rStyle w:val="Add"/>
                            </w:rPr>
                            <w:t xml:space="preserve">category 2 </w:t>
                          </w:r>
                          <w:r>
                            <w:rPr>
                              <w:rStyle w:val="Add"/>
                            </w:rPr>
                            <w:t>improvement, or category 3 improvement</w:t>
                          </w:r>
                          <w:r w:rsidR="002155ED" w:rsidRPr="00140C13">
                            <w:rPr>
                              <w:rStyle w:val="Add"/>
                            </w:rPr>
                            <w:t>.</w:t>
                          </w:r>
                        </w:p>
                        <w:p w:rsidR="002155ED" w:rsidRPr="00140C13" w:rsidRDefault="002155ED" w:rsidP="00B0069B">
                          <w:pPr>
                            <w:pStyle w:val="ParagraphIndent"/>
                            <w:rPr>
                              <w:rStyle w:val="Add"/>
                            </w:rPr>
                          </w:pPr>
                          <w:r w:rsidRPr="00140C13">
                            <w:rPr>
                              <w:rStyle w:val="Add"/>
                            </w:rPr>
                            <w:t>(b) </w:t>
                          </w:r>
                          <w:r w:rsidRPr="006F46D2">
                            <w:rPr>
                              <w:rStyle w:val="Add"/>
                              <w:i/>
                            </w:rPr>
                            <w:t>Running of time to commence action.</w:t>
                          </w:r>
                          <w:r>
                            <w:rPr>
                              <w:rStyle w:val="Add"/>
                            </w:rPr>
                            <w:t>—</w:t>
                          </w:r>
                          <w:r w:rsidRPr="00140C13">
                            <w:rPr>
                              <w:rStyle w:val="Add"/>
                            </w:rPr>
                            <w:t xml:space="preserve">An action founded on the design, planning, or construction of an improvement to real property must be commenced within the timeframes set forth in this section or the action is time barred. </w:t>
                          </w:r>
                        </w:p>
                        <w:p w:rsidR="002155ED" w:rsidRPr="00140C13" w:rsidRDefault="002155ED" w:rsidP="00B0069B">
                          <w:pPr>
                            <w:pStyle w:val="ParagraphIndent"/>
                            <w:rPr>
                              <w:rStyle w:val="Add"/>
                            </w:rPr>
                          </w:pPr>
                          <w:r w:rsidRPr="00140C13">
                            <w:rPr>
                              <w:rStyle w:val="Add"/>
                            </w:rPr>
                            <w:t>1. The time to commence the action runs from the date of actual possession by the owner, the date of the issuance of a certificate of occupancy, the date of abandonment of construction if not completed, or the date of completion of the contract or termination of the contract between the professional engineer, registered architect, or licensed contractor and his or her employer, whichever date is earliest</w:t>
                          </w:r>
                          <w:r w:rsidR="00AC4E07">
                            <w:rPr>
                              <w:rStyle w:val="Add"/>
                            </w:rPr>
                            <w:t>.</w:t>
                          </w:r>
                        </w:p>
                        <w:p w:rsidR="002155ED" w:rsidRPr="00140C13" w:rsidRDefault="002155ED" w:rsidP="00B0069B">
                          <w:pPr>
                            <w:pStyle w:val="ParagraphIndent"/>
                            <w:rPr>
                              <w:rStyle w:val="Add"/>
                            </w:rPr>
                          </w:pPr>
                          <w:r w:rsidRPr="00140C13">
                            <w:rPr>
                              <w:rStyle w:val="Add"/>
                            </w:rPr>
                            <w:t xml:space="preserve">2. Counterclaims, cross-claims, and third-party claims that arise out of the conduct, transaction, or occurrence set out or attempted to be set out in a pleading may be commenced up to 1 year after the pleading to which such claims relate is served, even if such claims would otherwise be time barred. </w:t>
                          </w:r>
                        </w:p>
                        <w:p w:rsidR="002155ED" w:rsidRPr="00140C13" w:rsidRDefault="002155ED" w:rsidP="00B0069B">
                          <w:pPr>
                            <w:pStyle w:val="ParagraphIndent"/>
                            <w:rPr>
                              <w:rStyle w:val="Add"/>
                            </w:rPr>
                          </w:pPr>
                          <w:r w:rsidRPr="00140C13">
                            <w:rPr>
                              <w:rStyle w:val="Add"/>
                            </w:rPr>
                            <w:t xml:space="preserve">3. If the action is based on construction that is performed pursuant to a duly issued building permit and if a local enforcement agency, state enforcement agency, or special inspector, as those terms are defined in s. 553.71, has issued a final certificate of occupancy or certificate of completion, then as to the construction which is within the scope of such building permit and certificate, the correction of defects to completed work or repair of completed work, whether performed </w:t>
                          </w:r>
                          <w:r w:rsidRPr="00140C13">
                            <w:rPr>
                              <w:rStyle w:val="Add"/>
                            </w:rPr>
                            <w:lastRenderedPageBreak/>
                            <w:t xml:space="preserve">under warranty or otherwise, does not extend the period of time within which an action must be commenced. </w:t>
                          </w:r>
                        </w:p>
                        <w:p w:rsidR="00AC16E7" w:rsidRDefault="002155ED" w:rsidP="00B0069B">
                          <w:pPr>
                            <w:pStyle w:val="ParagraphIndent"/>
                            <w:rPr>
                              <w:rStyle w:val="Add"/>
                            </w:rPr>
                          </w:pPr>
                          <w:r w:rsidRPr="00140C13">
                            <w:rPr>
                              <w:rStyle w:val="Add"/>
                            </w:rPr>
                            <w:t>(c) </w:t>
                          </w:r>
                          <w:r w:rsidRPr="006F46D2">
                            <w:rPr>
                              <w:rStyle w:val="Add"/>
                              <w:i/>
                            </w:rPr>
                            <w:t>Limitations and repose periods.</w:t>
                          </w:r>
                          <w:r>
                            <w:rPr>
                              <w:rStyle w:val="Add"/>
                            </w:rPr>
                            <w:t>—</w:t>
                          </w:r>
                        </w:p>
                        <w:p w:rsidR="00714D3B" w:rsidRDefault="00AC16E7" w:rsidP="00B0069B">
                          <w:pPr>
                            <w:pStyle w:val="ParagraphIndent"/>
                            <w:rPr>
                              <w:rStyle w:val="Add"/>
                            </w:rPr>
                          </w:pPr>
                          <w:r>
                            <w:rPr>
                              <w:rStyle w:val="Add"/>
                            </w:rPr>
                            <w:t>1. </w:t>
                          </w:r>
                          <w:r w:rsidR="002155ED" w:rsidRPr="00140C13">
                            <w:rPr>
                              <w:rStyle w:val="Add"/>
                            </w:rPr>
                            <w:t xml:space="preserve">An action founded on the design, planning, or construction of an improvement to real property </w:t>
                          </w:r>
                          <w:r w:rsidR="009E28FF">
                            <w:rPr>
                              <w:rStyle w:val="Add"/>
                            </w:rPr>
                            <w:t>may be</w:t>
                          </w:r>
                          <w:r w:rsidR="002155ED" w:rsidRPr="00140C13">
                            <w:rPr>
                              <w:rStyle w:val="Add"/>
                            </w:rPr>
                            <w:t xml:space="preserve"> commenced within 4 years</w:t>
                          </w:r>
                          <w:r w:rsidR="00714D3B">
                            <w:rPr>
                              <w:rStyle w:val="Add"/>
                            </w:rPr>
                            <w:t xml:space="preserve"> after the </w:t>
                          </w:r>
                          <w:r w:rsidR="009E28FF">
                            <w:rPr>
                              <w:rStyle w:val="Add"/>
                            </w:rPr>
                            <w:t>time to commence an action begins to run.</w:t>
                          </w:r>
                        </w:p>
                        <w:p w:rsidR="002155ED" w:rsidRDefault="00AC16E7" w:rsidP="00B0069B">
                          <w:pPr>
                            <w:pStyle w:val="ParagraphIndent"/>
                          </w:pPr>
                          <w:r>
                            <w:rPr>
                              <w:rStyle w:val="Add"/>
                            </w:rPr>
                            <w:t>2. </w:t>
                          </w:r>
                          <w:r w:rsidR="0029694C">
                            <w:rPr>
                              <w:rStyle w:val="Add"/>
                            </w:rPr>
                            <w:t xml:space="preserve">An action involving a latent defect </w:t>
                          </w:r>
                          <w:r w:rsidR="00BC5D9D">
                            <w:rPr>
                              <w:rStyle w:val="Add"/>
                            </w:rPr>
                            <w:t>may be</w:t>
                          </w:r>
                          <w:r w:rsidR="0029694C">
                            <w:rPr>
                              <w:rStyle w:val="Add"/>
                            </w:rPr>
                            <w:t xml:space="preserve"> commenced within 4 years after </w:t>
                          </w:r>
                          <w:r w:rsidR="0029694C" w:rsidRPr="0029694C">
                            <w:rPr>
                              <w:rStyle w:val="Add"/>
                            </w:rPr>
                            <w:t>the facts giving rise to the cause of action are discovered or should have be discovered through the exercise of due diligence</w:t>
                          </w:r>
                          <w:r w:rsidR="0029694C">
                            <w:rPr>
                              <w:rStyle w:val="Add"/>
                            </w:rPr>
                            <w:t xml:space="preserve">. </w:t>
                          </w:r>
                          <w:r w:rsidR="006E026F">
                            <w:rPr>
                              <w:rStyle w:val="Add"/>
                            </w:rPr>
                            <w:t xml:space="preserve">However, </w:t>
                          </w:r>
                          <w:r w:rsidR="001A4FC2">
                            <w:rPr>
                              <w:rStyle w:val="Add"/>
                            </w:rPr>
                            <w:t xml:space="preserve">the action </w:t>
                          </w:r>
                          <w:r w:rsidR="00BC5D9D">
                            <w:rPr>
                              <w:rStyle w:val="Add"/>
                            </w:rPr>
                            <w:t>may not be commenced more than</w:t>
                          </w:r>
                          <w:r w:rsidR="001A4FC2">
                            <w:rPr>
                              <w:rStyle w:val="Add"/>
                            </w:rPr>
                            <w:t xml:space="preserve"> 5 years after the time for </w:t>
                          </w:r>
                          <w:r w:rsidR="009E28FF">
                            <w:rPr>
                              <w:rStyle w:val="Add"/>
                            </w:rPr>
                            <w:t>commencing</w:t>
                          </w:r>
                          <w:r w:rsidR="001A4FC2">
                            <w:rPr>
                              <w:rStyle w:val="Add"/>
                            </w:rPr>
                            <w:t xml:space="preserve"> an action begins to run</w:t>
                          </w:r>
                          <w:r w:rsidR="00BC5D9D">
                            <w:rPr>
                              <w:rStyle w:val="Add"/>
                            </w:rPr>
                            <w:t xml:space="preserve"> </w:t>
                          </w:r>
                          <w:r w:rsidR="00DD3D9C">
                            <w:rPr>
                              <w:rStyle w:val="Add"/>
                            </w:rPr>
                            <w:t xml:space="preserve">for </w:t>
                          </w:r>
                          <w:r w:rsidR="00BC5D9D">
                            <w:rPr>
                              <w:rStyle w:val="Add"/>
                            </w:rPr>
                            <w:t xml:space="preserve">a category 1 improvement, 7 years </w:t>
                          </w:r>
                          <w:r w:rsidR="00DD3D9C">
                            <w:rPr>
                              <w:rStyle w:val="Add"/>
                            </w:rPr>
                            <w:t xml:space="preserve">for </w:t>
                          </w:r>
                          <w:r w:rsidR="00BC5D9D">
                            <w:rPr>
                              <w:rStyle w:val="Add"/>
                            </w:rPr>
                            <w:t>a categor</w:t>
                          </w:r>
                          <w:r w:rsidR="00B97979">
                            <w:rPr>
                              <w:rStyle w:val="Add"/>
                            </w:rPr>
                            <w:t>y 2 improvement,</w:t>
                          </w:r>
                          <w:r w:rsidR="00DD3D9C">
                            <w:rPr>
                              <w:rStyle w:val="Add"/>
                            </w:rPr>
                            <w:t xml:space="preserve"> 12 years for a category 3 improvement</w:t>
                          </w:r>
                          <w:r w:rsidR="00B97979">
                            <w:rPr>
                              <w:rStyle w:val="Add"/>
                            </w:rPr>
                            <w:t>, and 10 years for a category 4 improvement</w:t>
                          </w:r>
                          <w:r w:rsidR="00DD3D9C">
                            <w:rPr>
                              <w:rStyle w:val="Add"/>
                            </w:rPr>
                            <w:t>.</w:t>
                          </w:r>
                        </w:p>
                      </w:sdtContent>
                    </w:sdt>
                  </w:sdtContent>
                </w:sdt>
              </w:sdtContent>
            </w:sdt>
          </w:sdtContent>
        </w:sdt>
      </w:sdtContent>
    </w:sdt>
    <w:sectPr w:rsidR="002155ED" w:rsidSect="008A1C03">
      <w:type w:val="continuous"/>
      <w:pgSz w:w="12240" w:h="15840"/>
      <w:pgMar w:top="1296" w:right="1440" w:bottom="1296" w:left="1440" w:header="432" w:footer="432" w:gutter="0"/>
      <w:pgBorders>
        <w:left w:val="single" w:sz="4" w:space="4" w:color="auto"/>
        <w:right w:val="single" w:sz="4" w:space="4" w:color="auto"/>
      </w:pgBorders>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FC" w:rsidRDefault="00ED67FC" w:rsidP="00374B5A">
      <w:pPr>
        <w:spacing w:line="240" w:lineRule="auto"/>
      </w:pPr>
      <w:r>
        <w:separator/>
      </w:r>
    </w:p>
  </w:endnote>
  <w:endnote w:type="continuationSeparator" w:id="0">
    <w:p w:rsidR="00ED67FC" w:rsidRDefault="00ED67FC" w:rsidP="00374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D" w:rsidRDefault="002155E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D" w:rsidRDefault="002155ED" w:rsidP="00062DF1">
    <w:pPr>
      <w:pStyle w:val="AlignCenter"/>
      <w:rPr>
        <w:noProof/>
      </w:rPr>
    </w:pPr>
    <w:r>
      <w:rPr>
        <w:noProof/>
      </w:rPr>
      <w:t xml:space="preserve">Page </w:t>
    </w:r>
    <w:r>
      <w:rPr>
        <w:noProof/>
      </w:rPr>
      <w:fldChar w:fldCharType="begin"/>
    </w:r>
    <w:r>
      <w:rPr>
        <w:noProof/>
      </w:rPr>
      <w:instrText xml:space="preserve"> PAGE   \* MERGEFORMAT </w:instrText>
    </w:r>
    <w:r>
      <w:rPr>
        <w:noProof/>
      </w:rPr>
      <w:fldChar w:fldCharType="separate"/>
    </w:r>
    <w:r w:rsidR="003A69B5">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A69B5">
      <w:rPr>
        <w:noProof/>
      </w:rPr>
      <w:t>5</w:t>
    </w:r>
    <w:r>
      <w:rPr>
        <w:noProof/>
      </w:rPr>
      <w:fldChar w:fldCharType="end"/>
    </w:r>
  </w:p>
  <w:sdt>
    <w:sdtPr>
      <w:rPr>
        <w:noProof/>
      </w:rPr>
      <w:alias w:val="AmendmentFooter"/>
      <w:tag w:val="AmendmentFooter"/>
      <w:id w:val="1990894684"/>
    </w:sdtPr>
    <w:sdtEndPr/>
    <w:sdtContent>
      <w:p w:rsidR="002155ED" w:rsidRDefault="002155ED" w:rsidP="00062DF1">
        <w:pPr>
          <w:pStyle w:val="ParagraphFlushLeftLeaderSpaces"/>
          <w:tabs>
            <w:tab w:val="left" w:pos="3675"/>
          </w:tabs>
          <w:rPr>
            <w:noProof/>
          </w:rPr>
        </w:pPr>
        <w:r>
          <w:rPr>
            <w:noProof/>
          </w:rPr>
          <w:fldChar w:fldCharType="begin"/>
        </w:r>
        <w:r>
          <w:rPr>
            <w:noProof/>
          </w:rPr>
          <w:instrText xml:space="preserve"> SAVEDATE  \@ "M/d/yyyy h:mm:ss am/pm"  \* MERGEFORMAT </w:instrText>
        </w:r>
        <w:r>
          <w:rPr>
            <w:noProof/>
          </w:rPr>
          <w:fldChar w:fldCharType="separate"/>
        </w:r>
        <w:r w:rsidR="003A69B5">
          <w:rPr>
            <w:noProof/>
          </w:rPr>
          <w:t>12/3/2021 1:22:00 PM</w:t>
        </w:r>
        <w:r>
          <w:rPr>
            <w:noProof/>
          </w:rPr>
          <w:fldChar w:fldCharType="end"/>
        </w:r>
        <w:r>
          <w:rPr>
            <w:noProof/>
          </w:rPr>
          <w:tab/>
        </w:r>
        <w:r>
          <w:rPr>
            <w:noProof/>
          </w:rPr>
          <w:tab/>
        </w:r>
        <w:sdt>
          <w:sdtPr>
            <w:rPr>
              <w:noProof/>
            </w:rPr>
            <w:alias w:val="DraftNumber"/>
            <w:tag w:val="DraftNumber"/>
            <w:id w:val="-1126852356"/>
          </w:sdtPr>
          <w:sdtEndPr/>
          <w:sdtContent>
            <w:r>
              <w:rPr>
                <w:noProof/>
              </w:rPr>
              <w:t>JU.CA.01714</w:t>
            </w:r>
          </w:sdtContent>
        </w:sdt>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D" w:rsidRDefault="002155E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FC" w:rsidRDefault="00ED67FC" w:rsidP="00374B5A">
      <w:pPr>
        <w:spacing w:line="240" w:lineRule="auto"/>
      </w:pPr>
      <w:r>
        <w:separator/>
      </w:r>
    </w:p>
  </w:footnote>
  <w:footnote w:type="continuationSeparator" w:id="0">
    <w:p w:rsidR="00ED67FC" w:rsidRDefault="00ED67FC" w:rsidP="00374B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D" w:rsidRDefault="002155E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AmendmentHeader"/>
      <w:tag w:val="AmendmentHeader"/>
      <w:id w:val="-1490393857"/>
    </w:sdtPr>
    <w:sdtEndPr/>
    <w:sdtContent>
      <w:p w:rsidR="002155ED" w:rsidRDefault="002155ED" w:rsidP="00374B5A">
        <w:pPr>
          <w:pStyle w:val="ParagraphFlushLeftLeaderSpaces"/>
          <w:spacing w:line="240" w:lineRule="auto"/>
          <w:rPr>
            <w:noProof/>
          </w:rPr>
        </w:pPr>
        <w:r>
          <w:rPr>
            <w:noProof/>
          </w:rPr>
          <w:t xml:space="preserve">Florida Senate - </w:t>
        </w:r>
        <w:sdt>
          <w:sdtPr>
            <w:rPr>
              <w:noProof/>
            </w:rPr>
            <w:alias w:val="SessionYear"/>
            <w:tag w:val="SessionYear"/>
            <w:id w:val="-596326340"/>
          </w:sdtPr>
          <w:sdtEndPr/>
          <w:sdtContent>
            <w:r>
              <w:rPr>
                <w:noProof/>
              </w:rPr>
              <w:t>2022</w:t>
            </w:r>
          </w:sdtContent>
        </w:sdt>
        <w:r>
          <w:rPr>
            <w:noProof/>
          </w:rPr>
          <w:tab/>
        </w:r>
        <w:sdt>
          <w:sdtPr>
            <w:rPr>
              <w:noProof/>
            </w:rPr>
            <w:alias w:val="AmendmentCategory"/>
            <w:tag w:val="AmendmentCategory"/>
            <w:id w:val="346687221"/>
          </w:sdtPr>
          <w:sdtEndPr/>
          <w:sdtContent>
            <w:r>
              <w:rPr>
                <w:noProof/>
              </w:rPr>
              <w:t>COMMITTEE AMENDMENT</w:t>
            </w:r>
          </w:sdtContent>
        </w:sdt>
      </w:p>
      <w:p w:rsidR="002155ED" w:rsidRDefault="002155ED" w:rsidP="00374B5A">
        <w:pPr>
          <w:pStyle w:val="ParagraphFlushLeftLeaderSpaces"/>
          <w:spacing w:line="240" w:lineRule="auto"/>
          <w:rPr>
            <w:noProof/>
          </w:rPr>
        </w:pPr>
        <w:r>
          <w:rPr>
            <w:noProof/>
          </w:rPr>
          <w:t xml:space="preserve">Bill No. </w:t>
        </w:r>
        <w:sdt>
          <w:sdtPr>
            <w:rPr>
              <w:noProof/>
            </w:rPr>
            <w:alias w:val="BillDisplayName"/>
            <w:tag w:val="BillDisplayName"/>
            <w:id w:val="906951541"/>
          </w:sdtPr>
          <w:sdtEndPr/>
          <w:sdtContent>
            <w:r>
              <w:rPr>
                <w:noProof/>
              </w:rPr>
              <w:t>CS for SB 736</w:t>
            </w:r>
            <w:r>
              <w:rPr>
                <w:noProof/>
              </w:rPr>
              <w:br/>
            </w:r>
            <w:r>
              <w:rPr>
                <w:noProof/>
              </w:rPr>
              <w:br/>
            </w:r>
          </w:sdtContent>
        </w:sdt>
      </w:p>
      <w:p w:rsidR="002155ED" w:rsidRDefault="002155ED" w:rsidP="00374B5A">
        <w:pPr>
          <w:pStyle w:val="ParagraphFlushLeft"/>
          <w:spacing w:line="240" w:lineRule="auto"/>
          <w:rPr>
            <w:noProof/>
          </w:rPr>
        </w:pPr>
      </w:p>
      <w:p w:rsidR="002155ED" w:rsidRDefault="002155ED" w:rsidP="00374B5A">
        <w:pPr>
          <w:pStyle w:val="ParagraphFlushLeft"/>
          <w:spacing w:line="240" w:lineRule="auto"/>
          <w:rPr>
            <w:noProof/>
          </w:rPr>
        </w:pPr>
      </w:p>
      <w:p w:rsidR="002155ED" w:rsidRDefault="002155ED" w:rsidP="00374B5A">
        <w:pPr>
          <w:pStyle w:val="ParagraphFlushLeft"/>
          <w:spacing w:line="240" w:lineRule="auto"/>
          <w:rPr>
            <w:noProof/>
          </w:rPr>
        </w:pPr>
      </w:p>
      <w:p w:rsidR="002155ED" w:rsidRDefault="002155ED" w:rsidP="00374B5A">
        <w:pPr>
          <w:pStyle w:val="ParagraphFlushLeft"/>
          <w:spacing w:line="240" w:lineRule="auto"/>
          <w:rPr>
            <w:noProof/>
          </w:rPr>
        </w:pPr>
      </w:p>
      <w:p w:rsidR="002155ED" w:rsidRDefault="003A69B5" w:rsidP="00374B5A">
        <w:pPr>
          <w:pStyle w:val="AlignCenter"/>
          <w:spacing w:line="300" w:lineRule="auto"/>
          <w:rPr>
            <w:noProof/>
          </w:rPr>
        </w:pPr>
        <w:sdt>
          <w:sdtPr>
            <w:rPr>
              <w:noProof/>
            </w:rPr>
            <w:alias w:val="AmendmentBarcode"/>
            <w:tag w:val="AmendmentBarcode"/>
            <w:id w:val="941117341"/>
          </w:sdtPr>
          <w:sdtEndPr/>
          <w:sdtContent>
            <w:r w:rsidR="002155ED">
              <w:rPr>
                <w:noProof/>
              </w:rPr>
              <w:t xml:space="preserve"> </w:t>
            </w:r>
          </w:sdtContent>
        </w:sdt>
        <w:sdt>
          <w:sdtPr>
            <w:rPr>
              <w:noProof/>
            </w:rPr>
            <w:alias w:val="AmendmentBarcodeNumber"/>
            <w:tag w:val="AmendmentBarcodeNumber"/>
            <w:id w:val="-1843236734"/>
          </w:sdtPr>
          <w:sdtEndPr/>
          <w:sdtContent>
            <w:r w:rsidR="002155ED">
              <w:rPr>
                <w:noProof/>
              </w:rPr>
              <w:t xml:space="preserve"> </w:t>
            </w:r>
          </w:sdtContent>
        </w:sdt>
      </w:p>
      <w:p w:rsidR="002155ED" w:rsidRDefault="003A69B5" w:rsidP="00374B5A">
        <w:pPr>
          <w:pStyle w:val="ParagraphFlushLeft"/>
          <w:spacing w:line="240" w:lineRule="auto"/>
          <w:rPr>
            <w:noProof/>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D" w:rsidRDefault="002155ED">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GG/BLObs1H6DdnDa67ZWUeDjsK3Y5hyV+yOok53MYeRa8CMj4r421UX0PrDAjCGUZtp85Vg5671dy6sBCV9Kkg==" w:salt="Dy/RxMtVlMGnEYz+fxlpJQ=="/>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6302691.1"/>
  </w:docVars>
  <w:rsids>
    <w:rsidRoot w:val="00DB43D3"/>
    <w:rsid w:val="00005A41"/>
    <w:rsid w:val="0001017E"/>
    <w:rsid w:val="00023026"/>
    <w:rsid w:val="00026D70"/>
    <w:rsid w:val="00060F06"/>
    <w:rsid w:val="00062DF1"/>
    <w:rsid w:val="000660D2"/>
    <w:rsid w:val="000C3E78"/>
    <w:rsid w:val="00123742"/>
    <w:rsid w:val="0012382A"/>
    <w:rsid w:val="00131CF7"/>
    <w:rsid w:val="001409FE"/>
    <w:rsid w:val="00143CDF"/>
    <w:rsid w:val="001444CB"/>
    <w:rsid w:val="001611CE"/>
    <w:rsid w:val="001A20C0"/>
    <w:rsid w:val="001A4FC2"/>
    <w:rsid w:val="001E1B14"/>
    <w:rsid w:val="001F1EFA"/>
    <w:rsid w:val="002155ED"/>
    <w:rsid w:val="00226901"/>
    <w:rsid w:val="002535CE"/>
    <w:rsid w:val="0029694C"/>
    <w:rsid w:val="002A1E0E"/>
    <w:rsid w:val="002A75E9"/>
    <w:rsid w:val="002B7318"/>
    <w:rsid w:val="00307D03"/>
    <w:rsid w:val="003403F0"/>
    <w:rsid w:val="00347A74"/>
    <w:rsid w:val="00374B5A"/>
    <w:rsid w:val="003846E5"/>
    <w:rsid w:val="003913D4"/>
    <w:rsid w:val="003A69B5"/>
    <w:rsid w:val="00401986"/>
    <w:rsid w:val="00412014"/>
    <w:rsid w:val="00431573"/>
    <w:rsid w:val="004438E8"/>
    <w:rsid w:val="00463587"/>
    <w:rsid w:val="00476880"/>
    <w:rsid w:val="004A5E92"/>
    <w:rsid w:val="004E6793"/>
    <w:rsid w:val="00524AA1"/>
    <w:rsid w:val="00531936"/>
    <w:rsid w:val="00562271"/>
    <w:rsid w:val="00576F3B"/>
    <w:rsid w:val="005A1048"/>
    <w:rsid w:val="005B5721"/>
    <w:rsid w:val="005D1E3E"/>
    <w:rsid w:val="006044C1"/>
    <w:rsid w:val="0069390E"/>
    <w:rsid w:val="006A35D9"/>
    <w:rsid w:val="006B1C17"/>
    <w:rsid w:val="006B3F70"/>
    <w:rsid w:val="006B721D"/>
    <w:rsid w:val="006E026F"/>
    <w:rsid w:val="006F46D2"/>
    <w:rsid w:val="006F5DAD"/>
    <w:rsid w:val="006F7AA3"/>
    <w:rsid w:val="00714D3B"/>
    <w:rsid w:val="007A1A31"/>
    <w:rsid w:val="007A39F5"/>
    <w:rsid w:val="007A3B98"/>
    <w:rsid w:val="007B4971"/>
    <w:rsid w:val="007D04AD"/>
    <w:rsid w:val="00830563"/>
    <w:rsid w:val="00837EC6"/>
    <w:rsid w:val="008816C6"/>
    <w:rsid w:val="008A1C03"/>
    <w:rsid w:val="008A417C"/>
    <w:rsid w:val="008B27B3"/>
    <w:rsid w:val="008C16B3"/>
    <w:rsid w:val="008C23B3"/>
    <w:rsid w:val="0091479B"/>
    <w:rsid w:val="009309B3"/>
    <w:rsid w:val="009324CC"/>
    <w:rsid w:val="0095399D"/>
    <w:rsid w:val="00953EA5"/>
    <w:rsid w:val="00961C21"/>
    <w:rsid w:val="009719CE"/>
    <w:rsid w:val="009728CD"/>
    <w:rsid w:val="00977205"/>
    <w:rsid w:val="009E28FF"/>
    <w:rsid w:val="009F3346"/>
    <w:rsid w:val="00A0732B"/>
    <w:rsid w:val="00A65B8B"/>
    <w:rsid w:val="00A86208"/>
    <w:rsid w:val="00A960EC"/>
    <w:rsid w:val="00AC16E7"/>
    <w:rsid w:val="00AC4E07"/>
    <w:rsid w:val="00AC63C6"/>
    <w:rsid w:val="00AE60AB"/>
    <w:rsid w:val="00B259F6"/>
    <w:rsid w:val="00B350A9"/>
    <w:rsid w:val="00B44AA0"/>
    <w:rsid w:val="00B8058F"/>
    <w:rsid w:val="00B83F73"/>
    <w:rsid w:val="00B84C26"/>
    <w:rsid w:val="00B97979"/>
    <w:rsid w:val="00BA1FF3"/>
    <w:rsid w:val="00BC1C75"/>
    <w:rsid w:val="00BC5D9D"/>
    <w:rsid w:val="00BE46DB"/>
    <w:rsid w:val="00C11464"/>
    <w:rsid w:val="00C16DFA"/>
    <w:rsid w:val="00C44126"/>
    <w:rsid w:val="00C83E13"/>
    <w:rsid w:val="00CA157C"/>
    <w:rsid w:val="00CE366C"/>
    <w:rsid w:val="00D0277F"/>
    <w:rsid w:val="00D13E62"/>
    <w:rsid w:val="00D26874"/>
    <w:rsid w:val="00D31546"/>
    <w:rsid w:val="00D37168"/>
    <w:rsid w:val="00D40F0B"/>
    <w:rsid w:val="00D621A5"/>
    <w:rsid w:val="00D62C27"/>
    <w:rsid w:val="00D7462B"/>
    <w:rsid w:val="00D839B6"/>
    <w:rsid w:val="00DB43D3"/>
    <w:rsid w:val="00DC4879"/>
    <w:rsid w:val="00DD3D9C"/>
    <w:rsid w:val="00E138D5"/>
    <w:rsid w:val="00E46875"/>
    <w:rsid w:val="00ED67FC"/>
    <w:rsid w:val="00EE60F4"/>
    <w:rsid w:val="00EE6BBF"/>
    <w:rsid w:val="00EF1CF1"/>
    <w:rsid w:val="00F27EF6"/>
    <w:rsid w:val="00F435A2"/>
    <w:rsid w:val="00F577A8"/>
    <w:rsid w:val="00FB0F42"/>
    <w:rsid w:val="00F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A9B4A4D-4BC2-41EC-A7B0-021B229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4"/>
    <w:qFormat/>
    <w:rsid w:val="009F3346"/>
    <w:pPr>
      <w:widowControl w:val="0"/>
      <w:spacing w:after="0" w:line="380" w:lineRule="exact"/>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5A1048"/>
    <w:rPr>
      <w:color w:val="808080"/>
    </w:rPr>
  </w:style>
  <w:style w:type="paragraph" w:styleId="Header">
    <w:name w:val="header"/>
    <w:basedOn w:val="Normal"/>
    <w:link w:val="HeaderChar"/>
    <w:uiPriority w:val="99"/>
    <w:semiHidden/>
    <w:locked/>
    <w:rsid w:val="00374B5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1C17"/>
    <w:rPr>
      <w:rFonts w:ascii="Courier New" w:hAnsi="Courier New"/>
      <w:sz w:val="24"/>
    </w:rPr>
  </w:style>
  <w:style w:type="paragraph" w:styleId="Footer">
    <w:name w:val="footer"/>
    <w:basedOn w:val="Normal"/>
    <w:link w:val="FooterChar"/>
    <w:uiPriority w:val="99"/>
    <w:semiHidden/>
    <w:locked/>
    <w:rsid w:val="00374B5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B1C17"/>
    <w:rPr>
      <w:rFonts w:ascii="Courier New" w:hAnsi="Courier New"/>
      <w:sz w:val="24"/>
    </w:rPr>
  </w:style>
  <w:style w:type="paragraph" w:customStyle="1" w:styleId="AlignCenter">
    <w:name w:val="AlignCenter"/>
    <w:basedOn w:val="Normal"/>
    <w:uiPriority w:val="5"/>
    <w:qFormat/>
    <w:rsid w:val="00374B5A"/>
    <w:pPr>
      <w:jc w:val="center"/>
    </w:pPr>
    <w:rPr>
      <w:rFonts w:eastAsia="Times New Roman" w:cs="Times New Roman"/>
      <w:szCs w:val="24"/>
      <w:lang w:eastAsia="en-US"/>
    </w:rPr>
  </w:style>
  <w:style w:type="paragraph" w:customStyle="1" w:styleId="ParagraphFlushLeft">
    <w:name w:val="ParagraphFlushLeft"/>
    <w:basedOn w:val="Normal"/>
    <w:uiPriority w:val="2"/>
    <w:qFormat/>
    <w:rsid w:val="00374B5A"/>
    <w:rPr>
      <w:rFonts w:eastAsia="Times New Roman" w:cs="Times New Roman"/>
      <w:szCs w:val="24"/>
      <w:lang w:eastAsia="en-US"/>
    </w:rPr>
  </w:style>
  <w:style w:type="paragraph" w:customStyle="1" w:styleId="ParagraphFlushLeftLeaderSpaces">
    <w:name w:val="ParagraphFlushLeftLeaderSpaces"/>
    <w:basedOn w:val="Normal"/>
    <w:uiPriority w:val="18"/>
    <w:qFormat/>
    <w:rsid w:val="00374B5A"/>
    <w:pPr>
      <w:tabs>
        <w:tab w:val="right" w:pos="9360"/>
      </w:tabs>
    </w:pPr>
    <w:rPr>
      <w:rFonts w:eastAsia="Times New Roman" w:cs="Times New Roman"/>
      <w:szCs w:val="24"/>
      <w:lang w:eastAsia="en-US"/>
    </w:rPr>
  </w:style>
  <w:style w:type="paragraph" w:customStyle="1" w:styleId="ParagraphIndent">
    <w:name w:val="ParagraphIndent"/>
    <w:basedOn w:val="Normal"/>
    <w:uiPriority w:val="1"/>
    <w:qFormat/>
    <w:rsid w:val="00062DF1"/>
    <w:pPr>
      <w:ind w:firstLine="720"/>
    </w:pPr>
    <w:rPr>
      <w:rFonts w:eastAsia="Times New Roman" w:cs="Times New Roman"/>
      <w:szCs w:val="24"/>
      <w:lang w:eastAsia="en-US"/>
    </w:rPr>
  </w:style>
  <w:style w:type="paragraph" w:styleId="NoSpacing">
    <w:name w:val="No Spacing"/>
    <w:uiPriority w:val="1"/>
    <w:semiHidden/>
    <w:qFormat/>
    <w:locked/>
    <w:rsid w:val="001611CE"/>
    <w:pPr>
      <w:spacing w:after="0" w:line="240" w:lineRule="auto"/>
    </w:pPr>
  </w:style>
  <w:style w:type="character" w:styleId="LineNumber">
    <w:name w:val="line number"/>
    <w:basedOn w:val="DefaultParagraphFont"/>
    <w:uiPriority w:val="99"/>
    <w:semiHidden/>
    <w:unhideWhenUsed/>
    <w:locked/>
    <w:rsid w:val="00830563"/>
  </w:style>
  <w:style w:type="paragraph" w:customStyle="1" w:styleId="ParagraphBlockIndent">
    <w:name w:val="ParagraphBlockIndent"/>
    <w:basedOn w:val="Normal"/>
    <w:uiPriority w:val="4"/>
    <w:qFormat/>
    <w:rsid w:val="006F5DAD"/>
    <w:pPr>
      <w:ind w:left="720" w:right="720" w:firstLine="720"/>
    </w:pPr>
    <w:rPr>
      <w:rFonts w:eastAsiaTheme="minorHAnsi"/>
      <w:szCs w:val="24"/>
      <w:lang w:eastAsia="en-US"/>
    </w:rPr>
  </w:style>
  <w:style w:type="paragraph" w:customStyle="1" w:styleId="BlockFlushLeft">
    <w:name w:val="BlockFlushLeft"/>
    <w:basedOn w:val="ParagraphBlockIndent"/>
    <w:uiPriority w:val="3"/>
    <w:qFormat/>
    <w:rsid w:val="006F5DAD"/>
    <w:pPr>
      <w:ind w:firstLine="0"/>
    </w:pPr>
  </w:style>
  <w:style w:type="paragraph" w:customStyle="1" w:styleId="ParagraphIndentLeaderSpaces">
    <w:name w:val="ParagraphIndentLeaderSpaces"/>
    <w:basedOn w:val="ParagraphIndentLeaderDots"/>
    <w:uiPriority w:val="23"/>
    <w:qFormat/>
    <w:rsid w:val="006F5DAD"/>
    <w:pPr>
      <w:tabs>
        <w:tab w:val="right" w:pos="9360"/>
      </w:tabs>
    </w:pPr>
  </w:style>
  <w:style w:type="paragraph" w:customStyle="1" w:styleId="BlockFlushLeftLeaderDots">
    <w:name w:val="BlockFlushLeftLeaderDots"/>
    <w:basedOn w:val="BlockFlushLeft"/>
    <w:uiPriority w:val="10"/>
    <w:qFormat/>
    <w:rsid w:val="006F5DAD"/>
    <w:pPr>
      <w:tabs>
        <w:tab w:val="right" w:leader="dot" w:pos="8640"/>
      </w:tabs>
    </w:pPr>
  </w:style>
  <w:style w:type="paragraph" w:customStyle="1" w:styleId="ParagraphBlockIndentLeaderDots">
    <w:name w:val="ParagraphBlockIndentLeaderDots"/>
    <w:basedOn w:val="ParagraphBlockIndent"/>
    <w:uiPriority w:val="14"/>
    <w:qFormat/>
    <w:rsid w:val="006F5DAD"/>
    <w:pPr>
      <w:tabs>
        <w:tab w:val="right" w:leader="dot" w:pos="8640"/>
      </w:tabs>
    </w:pPr>
  </w:style>
  <w:style w:type="paragraph" w:customStyle="1" w:styleId="ParagraphIndentLeaderDots">
    <w:name w:val="ParagraphIndentLeaderDots"/>
    <w:basedOn w:val="ParagraphIndent"/>
    <w:uiPriority w:val="22"/>
    <w:qFormat/>
    <w:rsid w:val="006F5DAD"/>
    <w:pPr>
      <w:tabs>
        <w:tab w:val="right" w:leader="dot" w:pos="9360"/>
      </w:tabs>
    </w:pPr>
    <w:rPr>
      <w:rFonts w:eastAsiaTheme="minorHAnsi" w:cstheme="minorBidi"/>
    </w:rPr>
  </w:style>
  <w:style w:type="paragraph" w:customStyle="1" w:styleId="HangingIndent">
    <w:name w:val="HangingIndent"/>
    <w:basedOn w:val="Normal"/>
    <w:uiPriority w:val="12"/>
    <w:qFormat/>
    <w:rsid w:val="006F5DAD"/>
    <w:pPr>
      <w:ind w:left="720" w:hanging="720"/>
    </w:pPr>
    <w:rPr>
      <w:rFonts w:eastAsiaTheme="minorHAnsi"/>
      <w:szCs w:val="24"/>
      <w:lang w:eastAsia="en-US"/>
    </w:rPr>
  </w:style>
  <w:style w:type="paragraph" w:customStyle="1" w:styleId="VerticalEllipses">
    <w:name w:val="VerticalEllipses"/>
    <w:basedOn w:val="AlignCenter"/>
    <w:uiPriority w:val="24"/>
    <w:semiHidden/>
    <w:qFormat/>
    <w:locked/>
    <w:rsid w:val="006F5DAD"/>
    <w:rPr>
      <w:rFonts w:eastAsiaTheme="minorHAnsi" w:cstheme="minorBidi"/>
    </w:rPr>
  </w:style>
  <w:style w:type="paragraph" w:customStyle="1" w:styleId="ParagraphBlockIndentLeaderSpaces">
    <w:name w:val="ParagraphBlockIndentLeaderSpaces"/>
    <w:basedOn w:val="ParagraphBlockIndentLeaderDots"/>
    <w:uiPriority w:val="15"/>
    <w:qFormat/>
    <w:rsid w:val="006F5DAD"/>
    <w:pPr>
      <w:tabs>
        <w:tab w:val="right" w:pos="8640"/>
      </w:tabs>
    </w:pPr>
  </w:style>
  <w:style w:type="paragraph" w:customStyle="1" w:styleId="ParagraphFlushLeftLeaderDots">
    <w:name w:val="ParagraphFlushLeftLeaderDots"/>
    <w:basedOn w:val="ParagraphFlushLeft"/>
    <w:uiPriority w:val="17"/>
    <w:qFormat/>
    <w:rsid w:val="006F5DAD"/>
    <w:pPr>
      <w:tabs>
        <w:tab w:val="right" w:leader="dot" w:pos="9360"/>
      </w:tabs>
    </w:pPr>
    <w:rPr>
      <w:rFonts w:eastAsiaTheme="minorHAnsi" w:cstheme="minorBidi"/>
    </w:rPr>
  </w:style>
  <w:style w:type="paragraph" w:customStyle="1" w:styleId="BlockFlushLeftLeaderSpaces">
    <w:name w:val="BlockFlushLeftLeaderSpaces"/>
    <w:basedOn w:val="BlockFlushLeftLeaderDots"/>
    <w:uiPriority w:val="11"/>
    <w:qFormat/>
    <w:rsid w:val="006F5DAD"/>
    <w:pPr>
      <w:tabs>
        <w:tab w:val="right" w:pos="8640"/>
      </w:tabs>
    </w:pPr>
  </w:style>
  <w:style w:type="paragraph" w:customStyle="1" w:styleId="ParagraphFlushLeftSection">
    <w:name w:val="ParagraphFlushLeftSection"/>
    <w:basedOn w:val="ParagraphFlushLeft"/>
    <w:uiPriority w:val="19"/>
    <w:qFormat/>
    <w:rsid w:val="006F5DAD"/>
    <w:rPr>
      <w:rFonts w:eastAsiaTheme="minorHAnsi" w:cstheme="minorBidi"/>
    </w:rPr>
  </w:style>
  <w:style w:type="paragraph" w:customStyle="1" w:styleId="ParagraphFlushLeftSubSection">
    <w:name w:val="ParagraphFlushLeftSubSection"/>
    <w:basedOn w:val="ParagraphFlushLeft"/>
    <w:uiPriority w:val="20"/>
    <w:qFormat/>
    <w:rsid w:val="006F5DAD"/>
    <w:rPr>
      <w:rFonts w:eastAsiaTheme="minorHAnsi" w:cstheme="minorBidi"/>
    </w:rPr>
  </w:style>
  <w:style w:type="paragraph" w:customStyle="1" w:styleId="BlockFlushLeftHorizontalRule">
    <w:name w:val="BlockFlushLeftHorizontalRule"/>
    <w:basedOn w:val="BlockFlushLeftLeaderDots"/>
    <w:uiPriority w:val="9"/>
    <w:qFormat/>
    <w:rsid w:val="006F5DAD"/>
  </w:style>
  <w:style w:type="paragraph" w:customStyle="1" w:styleId="ParagraphBlockIndentHorizontalRule">
    <w:name w:val="ParagraphBlockIndentHorizontalRule"/>
    <w:basedOn w:val="ParagraphBlockIndentLeaderDots"/>
    <w:uiPriority w:val="13"/>
    <w:qFormat/>
    <w:rsid w:val="006F5DAD"/>
  </w:style>
  <w:style w:type="paragraph" w:customStyle="1" w:styleId="ParagraphIndentHorizontalRule">
    <w:name w:val="ParagraphIndentHorizontalRule"/>
    <w:basedOn w:val="ParagraphIndentLeaderDots"/>
    <w:uiPriority w:val="21"/>
    <w:qFormat/>
    <w:rsid w:val="006F5DAD"/>
  </w:style>
  <w:style w:type="paragraph" w:customStyle="1" w:styleId="ParagraphFlushLeftHorizontalRule">
    <w:name w:val="ParagraphFlushLeftHorizontalRule"/>
    <w:basedOn w:val="ParagraphFlushLeftLeaderDots"/>
    <w:uiPriority w:val="16"/>
    <w:qFormat/>
    <w:rsid w:val="006F5DAD"/>
  </w:style>
  <w:style w:type="character" w:customStyle="1" w:styleId="Add">
    <w:name w:val="Add"/>
    <w:basedOn w:val="DefaultParagraphFont"/>
    <w:uiPriority w:val="7"/>
    <w:qFormat/>
    <w:rsid w:val="006F5DAD"/>
    <w:rPr>
      <w:u w:val="single"/>
    </w:rPr>
  </w:style>
  <w:style w:type="character" w:customStyle="1" w:styleId="Delete">
    <w:name w:val="Delete"/>
    <w:basedOn w:val="DefaultParagraphFont"/>
    <w:uiPriority w:val="8"/>
    <w:qFormat/>
    <w:rsid w:val="006F5DAD"/>
    <w:rPr>
      <w:strike/>
    </w:rPr>
  </w:style>
  <w:style w:type="paragraph" w:customStyle="1" w:styleId="AlignRight">
    <w:name w:val="AlignRight"/>
    <w:basedOn w:val="Normal"/>
    <w:uiPriority w:val="6"/>
    <w:qFormat/>
    <w:rsid w:val="00431573"/>
    <w:pPr>
      <w:jc w:val="right"/>
    </w:pPr>
  </w:style>
  <w:style w:type="paragraph" w:styleId="BalloonText">
    <w:name w:val="Balloon Text"/>
    <w:basedOn w:val="Normal"/>
    <w:link w:val="BalloonTextChar"/>
    <w:uiPriority w:val="99"/>
    <w:semiHidden/>
    <w:unhideWhenUsed/>
    <w:locked/>
    <w:rsid w:val="002155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8577C447EF142A3A15CE3CB9CDC30" ma:contentTypeVersion="7" ma:contentTypeDescription="Create a new document." ma:contentTypeScope="" ma:versionID="d17fe59cdd0dff7a70ee8d95ddc5cdbe">
  <xsd:schema xmlns:xsd="http://www.w3.org/2001/XMLSchema" xmlns:xs="http://www.w3.org/2001/XMLSchema" xmlns:p="http://schemas.microsoft.com/office/2006/metadata/properties" xmlns:ns2="9bed4fe0-62cc-4f0b-a730-81923fb77626" targetNamespace="http://schemas.microsoft.com/office/2006/metadata/properties" ma:root="true" ma:fieldsID="1cf407bcfdd8209ce1edd2ad134ca1c7" ns2:_="">
    <xsd:import namespace="9bed4fe0-62cc-4f0b-a730-81923fb776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4fe0-62cc-4f0b-a730-81923fb7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LSenateDocument xmlns:w="http://schemas.openxmlformats.org/wordprocessingml/2006/main">
  <w:customXml w:uri="http://SenateLeagisDocument.xsd" w:element="LegislativeDocument">
    <w:customXmlPr>
      <w:attr w:name="CCId" w:val="1138765044"/>
      <w:attr w:name="SessionName" w:val="2022"/>
    </w:customXmlPr>
    <w:customXml w:uri="http://SenateLeagisDocument.xsd" w:element="Amendment">
      <w:customXmlPr>
        <w:attr w:name="CCId" w:val="2032075044"/>
        <w:attr w:name="AmendmentCategory" w:val="CommitteeAmendment"/>
        <w:attr w:name="ParentDocumentChamber" w:val="Senate"/>
      </w:customXmlPr>
      <w:customXml w:uri="http://SenateLeagisDocument.xsd" w:element="LegislativeAction">
        <w:customXmlPr>
          <w:attr w:name="CCId" w:val="2483337968"/>
        </w:customXmlPr>
        <w:customXml w:uri="http://SenateLeagisDocument.xsd" w:element="CommitteeActionSenate">
          <w:customXmlPr>
            <w:attr w:name="CCId" w:val="3671968334"/>
          </w:customXmlPr>
        </w:customXml>
        <w:customXml w:uri="http://SenateLeagisDocument.xsd" w:element="FloorActionSenate">
          <w:customXmlPr>
            <w:attr w:name="CCId" w:val="2045096163"/>
          </w:customXmlPr>
        </w:customXml>
        <w:customXml w:uri="http://SenateLeagisDocument.xsd" w:element="CommitteeActionHouse">
          <w:customXmlPr>
            <w:attr w:name="CCId" w:val="3559571424"/>
          </w:customXmlPr>
        </w:customXml>
        <w:customXml w:uri="http://SenateLeagisDocument.xsd" w:element="FloorActionHouse">
          <w:customXmlPr>
            <w:attr w:name="CCId" w:val="1235973283"/>
          </w:customXmlPr>
        </w:customXml>
      </w:customXml>
      <w:customXml w:uri="http://SenateLeagisDocument.xsd" w:element="SponsorLine">
        <w:customXmlPr>
          <w:attr w:name="CCId" w:val="1149181770"/>
        </w:customXmlPr>
        <w:customXml w:uri="http://SenateLeagisDocument.xsd" w:element="CommitteeName">
          <w:customXmlPr>
            <w:attr w:name="CCId" w:val="1541447509"/>
          </w:customXmlPr>
          <w:customXml w:uri="http://SenateLeagisDocument.xsd" w:element="Sponsor">
            <w:customXmlPr>
              <w:attr w:name="CCId" w:val="574138920"/>
            </w:customXmlPr>
          </w:customXml>
        </w:customXml>
      </w:customXml>
      <w:customXml w:uri="http://SenateLeagisDocument.xsd" w:element="AmendmentTypeLine">
        <w:customXmlPr>
          <w:attr w:name="CCId" w:val="71894480"/>
        </w:customXmlPr>
        <w:customXml w:uri="http://SenateLeagisDocument.xsd" w:element="AmendmentType">
          <w:customXmlPr>
            <w:attr w:name="CCId" w:val="1054622295"/>
          </w:customXmlPr>
        </w:customXml>
      </w:customXml>
      <w:customXml w:uri="http://SenateLeagisDocument.xsd" w:element="BodyAmendment">
        <w:customXmlPr>
          <w:attr w:name="CCId" w:val="2025015440"/>
        </w:customXmlPr>
        <w:customXml w:uri="http://SenateLeagisDocument.xsd" w:element="AmendingInstructions">
          <w:customXmlPr>
            <w:attr w:name="CCId" w:val="1123302250"/>
          </w:customXmlPr>
          <w:customXml w:uri="http://SenateLeagisDocument.xsd" w:element="Action">
            <w:customXmlPr>
              <w:attr w:name="CCId" w:val="923369032"/>
            </w:customXmlPr>
            <w:customXml w:uri="http://SenateLeagisDocument.xsd" w:element="DeleteLanguage">
              <w:customXmlPr>
                <w:attr w:name="CCId" w:val="730323247"/>
              </w:customXmlPr>
              <w:customXml w:uri="http://SenateLeagisDocument.xsd" w:element="Range">
                <w:customXmlPr>
                  <w:attr w:name="CCId" w:val="687798272"/>
                </w:customXmlPr>
                <w:customXml w:uri="http://SenateLeagisDocument.xsd" w:element="StartLine">
                  <w:customXmlPr>
                    <w:attr w:name="CCId" w:val="824969221"/>
                  </w:customXmlPr>
                  <w:customXml w:uri="http://SenateLeagisDocument.xsd" w:element="EndLine">
                    <w:customXmlPr>
                      <w:attr w:name="CCId" w:val="290479835"/>
                    </w:customXmlPr>
                  </w:customXml>
                </w:customXml>
              </w:customXml>
              <w:customXml w:uri="http://SenateLeagisDocument.xsd" w:element="InsertLanguage">
                <w:customXmlPr>
                  <w:attr w:name="CCId" w:val="1894821328"/>
                </w:customXmlPr>
              </w:customXml>
            </w:customXml>
            <w:customXml w:uri="http://SenateLeagisDocument.xsd" w:element="AmendingText">
              <w:customXmlPr>
                <w:attr w:name="CCId" w:val="1833938038"/>
              </w:customXmlPr>
            </w:customXml>
          </w:customXml>
        </w:customXml>
      </w:customXml>
    </w:customXml>
  </w:customXml>
  <w:customXml w:uri="http://SenateLeagisDocument.xsd" w:element="AmendmentHeader">
    <w:customXmlPr>
      <w:attr w:name="CCId" w:val="2804573439"/>
    </w:customXmlPr>
    <w:customXml w:uri="http://SenateLeagisDocument.xsd" w:element="SessionYear">
      <w:customXmlPr>
        <w:attr w:name="CCId" w:val="3698640956"/>
      </w:customXmlPr>
    </w:customXml>
    <w:customXml w:uri="http://SenateLeagisDocument.xsd" w:element="AmendmentCategory">
      <w:customXmlPr>
        <w:attr w:name="CCId" w:val="346687221"/>
      </w:customXmlPr>
    </w:customXml>
    <w:customXml w:uri="http://SenateLeagisDocument.xsd" w:element="BillDisplayName">
      <w:customXmlPr>
        <w:attr w:name="CCId" w:val="906951541"/>
      </w:customXmlPr>
    </w:customXml>
    <w:customXml w:uri="http://SenateLeagisDocument.xsd" w:element="AmendmentBarcode">
      <w:customXmlPr>
        <w:attr w:name="CCId" w:val="941117341"/>
      </w:customXmlPr>
    </w:customXml>
    <w:customXml w:uri="http://SenateLeagisDocument.xsd" w:element="AmendmentBarcodeNumber">
      <w:customXmlPr>
        <w:attr w:name="CCId" w:val="2451730562"/>
      </w:customXmlPr>
    </w:customXml>
  </w:customXml>
  <w:customXml w:uri="http://SenateLeagisDocument.xsd" w:element="AmendmentFooter">
    <w:customXmlPr>
      <w:attr w:name="CCId" w:val="1990894684"/>
    </w:customXmlPr>
    <w:customXml w:uri="http://SenateLeagisDocument.xsd" w:element="DraftNumber">
      <w:customXmlPr>
        <w:attr w:name="CCId" w:val="3168114940"/>
      </w:customXmlPr>
    </w:customXml>
  </w:customXml>
</FLSenateDocument>
</file>

<file path=customXml/itemProps1.xml><?xml version="1.0" encoding="utf-8"?>
<ds:datastoreItem xmlns:ds="http://schemas.openxmlformats.org/officeDocument/2006/customXml" ds:itemID="{43782097-E52F-46C0-9F1E-39AF9E46151E}">
  <ds:schemaRefs>
    <ds:schemaRef ds:uri="http://schemas.microsoft.com/office/2006/metadata/properties"/>
    <ds:schemaRef ds:uri="http://schemas.microsoft.com/office/infopath/2007/PartnerControls"/>
    <ds:schemaRef ds:uri="ff6b4037-32c7-486c-848d-d7b00712575f"/>
  </ds:schemaRefs>
</ds:datastoreItem>
</file>

<file path=customXml/itemProps2.xml><?xml version="1.0" encoding="utf-8"?>
<ds:datastoreItem xmlns:ds="http://schemas.openxmlformats.org/officeDocument/2006/customXml" ds:itemID="{E0E916CC-9F19-4FB7-8F92-8150DD35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4fe0-62cc-4f0b-a730-81923fb77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D2EC8-E827-40B4-BB65-80CA3B8F38A9}">
  <ds:schemaRefs>
    <ds:schemaRef ds:uri="http://schemas.microsoft.com/sharepoint/v3/contenttype/forms"/>
  </ds:schemaRefs>
</ds:datastoreItem>
</file>

<file path=customXml/itemProps4.xml><?xml version="1.0" encoding="utf-8"?>
<ds:datastoreItem xmlns:ds="http://schemas.openxmlformats.org/officeDocument/2006/customXml" ds:itemID="{594F092F-5748-48F4-9637-3925E6C93D01}">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Shi</dc:creator>
  <cp:keywords/>
  <dc:description/>
  <cp:lastModifiedBy>GR</cp:lastModifiedBy>
  <cp:revision>2</cp:revision>
  <cp:lastPrinted>2021-12-03T16:43:00Z</cp:lastPrinted>
  <dcterms:created xsi:type="dcterms:W3CDTF">2022-01-10T17:18:00Z</dcterms:created>
  <dcterms:modified xsi:type="dcterms:W3CDTF">2022-01-10T17:18:00Z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0x0101000ED8577C447EF142A3A15CE3CB9CDC30</vt:lpwstr>
  </property>
  <property fmtid="{D5CDD505-2E9C-101B-9397-08002B2CF9AE}" pid="3" name="RunPopulateBillData">
    <vt:lpwstr>False</vt:lpwstr>
  </property>
  <property fmtid="{D5CDD505-2E9C-101B-9397-08002B2CF9AE}" pid="4" name="RunAmendmentConfigurator">
    <vt:lpwstr>False</vt:lpwstr>
  </property>
</Properties>
</file>