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57507" w14:textId="4AE78AAC" w:rsidR="008175B2" w:rsidRDefault="007723F0" w:rsidP="008175B2">
      <w:pPr>
        <w:pStyle w:val="ListParagraph"/>
        <w:ind w:left="0"/>
        <w:jc w:val="center"/>
        <w:rPr>
          <w:b/>
          <w:bCs/>
          <w:caps/>
          <w:sz w:val="28"/>
          <w:szCs w:val="28"/>
          <w:u w:val="single"/>
        </w:rPr>
      </w:pPr>
      <w:r>
        <w:rPr>
          <w:b/>
          <w:bCs/>
          <w:caps/>
          <w:sz w:val="28"/>
          <w:szCs w:val="28"/>
          <w:u w:val="single"/>
        </w:rPr>
        <w:t>FCLC Construction Transactions</w:t>
      </w:r>
    </w:p>
    <w:p w14:paraId="310A9963" w14:textId="0A9AD260" w:rsidR="007723F0" w:rsidRDefault="007723F0" w:rsidP="008175B2">
      <w:pPr>
        <w:pStyle w:val="ListParagraph"/>
        <w:ind w:left="0"/>
        <w:jc w:val="center"/>
        <w:rPr>
          <w:b/>
          <w:bCs/>
          <w:caps/>
          <w:sz w:val="28"/>
          <w:szCs w:val="28"/>
          <w:u w:val="single"/>
        </w:rPr>
      </w:pPr>
      <w:r>
        <w:rPr>
          <w:b/>
          <w:bCs/>
          <w:caps/>
          <w:sz w:val="28"/>
          <w:szCs w:val="28"/>
          <w:u w:val="single"/>
        </w:rPr>
        <w:t>Subcommittee report</w:t>
      </w:r>
    </w:p>
    <w:p w14:paraId="5BAB8C60" w14:textId="13F578DC" w:rsidR="007723F0" w:rsidRPr="007723F0" w:rsidRDefault="007723F0" w:rsidP="008175B2">
      <w:pPr>
        <w:pStyle w:val="ListParagraph"/>
        <w:ind w:left="0"/>
        <w:jc w:val="center"/>
        <w:rPr>
          <w:b/>
          <w:bCs/>
          <w:caps/>
          <w:sz w:val="28"/>
          <w:szCs w:val="28"/>
          <w:u w:val="single"/>
        </w:rPr>
      </w:pPr>
      <w:r>
        <w:rPr>
          <w:b/>
          <w:bCs/>
          <w:caps/>
          <w:sz w:val="28"/>
          <w:szCs w:val="28"/>
          <w:u w:val="single"/>
        </w:rPr>
        <w:t>July 2021</w:t>
      </w:r>
    </w:p>
    <w:p w14:paraId="0B67456B" w14:textId="2FBFCF83" w:rsidR="007723F0" w:rsidRDefault="007723F0" w:rsidP="008175B2">
      <w:pPr>
        <w:pStyle w:val="ListParagraph"/>
        <w:ind w:left="0"/>
        <w:jc w:val="center"/>
        <w:rPr>
          <w:caps/>
        </w:rPr>
      </w:pPr>
    </w:p>
    <w:p w14:paraId="47FB2952" w14:textId="77777777" w:rsidR="007D27C7" w:rsidRPr="007D27C7" w:rsidRDefault="007D27C7" w:rsidP="007D27C7">
      <w:pPr>
        <w:jc w:val="both"/>
        <w:rPr>
          <w:b/>
          <w:bCs/>
        </w:rPr>
      </w:pPr>
      <w:r w:rsidRPr="007D27C7">
        <w:rPr>
          <w:b/>
          <w:bCs/>
        </w:rPr>
        <w:t>CASES</w:t>
      </w:r>
    </w:p>
    <w:p w14:paraId="096D0782" w14:textId="77777777" w:rsidR="007D27C7" w:rsidRPr="007D27C7" w:rsidRDefault="007D27C7" w:rsidP="007D27C7">
      <w:pPr>
        <w:jc w:val="both"/>
        <w:rPr>
          <w:b/>
          <w:bCs/>
        </w:rPr>
      </w:pPr>
    </w:p>
    <w:p w14:paraId="36C5BC1A" w14:textId="0D9D1A66" w:rsidR="007D27C7" w:rsidRPr="007D27C7" w:rsidRDefault="007D27C7" w:rsidP="007D27C7">
      <w:pPr>
        <w:jc w:val="both"/>
      </w:pPr>
      <w:r w:rsidRPr="007D27C7">
        <w:rPr>
          <w:i/>
          <w:iCs/>
        </w:rPr>
        <w:t>F.H.Paschen, S.N. Nielsen &amp; Associates LLC v. B &amp; B Site Development, Inc.,</w:t>
      </w:r>
      <w:r w:rsidRPr="007D27C7">
        <w:t xml:space="preserve"> 46 Fla.L.</w:t>
      </w:r>
      <w:r w:rsidR="00B54169">
        <w:t xml:space="preserve"> </w:t>
      </w:r>
      <w:r w:rsidRPr="007D27C7">
        <w:t>Weekly D280, February 3, 2021 – Affirmed summary judgment on implied contract theories of liability but reversed on breach of written contract and remanded for further evidence on amount of damages.</w:t>
      </w:r>
    </w:p>
    <w:p w14:paraId="5ACDFBEC" w14:textId="77777777" w:rsidR="007D27C7" w:rsidRPr="007D27C7" w:rsidRDefault="007D27C7" w:rsidP="007D27C7">
      <w:pPr>
        <w:jc w:val="both"/>
      </w:pPr>
    </w:p>
    <w:p w14:paraId="2B467BB4" w14:textId="4A2BFC24" w:rsidR="007D27C7" w:rsidRPr="007D27C7" w:rsidRDefault="007D27C7" w:rsidP="007D27C7">
      <w:pPr>
        <w:jc w:val="both"/>
      </w:pPr>
      <w:r w:rsidRPr="007D27C7">
        <w:rPr>
          <w:u w:val="single"/>
        </w:rPr>
        <w:t>Lack of clarity creates legal issues</w:t>
      </w:r>
      <w:r w:rsidRPr="007D27C7">
        <w:t xml:space="preserve"> – US Postal Service bid the demolition and repaving of its post offices including one in Okeechobee.  The master contract required the general contractor, among other things, to verify dimensions of existing improvements and report discrepancies to the Owner.  The general contract</w:t>
      </w:r>
      <w:r w:rsidR="00C73AE4">
        <w:t>or</w:t>
      </w:r>
      <w:r w:rsidRPr="007D27C7">
        <w:t xml:space="preserve"> did not walk the site.  The general contractor </w:t>
      </w:r>
      <w:r w:rsidR="0050304C">
        <w:t xml:space="preserve">then </w:t>
      </w:r>
      <w:r w:rsidRPr="007D27C7">
        <w:t xml:space="preserve">awarded the subcontract for demolition and paving to </w:t>
      </w:r>
      <w:r w:rsidR="0050304C">
        <w:t>B&amp;B</w:t>
      </w:r>
      <w:r w:rsidR="000D25A3">
        <w:t xml:space="preserve">.  The </w:t>
      </w:r>
      <w:r w:rsidRPr="007D27C7">
        <w:t>bid documents used multiple ways to describe the scope of the work: pavement, cement concrete pavement, existing Portland cement concrete pavement, existing PCC pavement</w:t>
      </w:r>
      <w:r w:rsidR="000D25A3">
        <w:t>, even though</w:t>
      </w:r>
      <w:r w:rsidRPr="007D27C7">
        <w:t xml:space="preserve"> much of the paved surface was also asphalt, not concrete.  The sub measured the concrete area as 9,000 square yards and the sub submitted its lump sum bid price</w:t>
      </w:r>
      <w:r w:rsidR="000D25A3">
        <w:t xml:space="preserve"> to the general contractor</w:t>
      </w:r>
      <w:r w:rsidRPr="007D27C7">
        <w:t>.</w:t>
      </w:r>
      <w:r w:rsidR="000D25A3">
        <w:t xml:space="preserve">  The general contractor’s price did not include </w:t>
      </w:r>
      <w:r w:rsidR="00193A23">
        <w:t xml:space="preserve">a price to demolish and pave the existing asphalt pavement.  The </w:t>
      </w:r>
      <w:r w:rsidR="00936D55">
        <w:t>scope of work for the price was at issue and whether the subcontractor was entitled to payment for the “extra” work.</w:t>
      </w:r>
    </w:p>
    <w:p w14:paraId="4A04829B" w14:textId="77777777" w:rsidR="007D27C7" w:rsidRPr="007D27C7" w:rsidRDefault="007D27C7" w:rsidP="007D27C7">
      <w:pPr>
        <w:jc w:val="both"/>
      </w:pPr>
    </w:p>
    <w:p w14:paraId="2A134276" w14:textId="29EA29F9" w:rsidR="007D27C7" w:rsidRPr="007D27C7" w:rsidRDefault="007D27C7" w:rsidP="007D27C7">
      <w:pPr>
        <w:jc w:val="both"/>
      </w:pPr>
      <w:r w:rsidRPr="007D27C7">
        <w:t>The case is an excellent review of (1) the rules governing contract interpretation; (2) the differences and distinctions among causes of action for breach of contract, quantum meruit (implied contract)</w:t>
      </w:r>
      <w:r w:rsidR="00C73AE4">
        <w:t>, and</w:t>
      </w:r>
      <w:r w:rsidRPr="007D27C7">
        <w:t xml:space="preserve"> unjust enrichment (implied contract in law); and (3) the evidence required to establish the reasonable value of labor and materials it provided</w:t>
      </w:r>
      <w:r w:rsidRPr="007D27C7">
        <w:rPr>
          <w:i/>
          <w:iCs/>
        </w:rPr>
        <w:t>, i.e</w:t>
      </w:r>
      <w:r w:rsidRPr="007D27C7">
        <w:t>., damages for implied contract theories.</w:t>
      </w:r>
    </w:p>
    <w:p w14:paraId="3FE96DA7" w14:textId="77777777" w:rsidR="007D27C7" w:rsidRPr="007D27C7" w:rsidRDefault="007D27C7" w:rsidP="007D27C7">
      <w:pPr>
        <w:jc w:val="both"/>
      </w:pPr>
    </w:p>
    <w:p w14:paraId="79206FC3" w14:textId="2A0CF060" w:rsidR="007D27C7" w:rsidRPr="007D27C7" w:rsidRDefault="007D27C7" w:rsidP="007D27C7">
      <w:pPr>
        <w:jc w:val="both"/>
      </w:pPr>
      <w:r w:rsidRPr="007D27C7">
        <w:t>The following chart summaries certain principle</w:t>
      </w:r>
      <w:r w:rsidR="00FC76FE">
        <w:t>s of</w:t>
      </w:r>
      <w:r w:rsidRPr="007D27C7">
        <w:t xml:space="preserve"> contract construction:</w:t>
      </w:r>
    </w:p>
    <w:p w14:paraId="6C6C92B5" w14:textId="77777777" w:rsidR="007D27C7" w:rsidRPr="007D27C7" w:rsidRDefault="007D27C7" w:rsidP="007D27C7">
      <w:pPr>
        <w:jc w:val="both"/>
      </w:pPr>
    </w:p>
    <w:tbl>
      <w:tblPr>
        <w:tblStyle w:val="TableGrid1"/>
        <w:tblW w:w="0" w:type="auto"/>
        <w:tblInd w:w="0" w:type="dxa"/>
        <w:tblLook w:val="04A0" w:firstRow="1" w:lastRow="0" w:firstColumn="1" w:lastColumn="0" w:noHBand="0" w:noVBand="1"/>
      </w:tblPr>
      <w:tblGrid>
        <w:gridCol w:w="4675"/>
        <w:gridCol w:w="4675"/>
      </w:tblGrid>
      <w:tr w:rsidR="007D27C7" w:rsidRPr="007D27C7" w14:paraId="1AD603B2" w14:textId="77777777" w:rsidTr="002B2C41">
        <w:tc>
          <w:tcPr>
            <w:tcW w:w="4675" w:type="dxa"/>
          </w:tcPr>
          <w:p w14:paraId="2CABC381" w14:textId="77777777" w:rsidR="007D27C7" w:rsidRPr="007D27C7" w:rsidRDefault="007D27C7" w:rsidP="007D27C7">
            <w:pPr>
              <w:jc w:val="center"/>
              <w:rPr>
                <w:b/>
                <w:bCs/>
              </w:rPr>
            </w:pPr>
            <w:r w:rsidRPr="007D27C7">
              <w:rPr>
                <w:b/>
                <w:bCs/>
              </w:rPr>
              <w:t>Principle</w:t>
            </w:r>
          </w:p>
        </w:tc>
        <w:tc>
          <w:tcPr>
            <w:tcW w:w="4675" w:type="dxa"/>
          </w:tcPr>
          <w:p w14:paraId="54780148" w14:textId="77777777" w:rsidR="007D27C7" w:rsidRPr="007D27C7" w:rsidRDefault="007D27C7" w:rsidP="007D27C7">
            <w:pPr>
              <w:jc w:val="center"/>
              <w:rPr>
                <w:b/>
                <w:bCs/>
              </w:rPr>
            </w:pPr>
            <w:r w:rsidRPr="007D27C7">
              <w:rPr>
                <w:b/>
                <w:bCs/>
              </w:rPr>
              <w:t>Authority</w:t>
            </w:r>
          </w:p>
        </w:tc>
      </w:tr>
      <w:tr w:rsidR="007D27C7" w:rsidRPr="007D27C7" w14:paraId="1970012B" w14:textId="77777777" w:rsidTr="002B2C41">
        <w:tc>
          <w:tcPr>
            <w:tcW w:w="4675" w:type="dxa"/>
          </w:tcPr>
          <w:p w14:paraId="1F5883A8" w14:textId="77777777" w:rsidR="007D27C7" w:rsidRPr="007D27C7" w:rsidRDefault="007D27C7" w:rsidP="007D27C7">
            <w:pPr>
              <w:jc w:val="both"/>
            </w:pPr>
            <w:r w:rsidRPr="007D27C7">
              <w:t>If language is clear and unambiguous, court gives effect to its plain meaning as the contract is the best evidence of the parties’ intent.</w:t>
            </w:r>
          </w:p>
          <w:p w14:paraId="21BF7C28" w14:textId="77777777" w:rsidR="007D27C7" w:rsidRPr="007D27C7" w:rsidRDefault="007D27C7" w:rsidP="007D27C7">
            <w:pPr>
              <w:jc w:val="both"/>
            </w:pPr>
          </w:p>
        </w:tc>
        <w:tc>
          <w:tcPr>
            <w:tcW w:w="4675" w:type="dxa"/>
          </w:tcPr>
          <w:p w14:paraId="4A0ABFE1" w14:textId="77777777" w:rsidR="007D27C7" w:rsidRPr="007D27C7" w:rsidRDefault="007D27C7" w:rsidP="007D27C7">
            <w:pPr>
              <w:jc w:val="both"/>
            </w:pPr>
            <w:r w:rsidRPr="007D27C7">
              <w:rPr>
                <w:i/>
                <w:iCs/>
              </w:rPr>
              <w:t>Talbott v. First Bank Fla., FSB</w:t>
            </w:r>
            <w:r w:rsidRPr="007D27C7">
              <w:t>, 59 So. 3d 243 (Fla.4</w:t>
            </w:r>
            <w:r w:rsidRPr="007D27C7">
              <w:rPr>
                <w:vertAlign w:val="superscript"/>
              </w:rPr>
              <w:t>th</w:t>
            </w:r>
            <w:r w:rsidRPr="007D27C7">
              <w:t xml:space="preserve"> DCA 2011)</w:t>
            </w:r>
          </w:p>
        </w:tc>
      </w:tr>
      <w:tr w:rsidR="007D27C7" w:rsidRPr="007D27C7" w14:paraId="0632BD64" w14:textId="77777777" w:rsidTr="002B2C41">
        <w:tc>
          <w:tcPr>
            <w:tcW w:w="4675" w:type="dxa"/>
          </w:tcPr>
          <w:p w14:paraId="78E98DB5" w14:textId="77777777" w:rsidR="007D27C7" w:rsidRPr="007D27C7" w:rsidRDefault="007D27C7" w:rsidP="007D27C7">
            <w:pPr>
              <w:jc w:val="both"/>
            </w:pPr>
            <w:r w:rsidRPr="007D27C7">
              <w:t>A court must interpret a contract in a manner that accords with reason and probability- avoid an absurd construction.</w:t>
            </w:r>
          </w:p>
          <w:p w14:paraId="32EE56B6" w14:textId="77777777" w:rsidR="007D27C7" w:rsidRPr="007D27C7" w:rsidRDefault="007D27C7" w:rsidP="007D27C7">
            <w:pPr>
              <w:jc w:val="both"/>
            </w:pPr>
          </w:p>
        </w:tc>
        <w:tc>
          <w:tcPr>
            <w:tcW w:w="4675" w:type="dxa"/>
          </w:tcPr>
          <w:p w14:paraId="7C8144A1" w14:textId="77777777" w:rsidR="007D27C7" w:rsidRPr="007D27C7" w:rsidRDefault="007D27C7" w:rsidP="007D27C7">
            <w:pPr>
              <w:jc w:val="both"/>
            </w:pPr>
            <w:r w:rsidRPr="007D27C7">
              <w:rPr>
                <w:i/>
                <w:iCs/>
              </w:rPr>
              <w:t>Katz v. Katz</w:t>
            </w:r>
            <w:r w:rsidRPr="007D27C7">
              <w:t>, 666 So. 2d 1025 (Fla. 4</w:t>
            </w:r>
            <w:r w:rsidRPr="007D27C7">
              <w:rPr>
                <w:vertAlign w:val="superscript"/>
              </w:rPr>
              <w:t>th</w:t>
            </w:r>
            <w:r w:rsidRPr="007D27C7">
              <w:t xml:space="preserve"> DCA 1996)</w:t>
            </w:r>
          </w:p>
        </w:tc>
      </w:tr>
      <w:tr w:rsidR="007D27C7" w:rsidRPr="007D27C7" w14:paraId="43833BFF" w14:textId="77777777" w:rsidTr="002B2C41">
        <w:tc>
          <w:tcPr>
            <w:tcW w:w="4675" w:type="dxa"/>
          </w:tcPr>
          <w:p w14:paraId="63986431" w14:textId="77777777" w:rsidR="007D27C7" w:rsidRPr="007D27C7" w:rsidRDefault="007D27C7" w:rsidP="007D27C7">
            <w:pPr>
              <w:jc w:val="both"/>
            </w:pPr>
            <w:r w:rsidRPr="007D27C7">
              <w:t>Read contract as a whole – in its entirety.</w:t>
            </w:r>
          </w:p>
        </w:tc>
        <w:tc>
          <w:tcPr>
            <w:tcW w:w="4675" w:type="dxa"/>
          </w:tcPr>
          <w:p w14:paraId="684894D9" w14:textId="77777777" w:rsidR="007D27C7" w:rsidRPr="007D27C7" w:rsidRDefault="007D27C7" w:rsidP="007D27C7">
            <w:pPr>
              <w:jc w:val="both"/>
            </w:pPr>
            <w:r w:rsidRPr="007D27C7">
              <w:rPr>
                <w:i/>
                <w:iCs/>
              </w:rPr>
              <w:t>Discover Prop. &amp; Cas. Ins. Co. v. Beach Cars of W. Palm, Inc.,</w:t>
            </w:r>
            <w:r w:rsidRPr="007D27C7">
              <w:t xml:space="preserve"> 929 So. 2d 729 (Fla. 4</w:t>
            </w:r>
            <w:r w:rsidRPr="007D27C7">
              <w:rPr>
                <w:vertAlign w:val="superscript"/>
              </w:rPr>
              <w:t>th</w:t>
            </w:r>
            <w:r w:rsidRPr="007D27C7">
              <w:t xml:space="preserve"> DCA 2006)</w:t>
            </w:r>
          </w:p>
        </w:tc>
      </w:tr>
      <w:tr w:rsidR="007D27C7" w:rsidRPr="007D27C7" w14:paraId="19592D7F" w14:textId="77777777" w:rsidTr="002B2C41">
        <w:tc>
          <w:tcPr>
            <w:tcW w:w="4675" w:type="dxa"/>
          </w:tcPr>
          <w:p w14:paraId="1CA18672" w14:textId="77777777" w:rsidR="007D27C7" w:rsidRPr="007D27C7" w:rsidRDefault="007D27C7" w:rsidP="007D27C7">
            <w:pPr>
              <w:jc w:val="both"/>
            </w:pPr>
            <w:r w:rsidRPr="007D27C7">
              <w:t>Court must give reasonable meaning to all provisions of a contract, rather than to render part of a contract useless.</w:t>
            </w:r>
          </w:p>
        </w:tc>
        <w:tc>
          <w:tcPr>
            <w:tcW w:w="4675" w:type="dxa"/>
          </w:tcPr>
          <w:p w14:paraId="7BAF90F6" w14:textId="77777777" w:rsidR="007D27C7" w:rsidRPr="007D27C7" w:rsidRDefault="007D27C7" w:rsidP="007D27C7">
            <w:pPr>
              <w:jc w:val="both"/>
            </w:pPr>
            <w:r w:rsidRPr="007D27C7">
              <w:rPr>
                <w:i/>
                <w:iCs/>
              </w:rPr>
              <w:t>Publix Super Mkts., Inc. v Wilder Corp of Del</w:t>
            </w:r>
            <w:r w:rsidRPr="007D27C7">
              <w:rPr>
                <w:u w:val="single"/>
              </w:rPr>
              <w:t>.</w:t>
            </w:r>
            <w:r w:rsidRPr="007D27C7">
              <w:t>, 876 So. 2d 652 (Fla. 2d DCA 2004)</w:t>
            </w:r>
          </w:p>
        </w:tc>
      </w:tr>
      <w:tr w:rsidR="007D27C7" w:rsidRPr="007D27C7" w14:paraId="5EB00A01" w14:textId="77777777" w:rsidTr="002B2C41">
        <w:tc>
          <w:tcPr>
            <w:tcW w:w="4675" w:type="dxa"/>
          </w:tcPr>
          <w:p w14:paraId="0D332BFE" w14:textId="77777777" w:rsidR="007D27C7" w:rsidRPr="007D27C7" w:rsidRDefault="007D27C7" w:rsidP="007D27C7">
            <w:pPr>
              <w:jc w:val="both"/>
              <w:rPr>
                <w:i/>
                <w:iCs/>
              </w:rPr>
            </w:pPr>
            <w:r w:rsidRPr="007D27C7">
              <w:t>Specific controls the general. (</w:t>
            </w:r>
            <w:r w:rsidRPr="007D27C7">
              <w:rPr>
                <w:i/>
                <w:iCs/>
              </w:rPr>
              <w:t>Inclusio unius est exclusion alterius.)</w:t>
            </w:r>
          </w:p>
          <w:p w14:paraId="7F2B745B" w14:textId="77777777" w:rsidR="007D27C7" w:rsidRPr="007D27C7" w:rsidRDefault="007D27C7" w:rsidP="007D27C7">
            <w:pPr>
              <w:jc w:val="both"/>
            </w:pPr>
          </w:p>
        </w:tc>
        <w:tc>
          <w:tcPr>
            <w:tcW w:w="4675" w:type="dxa"/>
          </w:tcPr>
          <w:p w14:paraId="411BB308" w14:textId="77777777" w:rsidR="007D27C7" w:rsidRPr="007D27C7" w:rsidRDefault="007D27C7" w:rsidP="007D27C7">
            <w:pPr>
              <w:jc w:val="both"/>
            </w:pPr>
            <w:r w:rsidRPr="007D27C7">
              <w:rPr>
                <w:i/>
                <w:iCs/>
              </w:rPr>
              <w:t>Bridges v. City of Boynton Beach</w:t>
            </w:r>
            <w:r w:rsidRPr="007D27C7">
              <w:t>, 927 So. 2d 1061 (Fla. 4</w:t>
            </w:r>
            <w:r w:rsidRPr="007D27C7">
              <w:rPr>
                <w:vertAlign w:val="superscript"/>
              </w:rPr>
              <w:t>th</w:t>
            </w:r>
            <w:r w:rsidRPr="007D27C7">
              <w:t xml:space="preserve"> DCA 2006)</w:t>
            </w:r>
          </w:p>
        </w:tc>
      </w:tr>
      <w:tr w:rsidR="007D27C7" w:rsidRPr="007D27C7" w14:paraId="4CB71BF8" w14:textId="77777777" w:rsidTr="002B2C41">
        <w:tc>
          <w:tcPr>
            <w:tcW w:w="4675" w:type="dxa"/>
          </w:tcPr>
          <w:p w14:paraId="227CA8E0" w14:textId="77777777" w:rsidR="007D27C7" w:rsidRPr="007D27C7" w:rsidRDefault="007D27C7" w:rsidP="007D27C7">
            <w:pPr>
              <w:jc w:val="both"/>
            </w:pPr>
            <w:r w:rsidRPr="007D27C7">
              <w:t xml:space="preserve">The headings do not dictate the meaning of the entire agreement – especially if the literal language of the heading is contrary to the agreement’s overall scheme. </w:t>
            </w:r>
          </w:p>
        </w:tc>
        <w:tc>
          <w:tcPr>
            <w:tcW w:w="4675" w:type="dxa"/>
          </w:tcPr>
          <w:p w14:paraId="23674B0E" w14:textId="77777777" w:rsidR="007D27C7" w:rsidRPr="007D27C7" w:rsidRDefault="007D27C7" w:rsidP="007D27C7">
            <w:pPr>
              <w:jc w:val="both"/>
            </w:pPr>
            <w:r w:rsidRPr="007D27C7">
              <w:rPr>
                <w:i/>
                <w:iCs/>
              </w:rPr>
              <w:t xml:space="preserve">Hinely v. Fla. Motorcycle Training, Inc., </w:t>
            </w:r>
            <w:r w:rsidRPr="007D27C7">
              <w:t>70 So. 3d 620 (Fla. 1</w:t>
            </w:r>
            <w:r w:rsidRPr="007D27C7">
              <w:rPr>
                <w:vertAlign w:val="superscript"/>
              </w:rPr>
              <w:t>st</w:t>
            </w:r>
            <w:r w:rsidRPr="007D27C7">
              <w:t xml:space="preserve"> DCA 2011)</w:t>
            </w:r>
          </w:p>
        </w:tc>
      </w:tr>
      <w:tr w:rsidR="007D27C7" w:rsidRPr="007D27C7" w14:paraId="4D03ED25" w14:textId="77777777" w:rsidTr="002B2C41">
        <w:tc>
          <w:tcPr>
            <w:tcW w:w="4675" w:type="dxa"/>
          </w:tcPr>
          <w:p w14:paraId="27B8E8AA" w14:textId="77777777" w:rsidR="007D27C7" w:rsidRPr="007D27C7" w:rsidRDefault="007D27C7" w:rsidP="007D27C7">
            <w:pPr>
              <w:jc w:val="both"/>
            </w:pPr>
            <w:r w:rsidRPr="007D27C7">
              <w:t>Ambiguity is construed against the drafter.</w:t>
            </w:r>
          </w:p>
          <w:p w14:paraId="7BC286FD" w14:textId="77777777" w:rsidR="007D27C7" w:rsidRPr="007D27C7" w:rsidRDefault="007D27C7" w:rsidP="007D27C7">
            <w:pPr>
              <w:jc w:val="both"/>
            </w:pPr>
          </w:p>
        </w:tc>
        <w:tc>
          <w:tcPr>
            <w:tcW w:w="4675" w:type="dxa"/>
          </w:tcPr>
          <w:p w14:paraId="70C191D1" w14:textId="77777777" w:rsidR="007D27C7" w:rsidRPr="007D27C7" w:rsidRDefault="007D27C7" w:rsidP="007D27C7">
            <w:pPr>
              <w:jc w:val="both"/>
            </w:pPr>
            <w:r w:rsidRPr="007D27C7">
              <w:rPr>
                <w:i/>
                <w:iCs/>
              </w:rPr>
              <w:t xml:space="preserve">City of Homestead v. Johnson, </w:t>
            </w:r>
            <w:r w:rsidRPr="007D27C7">
              <w:t>720 So. 2d 80 (Fla. 2000)</w:t>
            </w:r>
          </w:p>
        </w:tc>
      </w:tr>
      <w:tr w:rsidR="007D27C7" w:rsidRPr="007D27C7" w14:paraId="21813879" w14:textId="77777777" w:rsidTr="002B2C41">
        <w:tc>
          <w:tcPr>
            <w:tcW w:w="4675" w:type="dxa"/>
          </w:tcPr>
          <w:p w14:paraId="2AAD85C6" w14:textId="77777777" w:rsidR="007D27C7" w:rsidRPr="007D27C7" w:rsidRDefault="007D27C7" w:rsidP="007D27C7">
            <w:pPr>
              <w:jc w:val="both"/>
            </w:pPr>
            <w:r w:rsidRPr="007D27C7">
              <w:t>Merger and integration clauses – communication and representations made prior to executing contract was excluded as null and void</w:t>
            </w:r>
          </w:p>
        </w:tc>
        <w:tc>
          <w:tcPr>
            <w:tcW w:w="4675" w:type="dxa"/>
          </w:tcPr>
          <w:p w14:paraId="5DF1D4E5" w14:textId="77777777" w:rsidR="007D27C7" w:rsidRPr="007D27C7" w:rsidRDefault="007D27C7" w:rsidP="007D27C7">
            <w:pPr>
              <w:jc w:val="both"/>
              <w:rPr>
                <w:i/>
                <w:iCs/>
              </w:rPr>
            </w:pPr>
            <w:r w:rsidRPr="007D27C7">
              <w:rPr>
                <w:i/>
                <w:iCs/>
              </w:rPr>
              <w:t>F.H. Paschen</w:t>
            </w:r>
          </w:p>
        </w:tc>
      </w:tr>
      <w:tr w:rsidR="007D27C7" w:rsidRPr="007D27C7" w14:paraId="5CE4CC97" w14:textId="77777777" w:rsidTr="002B2C41">
        <w:tc>
          <w:tcPr>
            <w:tcW w:w="4675" w:type="dxa"/>
          </w:tcPr>
          <w:p w14:paraId="75604748" w14:textId="77777777" w:rsidR="007D27C7" w:rsidRPr="007D27C7" w:rsidRDefault="007D27C7" w:rsidP="007D27C7">
            <w:pPr>
              <w:jc w:val="both"/>
            </w:pPr>
            <w:r w:rsidRPr="007D27C7">
              <w:t>Where contract is silent a court cannot impose rights and duties where none are stated.</w:t>
            </w:r>
          </w:p>
        </w:tc>
        <w:tc>
          <w:tcPr>
            <w:tcW w:w="4675" w:type="dxa"/>
          </w:tcPr>
          <w:p w14:paraId="099B8062" w14:textId="77777777" w:rsidR="007D27C7" w:rsidRPr="007D27C7" w:rsidRDefault="007D27C7" w:rsidP="007D27C7">
            <w:pPr>
              <w:jc w:val="both"/>
            </w:pPr>
            <w:r w:rsidRPr="007D27C7">
              <w:rPr>
                <w:i/>
                <w:iCs/>
              </w:rPr>
              <w:t>Blok Builders, LLC. V Katryniok</w:t>
            </w:r>
            <w:r w:rsidRPr="007D27C7">
              <w:t>, 245 So. 3d 779 (Fla. 4</w:t>
            </w:r>
            <w:r w:rsidRPr="007D27C7">
              <w:rPr>
                <w:vertAlign w:val="superscript"/>
              </w:rPr>
              <w:t>th</w:t>
            </w:r>
            <w:r w:rsidRPr="007D27C7">
              <w:t xml:space="preserve"> DCA 2018)</w:t>
            </w:r>
          </w:p>
          <w:p w14:paraId="2D98E062" w14:textId="77777777" w:rsidR="007D27C7" w:rsidRPr="007D27C7" w:rsidRDefault="007D27C7" w:rsidP="007D27C7">
            <w:pPr>
              <w:jc w:val="both"/>
              <w:rPr>
                <w:i/>
                <w:iCs/>
              </w:rPr>
            </w:pPr>
          </w:p>
        </w:tc>
      </w:tr>
      <w:tr w:rsidR="007D27C7" w:rsidRPr="007D27C7" w14:paraId="7559A8D0" w14:textId="77777777" w:rsidTr="002B2C41">
        <w:tc>
          <w:tcPr>
            <w:tcW w:w="4675" w:type="dxa"/>
          </w:tcPr>
          <w:p w14:paraId="5089B783" w14:textId="77777777" w:rsidR="007D27C7" w:rsidRPr="007D27C7" w:rsidRDefault="007D27C7" w:rsidP="007D27C7">
            <w:pPr>
              <w:jc w:val="both"/>
            </w:pPr>
            <w:r w:rsidRPr="007D27C7">
              <w:t>Facts make the law. Read the contract.</w:t>
            </w:r>
          </w:p>
          <w:p w14:paraId="4E5203B1" w14:textId="77777777" w:rsidR="007D27C7" w:rsidRPr="007D27C7" w:rsidRDefault="007D27C7" w:rsidP="007D27C7">
            <w:pPr>
              <w:jc w:val="both"/>
            </w:pPr>
          </w:p>
        </w:tc>
        <w:tc>
          <w:tcPr>
            <w:tcW w:w="4675" w:type="dxa"/>
          </w:tcPr>
          <w:p w14:paraId="3B6474BE" w14:textId="77777777" w:rsidR="007D27C7" w:rsidRPr="007D27C7" w:rsidRDefault="007D27C7" w:rsidP="007D27C7">
            <w:pPr>
              <w:jc w:val="both"/>
            </w:pPr>
            <w:r w:rsidRPr="007D27C7">
              <w:rPr>
                <w:i/>
                <w:iCs/>
              </w:rPr>
              <w:t>Blok Builders, LLC. V Katryniok</w:t>
            </w:r>
            <w:r w:rsidRPr="007D27C7">
              <w:t>, 245 So. 3d 779 (Fla. 4</w:t>
            </w:r>
            <w:r w:rsidRPr="007D27C7">
              <w:rPr>
                <w:vertAlign w:val="superscript"/>
              </w:rPr>
              <w:t>th</w:t>
            </w:r>
            <w:r w:rsidRPr="007D27C7">
              <w:t xml:space="preserve"> DCA 2018) </w:t>
            </w:r>
          </w:p>
          <w:p w14:paraId="17DF75E4" w14:textId="77777777" w:rsidR="007D27C7" w:rsidRPr="007D27C7" w:rsidRDefault="007D27C7" w:rsidP="007D27C7">
            <w:pPr>
              <w:jc w:val="both"/>
            </w:pPr>
            <w:r w:rsidRPr="007D27C7">
              <w:rPr>
                <w:i/>
                <w:iCs/>
              </w:rPr>
              <w:t>Cf, W&amp;J Construction Corp. v Fanning/Howey Associates</w:t>
            </w:r>
            <w:r w:rsidRPr="007D27C7">
              <w:t>, 741 So. 2d 779 (Fla. 4</w:t>
            </w:r>
            <w:r w:rsidRPr="007D27C7">
              <w:rPr>
                <w:vertAlign w:val="superscript"/>
              </w:rPr>
              <w:t>th</w:t>
            </w:r>
            <w:r w:rsidRPr="007D27C7">
              <w:t xml:space="preserve"> DCA 2018)</w:t>
            </w:r>
          </w:p>
          <w:p w14:paraId="72BA6FA3" w14:textId="77777777" w:rsidR="007D27C7" w:rsidRPr="007D27C7" w:rsidRDefault="007D27C7" w:rsidP="007D27C7">
            <w:pPr>
              <w:jc w:val="both"/>
              <w:rPr>
                <w:i/>
                <w:iCs/>
              </w:rPr>
            </w:pPr>
          </w:p>
        </w:tc>
      </w:tr>
      <w:tr w:rsidR="007D27C7" w:rsidRPr="007D27C7" w14:paraId="4C8EC5B0" w14:textId="77777777" w:rsidTr="002B2C41">
        <w:tc>
          <w:tcPr>
            <w:tcW w:w="4675" w:type="dxa"/>
          </w:tcPr>
          <w:p w14:paraId="0BAE2349" w14:textId="77777777" w:rsidR="007D27C7" w:rsidRPr="007D27C7" w:rsidRDefault="007D27C7" w:rsidP="007D27C7">
            <w:pPr>
              <w:jc w:val="both"/>
            </w:pPr>
            <w:r w:rsidRPr="007D27C7">
              <w:t>Where contract exists and changes or alterations are requested by a party, the law implies an obligation to pay the reasonable costs thereof.</w:t>
            </w:r>
          </w:p>
        </w:tc>
        <w:tc>
          <w:tcPr>
            <w:tcW w:w="4675" w:type="dxa"/>
          </w:tcPr>
          <w:p w14:paraId="328C5467" w14:textId="77777777" w:rsidR="007D27C7" w:rsidRPr="007D27C7" w:rsidRDefault="007D27C7" w:rsidP="007D27C7">
            <w:pPr>
              <w:jc w:val="both"/>
              <w:rPr>
                <w:i/>
                <w:iCs/>
              </w:rPr>
            </w:pPr>
            <w:r w:rsidRPr="007D27C7">
              <w:rPr>
                <w:i/>
                <w:iCs/>
              </w:rPr>
              <w:t>Broderick v. Overhead Door Co. of Fort Lauderdale, 117 So. 2d 240 (Fla. 2d DCA 1959)</w:t>
            </w:r>
          </w:p>
        </w:tc>
      </w:tr>
    </w:tbl>
    <w:p w14:paraId="1C42DBB6" w14:textId="77777777" w:rsidR="007D27C7" w:rsidRPr="007D27C7" w:rsidRDefault="007D27C7" w:rsidP="007D27C7">
      <w:pPr>
        <w:jc w:val="both"/>
      </w:pPr>
    </w:p>
    <w:p w14:paraId="4BF3A8BD" w14:textId="77777777" w:rsidR="007D27C7" w:rsidRPr="007D27C7" w:rsidRDefault="007D27C7" w:rsidP="007D27C7">
      <w:pPr>
        <w:jc w:val="both"/>
      </w:pPr>
      <w:r w:rsidRPr="007D27C7">
        <w:rPr>
          <w:b/>
          <w:bCs/>
        </w:rPr>
        <w:t>Dispute resolution clause</w:t>
      </w:r>
      <w:r w:rsidRPr="007D27C7">
        <w:t xml:space="preserve">  </w:t>
      </w:r>
    </w:p>
    <w:p w14:paraId="5D9D2969" w14:textId="77777777" w:rsidR="007D27C7" w:rsidRPr="007D27C7" w:rsidRDefault="007D27C7" w:rsidP="007D27C7">
      <w:pPr>
        <w:numPr>
          <w:ilvl w:val="0"/>
          <w:numId w:val="13"/>
        </w:numPr>
        <w:jc w:val="both"/>
      </w:pPr>
      <w:r w:rsidRPr="007D27C7">
        <w:t xml:space="preserve">Architect as “tie breaker” or final arbiter – AIA Document has the Initial Decision Maker and describes scheme for submitting a claim first to the Architect to render its opinion but </w:t>
      </w:r>
      <w:r w:rsidRPr="007D27C7">
        <w:rPr>
          <w:u w:val="single"/>
        </w:rPr>
        <w:t>only for work that can still be corrected</w:t>
      </w:r>
      <w:r w:rsidRPr="007D27C7">
        <w:t>.  Also, the IDM’s decision is subject to mediation and final adjudication by litigation or arbitration.  AIA A201-2017, Section 15.1.3.2.</w:t>
      </w:r>
    </w:p>
    <w:p w14:paraId="714A774F" w14:textId="77777777" w:rsidR="007D27C7" w:rsidRPr="007D27C7" w:rsidRDefault="007D27C7" w:rsidP="007D27C7">
      <w:pPr>
        <w:numPr>
          <w:ilvl w:val="0"/>
          <w:numId w:val="13"/>
        </w:numPr>
        <w:jc w:val="both"/>
      </w:pPr>
      <w:r w:rsidRPr="007D27C7">
        <w:t>Architect’s decision pertains to “Contract Documents” and “([T]he law does not permit a party to use such a clause to rewrite the express language of a contract.”</w:t>
      </w:r>
    </w:p>
    <w:p w14:paraId="50D00D8E" w14:textId="77777777" w:rsidR="007D27C7" w:rsidRPr="007D27C7" w:rsidRDefault="007D27C7" w:rsidP="007D27C7">
      <w:pPr>
        <w:numPr>
          <w:ilvl w:val="0"/>
          <w:numId w:val="13"/>
        </w:numPr>
        <w:jc w:val="both"/>
      </w:pPr>
      <w:r w:rsidRPr="007D27C7">
        <w:t xml:space="preserve">“The law does not allow a third party’s arbitrary decision concerning the scope of a contract’s specifications ‘to operate as a conclusive settlement of matters in controversy.” </w:t>
      </w:r>
      <w:r w:rsidRPr="007D27C7">
        <w:rPr>
          <w:i/>
          <w:iCs/>
        </w:rPr>
        <w:t>Duval Cnty</w:t>
      </w:r>
      <w:r w:rsidRPr="007D27C7">
        <w:t xml:space="preserve">, </w:t>
      </w:r>
      <w:r w:rsidRPr="007D27C7">
        <w:rPr>
          <w:i/>
          <w:iCs/>
        </w:rPr>
        <w:t>v. Charleston Eng’g &amp; Contracting Co</w:t>
      </w:r>
      <w:r w:rsidRPr="007D27C7">
        <w:t>.,  134 So.509 (Fla. 1931) at 514.</w:t>
      </w:r>
    </w:p>
    <w:p w14:paraId="58A4E42A" w14:textId="77777777" w:rsidR="007D27C7" w:rsidRPr="007D27C7" w:rsidRDefault="007D27C7" w:rsidP="007D27C7">
      <w:pPr>
        <w:jc w:val="both"/>
      </w:pPr>
    </w:p>
    <w:p w14:paraId="48D20875" w14:textId="77777777" w:rsidR="007D27C7" w:rsidRPr="007D27C7" w:rsidRDefault="007D27C7" w:rsidP="007D27C7">
      <w:pPr>
        <w:jc w:val="both"/>
        <w:rPr>
          <w:b/>
          <w:bCs/>
        </w:rPr>
      </w:pPr>
      <w:r w:rsidRPr="007D27C7">
        <w:rPr>
          <w:b/>
          <w:bCs/>
        </w:rPr>
        <w:t>Change Order provisions</w:t>
      </w:r>
    </w:p>
    <w:p w14:paraId="3C9B4B3E" w14:textId="624AEA41" w:rsidR="007D27C7" w:rsidRPr="007D27C7" w:rsidRDefault="007D27C7" w:rsidP="007D27C7">
      <w:pPr>
        <w:numPr>
          <w:ilvl w:val="0"/>
          <w:numId w:val="14"/>
        </w:numPr>
        <w:jc w:val="both"/>
      </w:pPr>
      <w:r w:rsidRPr="007D27C7">
        <w:rPr>
          <w:i/>
          <w:iCs/>
        </w:rPr>
        <w:t>W &amp; J Construction Corp</w:t>
      </w:r>
      <w:r w:rsidRPr="007D27C7">
        <w:t>.</w:t>
      </w:r>
      <w:r w:rsidR="00542E00">
        <w:t>v</w:t>
      </w:r>
      <w:r w:rsidR="00542E00" w:rsidRPr="0099137F">
        <w:rPr>
          <w:i/>
          <w:iCs/>
        </w:rPr>
        <w:t>. Fanning/Howey Associates</w:t>
      </w:r>
      <w:r w:rsidR="00542E00">
        <w:t>,</w:t>
      </w:r>
      <w:r w:rsidR="0099137F">
        <w:t xml:space="preserve"> 741 So. 2d 582 (Fla. </w:t>
      </w:r>
      <w:r w:rsidR="00807E31">
        <w:t>5</w:t>
      </w:r>
      <w:r w:rsidR="0099137F" w:rsidRPr="0099137F">
        <w:rPr>
          <w:vertAlign w:val="superscript"/>
        </w:rPr>
        <w:t>th</w:t>
      </w:r>
      <w:r w:rsidR="0099137F">
        <w:t xml:space="preserve"> DCA 2018)</w:t>
      </w:r>
      <w:r w:rsidRPr="007D27C7">
        <w:t xml:space="preserve"> contract stated </w:t>
      </w:r>
      <w:r w:rsidR="00014426">
        <w:t>the Owner had a duty to issue the change order and a fact issue remained as to whether the Owner had performed the condition precedent, precluding summary judgment.</w:t>
      </w:r>
      <w:r w:rsidR="00807E31">
        <w:t xml:space="preserve">  Compare this language to the following:</w:t>
      </w:r>
    </w:p>
    <w:p w14:paraId="2F17177F" w14:textId="77777777" w:rsidR="00C963BB" w:rsidRPr="007D27C7" w:rsidRDefault="007D27C7" w:rsidP="00C963BB">
      <w:pPr>
        <w:numPr>
          <w:ilvl w:val="0"/>
          <w:numId w:val="14"/>
        </w:numPr>
        <w:jc w:val="both"/>
      </w:pPr>
      <w:r w:rsidRPr="007D27C7">
        <w:rPr>
          <w:i/>
          <w:iCs/>
        </w:rPr>
        <w:t>F.H.Pashen</w:t>
      </w:r>
      <w:r w:rsidRPr="007D27C7">
        <w:t xml:space="preserve"> contract </w:t>
      </w:r>
      <w:r w:rsidR="00C963BB" w:rsidRPr="007D27C7">
        <w:t>that the general contractor has the right to “make changes, additions and/or deletions in the Work, upon written order to the Subcontractor” and that the “value of the Work shall be stated in the written order, approved by the Contractor, and the Subcontract Price shall be adjusted.”  The Owner would be the “tie breaker” and the business decision shall be finally decided.</w:t>
      </w:r>
    </w:p>
    <w:p w14:paraId="2CA26217" w14:textId="23ED27FF" w:rsidR="007D27C7" w:rsidRPr="007D27C7" w:rsidRDefault="007D27C7" w:rsidP="00807E31">
      <w:pPr>
        <w:jc w:val="both"/>
        <w:rPr>
          <w:b/>
          <w:bCs/>
        </w:rPr>
      </w:pPr>
    </w:p>
    <w:p w14:paraId="6C99DAA7" w14:textId="2C434300" w:rsidR="007D27C7" w:rsidRPr="007D27C7" w:rsidRDefault="007D27C7" w:rsidP="007D27C7">
      <w:pPr>
        <w:jc w:val="both"/>
        <w:rPr>
          <w:b/>
          <w:bCs/>
        </w:rPr>
      </w:pPr>
      <w:r w:rsidRPr="007D27C7">
        <w:rPr>
          <w:b/>
          <w:bCs/>
        </w:rPr>
        <w:t>Definition of Contract Documents and Order of Precedence</w:t>
      </w:r>
    </w:p>
    <w:p w14:paraId="656631C0" w14:textId="77777777" w:rsidR="007D27C7" w:rsidRPr="007D27C7" w:rsidRDefault="007D27C7" w:rsidP="007D27C7">
      <w:pPr>
        <w:jc w:val="both"/>
      </w:pPr>
      <w:r w:rsidRPr="007D27C7">
        <w:rPr>
          <w:b/>
          <w:bCs/>
        </w:rPr>
        <w:tab/>
      </w:r>
      <w:r w:rsidRPr="007D27C7">
        <w:t>Best practices require a statement of the list of  Contract Documents, which usually expressly excludes the bid documents.  Stating the order for interpretation of Contract Documents is also good practice to clarify and avoid disputes.</w:t>
      </w:r>
    </w:p>
    <w:p w14:paraId="1C8F80F9" w14:textId="77777777" w:rsidR="007D27C7" w:rsidRPr="007D27C7" w:rsidRDefault="007D27C7" w:rsidP="007D27C7">
      <w:pPr>
        <w:jc w:val="both"/>
      </w:pPr>
    </w:p>
    <w:p w14:paraId="48538B5A" w14:textId="77777777" w:rsidR="007D27C7" w:rsidRPr="007D27C7" w:rsidRDefault="007D27C7" w:rsidP="007D27C7">
      <w:pPr>
        <w:jc w:val="both"/>
        <w:rPr>
          <w:b/>
          <w:bCs/>
        </w:rPr>
      </w:pPr>
      <w:r w:rsidRPr="007D27C7">
        <w:rPr>
          <w:b/>
          <w:bCs/>
        </w:rPr>
        <w:t>Contract and implied contract causes of action (quantum meruit and unjust enrichment)</w:t>
      </w:r>
    </w:p>
    <w:p w14:paraId="4815CCB1" w14:textId="77777777" w:rsidR="007D27C7" w:rsidRPr="007D27C7" w:rsidRDefault="007D27C7" w:rsidP="007D27C7">
      <w:pPr>
        <w:jc w:val="both"/>
      </w:pPr>
      <w:r w:rsidRPr="007D27C7">
        <w:t xml:space="preserve">Breach of contract – Duty/breach of duty/cause/damages -Court cannot impose contractual rights and duties if the contract is silent on the matter.  – </w:t>
      </w:r>
      <w:r w:rsidRPr="007D27C7">
        <w:rPr>
          <w:i/>
          <w:iCs/>
        </w:rPr>
        <w:t>Blok Builders, LLC. V Katryniok</w:t>
      </w:r>
      <w:r w:rsidRPr="007D27C7">
        <w:t>, 245 So. 3d 779 (Fla. 4</w:t>
      </w:r>
      <w:r w:rsidRPr="007D27C7">
        <w:rPr>
          <w:vertAlign w:val="superscript"/>
        </w:rPr>
        <w:t>th</w:t>
      </w:r>
      <w:r w:rsidRPr="007D27C7">
        <w:t xml:space="preserve"> DCA 2018) </w:t>
      </w:r>
      <w:r w:rsidRPr="007D27C7">
        <w:rPr>
          <w:i/>
          <w:iCs/>
        </w:rPr>
        <w:t>Cf, W&amp;J Construction Corp. v Fanning/Howey Associates</w:t>
      </w:r>
      <w:r w:rsidRPr="007D27C7">
        <w:t>, 741 So. 2d 779 (Fla. 4</w:t>
      </w:r>
      <w:r w:rsidRPr="007D27C7">
        <w:rPr>
          <w:vertAlign w:val="superscript"/>
        </w:rPr>
        <w:t>th</w:t>
      </w:r>
      <w:r w:rsidRPr="007D27C7">
        <w:t xml:space="preserve"> DCA 2018)</w:t>
      </w:r>
    </w:p>
    <w:p w14:paraId="075A89B5" w14:textId="77777777" w:rsidR="007D27C7" w:rsidRPr="007D27C7" w:rsidRDefault="007D27C7" w:rsidP="007D27C7">
      <w:pPr>
        <w:jc w:val="both"/>
      </w:pPr>
    </w:p>
    <w:p w14:paraId="37618B58" w14:textId="77777777" w:rsidR="007D27C7" w:rsidRPr="007D27C7" w:rsidRDefault="007D27C7" w:rsidP="007D27C7">
      <w:pPr>
        <w:jc w:val="both"/>
      </w:pPr>
      <w:r w:rsidRPr="007D27C7">
        <w:t xml:space="preserve">Both theories apply to the same set of facts and are, therefore, often confused.  An implied contract theory is unavailable where a written contract exists.  However, here the Court found that the written agreement was not breached.  </w:t>
      </w:r>
    </w:p>
    <w:p w14:paraId="342B775A" w14:textId="77777777" w:rsidR="007D27C7" w:rsidRPr="007D27C7" w:rsidRDefault="007D27C7" w:rsidP="007D27C7">
      <w:pPr>
        <w:jc w:val="both"/>
      </w:pPr>
    </w:p>
    <w:p w14:paraId="2F5E69E1" w14:textId="77777777" w:rsidR="007D27C7" w:rsidRPr="007D27C7" w:rsidRDefault="007D27C7" w:rsidP="007D27C7">
      <w:pPr>
        <w:jc w:val="both"/>
      </w:pPr>
      <w:r w:rsidRPr="007D27C7">
        <w:rPr>
          <w:u w:val="single"/>
        </w:rPr>
        <w:t>Quantum meruit</w:t>
      </w:r>
      <w:r w:rsidRPr="007D27C7">
        <w:t xml:space="preserve"> – Contract implied in fact, based on a tacit promise, one that is inferred in whole or in part from the parties’ conduct, not solely from their words. </w:t>
      </w:r>
      <w:r w:rsidRPr="007D27C7">
        <w:rPr>
          <w:i/>
          <w:iCs/>
        </w:rPr>
        <w:t>Commerce P’ship 8098 Ltd. P’ship v Equity Contracting Co., Inc</w:t>
      </w:r>
      <w:r w:rsidRPr="007D27C7">
        <w:t>., 695 So. 2d 383 (Fla. 4</w:t>
      </w:r>
      <w:r w:rsidRPr="007D27C7">
        <w:rPr>
          <w:vertAlign w:val="superscript"/>
        </w:rPr>
        <w:t>th</w:t>
      </w:r>
      <w:r w:rsidRPr="007D27C7">
        <w:t xml:space="preserve"> DCA 1997)</w:t>
      </w:r>
    </w:p>
    <w:p w14:paraId="5410A066" w14:textId="01F98E91" w:rsidR="007D27C7" w:rsidRPr="007D27C7" w:rsidRDefault="007D27C7" w:rsidP="007D27C7">
      <w:pPr>
        <w:numPr>
          <w:ilvl w:val="0"/>
          <w:numId w:val="15"/>
        </w:numPr>
        <w:jc w:val="both"/>
      </w:pPr>
      <w:r w:rsidRPr="007D27C7">
        <w:t>Plaintiff provided</w:t>
      </w:r>
      <w:r w:rsidR="003B7382">
        <w:t xml:space="preserve"> a benefit to Defendant</w:t>
      </w:r>
    </w:p>
    <w:p w14:paraId="4C3333BD" w14:textId="08F6D115" w:rsidR="007D27C7" w:rsidRPr="007D27C7" w:rsidRDefault="007D27C7" w:rsidP="002C13B7">
      <w:pPr>
        <w:numPr>
          <w:ilvl w:val="0"/>
          <w:numId w:val="15"/>
        </w:numPr>
        <w:jc w:val="both"/>
      </w:pPr>
      <w:r w:rsidRPr="007D27C7">
        <w:t>Defendant assented to and</w:t>
      </w:r>
      <w:r w:rsidR="003B7382">
        <w:t xml:space="preserve"> r</w:t>
      </w:r>
      <w:r w:rsidRPr="007D27C7">
        <w:t xml:space="preserve">eceived </w:t>
      </w:r>
      <w:r w:rsidR="003B7382">
        <w:t>the benefit</w:t>
      </w:r>
    </w:p>
    <w:p w14:paraId="6354ACE7" w14:textId="3635CEBF" w:rsidR="007D27C7" w:rsidRPr="007D27C7" w:rsidRDefault="003B7382" w:rsidP="007D27C7">
      <w:pPr>
        <w:numPr>
          <w:ilvl w:val="0"/>
          <w:numId w:val="15"/>
        </w:numPr>
        <w:jc w:val="both"/>
      </w:pPr>
      <w:r>
        <w:t>The</w:t>
      </w:r>
      <w:r w:rsidR="007D27C7" w:rsidRPr="007D27C7">
        <w:t xml:space="preserve"> benefit </w:t>
      </w:r>
      <w:r>
        <w:t xml:space="preserve">was </w:t>
      </w:r>
      <w:r w:rsidR="007D27C7" w:rsidRPr="007D27C7">
        <w:t xml:space="preserve">in the form of goods or services </w:t>
      </w:r>
    </w:p>
    <w:p w14:paraId="427A128D" w14:textId="51FF916D" w:rsidR="007D27C7" w:rsidRPr="007D27C7" w:rsidRDefault="007D27C7" w:rsidP="007D27C7">
      <w:pPr>
        <w:numPr>
          <w:ilvl w:val="0"/>
          <w:numId w:val="15"/>
        </w:numPr>
        <w:jc w:val="both"/>
      </w:pPr>
      <w:r w:rsidRPr="007D27C7">
        <w:t xml:space="preserve">Under </w:t>
      </w:r>
      <w:r w:rsidR="003B7382">
        <w:t xml:space="preserve">the facts and </w:t>
      </w:r>
      <w:r w:rsidRPr="007D27C7">
        <w:t>circumstances, a reasonable person receiving such a benefit normally would expect to pay for it</w:t>
      </w:r>
      <w:r w:rsidR="005952B1">
        <w:t xml:space="preserve"> </w:t>
      </w:r>
      <w:r w:rsidR="005952B1" w:rsidRPr="007D27C7">
        <w:t>where</w:t>
      </w:r>
      <w:r w:rsidR="005952B1">
        <w:t xml:space="preserve"> such a situation take place</w:t>
      </w:r>
      <w:r w:rsidR="005952B1" w:rsidRPr="007D27C7">
        <w:t xml:space="preserve"> in the ordinary course of common events</w:t>
      </w:r>
    </w:p>
    <w:p w14:paraId="602695FE" w14:textId="77777777" w:rsidR="007D27C7" w:rsidRPr="007D27C7" w:rsidRDefault="007D27C7" w:rsidP="007D27C7">
      <w:pPr>
        <w:jc w:val="both"/>
        <w:rPr>
          <w:u w:val="single"/>
        </w:rPr>
      </w:pPr>
    </w:p>
    <w:p w14:paraId="43552B42" w14:textId="77777777" w:rsidR="007D27C7" w:rsidRPr="007D27C7" w:rsidRDefault="007D27C7" w:rsidP="007D27C7">
      <w:pPr>
        <w:jc w:val="both"/>
        <w:rPr>
          <w:i/>
          <w:iCs/>
        </w:rPr>
      </w:pPr>
      <w:r w:rsidRPr="007D27C7">
        <w:rPr>
          <w:u w:val="single"/>
        </w:rPr>
        <w:t xml:space="preserve">Unjust enrichment </w:t>
      </w:r>
      <w:r w:rsidRPr="007D27C7">
        <w:t xml:space="preserve">– (implied by law; quasi-contract) when an obligation is implied by law without regard to the parties’ expression of assent by their words or conduct.  </w:t>
      </w:r>
      <w:r w:rsidRPr="007D27C7">
        <w:rPr>
          <w:i/>
          <w:iCs/>
        </w:rPr>
        <w:t xml:space="preserve">W.R.Townsend Contracting, Inc. v. Jensen Civil Constr., Inc., </w:t>
      </w:r>
      <w:r w:rsidRPr="007D27C7">
        <w:t>728 So. 2d 297 (Fla. 1</w:t>
      </w:r>
      <w:r w:rsidRPr="007D27C7">
        <w:rPr>
          <w:vertAlign w:val="superscript"/>
        </w:rPr>
        <w:t>st</w:t>
      </w:r>
      <w:r w:rsidRPr="007D27C7">
        <w:t xml:space="preserve"> DCA 1999)</w:t>
      </w:r>
    </w:p>
    <w:p w14:paraId="356951BA" w14:textId="77777777" w:rsidR="007D27C7" w:rsidRPr="007D27C7" w:rsidRDefault="007D27C7" w:rsidP="007D27C7">
      <w:pPr>
        <w:jc w:val="both"/>
        <w:rPr>
          <w:u w:val="single"/>
        </w:rPr>
      </w:pPr>
    </w:p>
    <w:p w14:paraId="247122BD" w14:textId="77777777" w:rsidR="007D27C7" w:rsidRPr="007D27C7" w:rsidRDefault="007D27C7" w:rsidP="007D27C7">
      <w:pPr>
        <w:numPr>
          <w:ilvl w:val="0"/>
          <w:numId w:val="16"/>
        </w:numPr>
        <w:jc w:val="both"/>
      </w:pPr>
      <w:r w:rsidRPr="007D27C7">
        <w:t>Plaintiff conferred benefit on Defendant</w:t>
      </w:r>
    </w:p>
    <w:p w14:paraId="234E8228" w14:textId="77777777" w:rsidR="007D27C7" w:rsidRPr="007D27C7" w:rsidRDefault="007D27C7" w:rsidP="007D27C7">
      <w:pPr>
        <w:numPr>
          <w:ilvl w:val="0"/>
          <w:numId w:val="16"/>
        </w:numPr>
        <w:jc w:val="both"/>
      </w:pPr>
      <w:r w:rsidRPr="007D27C7">
        <w:t>Defendant knows of the benefit</w:t>
      </w:r>
    </w:p>
    <w:p w14:paraId="15E3F5AD" w14:textId="77777777" w:rsidR="007D27C7" w:rsidRPr="007D27C7" w:rsidRDefault="007D27C7" w:rsidP="007D27C7">
      <w:pPr>
        <w:numPr>
          <w:ilvl w:val="0"/>
          <w:numId w:val="16"/>
        </w:numPr>
        <w:jc w:val="both"/>
      </w:pPr>
      <w:r w:rsidRPr="007D27C7">
        <w:t>Defendant has accepted the benefit conferred</w:t>
      </w:r>
    </w:p>
    <w:p w14:paraId="6554A9B7" w14:textId="547AF383" w:rsidR="007D27C7" w:rsidRPr="007D27C7" w:rsidRDefault="007D27C7" w:rsidP="007D27C7">
      <w:pPr>
        <w:numPr>
          <w:ilvl w:val="0"/>
          <w:numId w:val="16"/>
        </w:numPr>
        <w:jc w:val="both"/>
      </w:pPr>
      <w:r w:rsidRPr="007D27C7">
        <w:t>Circumstance</w:t>
      </w:r>
      <w:r w:rsidR="005952B1">
        <w:t>s</w:t>
      </w:r>
      <w:r w:rsidRPr="007D27C7">
        <w:t xml:space="preserve"> would make it inequitable for Defendant to retain the benefit</w:t>
      </w:r>
    </w:p>
    <w:p w14:paraId="7BFFB056" w14:textId="77777777" w:rsidR="007D27C7" w:rsidRPr="007D27C7" w:rsidRDefault="007D27C7" w:rsidP="007D27C7">
      <w:pPr>
        <w:jc w:val="both"/>
        <w:rPr>
          <w:u w:val="single"/>
        </w:rPr>
      </w:pPr>
    </w:p>
    <w:p w14:paraId="1B1CD1CC" w14:textId="3351B723" w:rsidR="007D27C7" w:rsidRPr="007D27C7" w:rsidRDefault="007D27C7" w:rsidP="007D27C7">
      <w:pPr>
        <w:jc w:val="both"/>
        <w:rPr>
          <w:b/>
          <w:bCs/>
        </w:rPr>
      </w:pPr>
      <w:r w:rsidRPr="007D27C7">
        <w:rPr>
          <w:b/>
          <w:bCs/>
        </w:rPr>
        <w:t xml:space="preserve">Evidence of </w:t>
      </w:r>
      <w:r w:rsidR="005952B1">
        <w:rPr>
          <w:b/>
          <w:bCs/>
        </w:rPr>
        <w:t>D</w:t>
      </w:r>
      <w:r w:rsidRPr="007D27C7">
        <w:rPr>
          <w:b/>
          <w:bCs/>
        </w:rPr>
        <w:t>amages</w:t>
      </w:r>
    </w:p>
    <w:p w14:paraId="3BA95102" w14:textId="02A6D959" w:rsidR="007D27C7" w:rsidRDefault="007D27C7" w:rsidP="007D27C7">
      <w:pPr>
        <w:numPr>
          <w:ilvl w:val="0"/>
          <w:numId w:val="17"/>
        </w:numPr>
        <w:jc w:val="both"/>
      </w:pPr>
      <w:r w:rsidRPr="007D27C7">
        <w:t>Expert testimony – value in the marketplace</w:t>
      </w:r>
      <w:r w:rsidR="001E13F9">
        <w:t xml:space="preserve"> or value to the party receiving the benefit</w:t>
      </w:r>
    </w:p>
    <w:p w14:paraId="42DC679A" w14:textId="54AC1A4E" w:rsidR="0022162D" w:rsidRPr="007D27C7" w:rsidRDefault="00FD47F8" w:rsidP="0022162D">
      <w:pPr>
        <w:numPr>
          <w:ilvl w:val="0"/>
          <w:numId w:val="17"/>
        </w:numPr>
        <w:jc w:val="both"/>
      </w:pPr>
      <w:r>
        <w:t xml:space="preserve">Measure of damages - </w:t>
      </w:r>
      <w:r w:rsidR="0022162D">
        <w:t xml:space="preserve">Consider the number of labor hours, the reasonable hourly rate for labor or </w:t>
      </w:r>
      <w:r>
        <w:t>e</w:t>
      </w:r>
      <w:r w:rsidR="0022162D">
        <w:t>quipment, market rate for materials furnished.</w:t>
      </w:r>
    </w:p>
    <w:p w14:paraId="699581A8" w14:textId="54A5600F" w:rsidR="007D27C7" w:rsidRPr="007D27C7" w:rsidRDefault="001E13F9" w:rsidP="007D27C7">
      <w:pPr>
        <w:numPr>
          <w:ilvl w:val="0"/>
          <w:numId w:val="17"/>
        </w:numPr>
        <w:jc w:val="both"/>
      </w:pPr>
      <w:r>
        <w:t>Plaintiff’s statement a</w:t>
      </w:r>
      <w:r w:rsidR="007D27C7" w:rsidRPr="007D27C7">
        <w:t>s to its costs or opinion of value</w:t>
      </w:r>
      <w:r>
        <w:t xml:space="preserve"> is not a measure of the damages</w:t>
      </w:r>
    </w:p>
    <w:p w14:paraId="279BF242" w14:textId="77777777" w:rsidR="007D27C7" w:rsidRPr="007D27C7" w:rsidRDefault="007D27C7" w:rsidP="007D27C7">
      <w:pPr>
        <w:ind w:left="360"/>
        <w:jc w:val="both"/>
      </w:pPr>
    </w:p>
    <w:p w14:paraId="0817264F" w14:textId="0E33AFB8" w:rsidR="007D27C7" w:rsidRDefault="007D27C7" w:rsidP="008175B2">
      <w:pPr>
        <w:pStyle w:val="ListParagraph"/>
        <w:ind w:left="0"/>
        <w:jc w:val="both"/>
        <w:rPr>
          <w:rFonts w:ascii="Times New Roman Bold" w:hAnsi="Times New Roman Bold"/>
          <w:b/>
          <w:bCs/>
          <w:caps/>
        </w:rPr>
      </w:pPr>
    </w:p>
    <w:p w14:paraId="6FE8D0DA" w14:textId="51A11F13" w:rsidR="00404804" w:rsidRDefault="00404804" w:rsidP="008175B2">
      <w:pPr>
        <w:pStyle w:val="ListParagraph"/>
        <w:ind w:left="0"/>
        <w:jc w:val="both"/>
        <w:rPr>
          <w:rFonts w:ascii="Times New Roman Bold" w:hAnsi="Times New Roman Bold"/>
          <w:b/>
          <w:bCs/>
          <w:caps/>
        </w:rPr>
      </w:pPr>
    </w:p>
    <w:p w14:paraId="2D31FAB0" w14:textId="716B0328" w:rsidR="00404804" w:rsidRDefault="00404804" w:rsidP="008175B2">
      <w:pPr>
        <w:pStyle w:val="ListParagraph"/>
        <w:ind w:left="0"/>
        <w:jc w:val="both"/>
        <w:rPr>
          <w:rFonts w:ascii="Times New Roman Bold" w:hAnsi="Times New Roman Bold"/>
          <w:b/>
          <w:bCs/>
          <w:caps/>
        </w:rPr>
      </w:pPr>
    </w:p>
    <w:p w14:paraId="6C88A50F" w14:textId="647E668A" w:rsidR="008175B2" w:rsidRPr="004E7640" w:rsidRDefault="002C0324" w:rsidP="008175B2">
      <w:pPr>
        <w:pStyle w:val="ListParagraph"/>
        <w:ind w:left="0"/>
        <w:jc w:val="both"/>
      </w:pPr>
      <w:r w:rsidRPr="00EC0540">
        <w:rPr>
          <w:rFonts w:ascii="Times New Roman Bold" w:hAnsi="Times New Roman Bold"/>
          <w:b/>
          <w:bCs/>
          <w:caps/>
        </w:rPr>
        <w:t>AIA Documents</w:t>
      </w:r>
      <w:r w:rsidR="00760328" w:rsidRPr="004E7640">
        <w:t>:</w:t>
      </w:r>
    </w:p>
    <w:p w14:paraId="41BC98B1" w14:textId="2C8D1C6C" w:rsidR="004E7640" w:rsidRDefault="004E7640" w:rsidP="008A5006">
      <w:pPr>
        <w:pStyle w:val="ListParagraph"/>
        <w:numPr>
          <w:ilvl w:val="0"/>
          <w:numId w:val="11"/>
        </w:numPr>
        <w:jc w:val="both"/>
      </w:pPr>
      <w:r>
        <w:t>Application for Payment and Schedule of Values</w:t>
      </w:r>
      <w:r w:rsidR="00760328" w:rsidRPr="004E7640">
        <w:tab/>
      </w:r>
    </w:p>
    <w:p w14:paraId="26347230" w14:textId="4B6029F4" w:rsidR="00760328" w:rsidRPr="004E7640" w:rsidRDefault="00760328" w:rsidP="008A5006">
      <w:pPr>
        <w:pStyle w:val="ListParagraph"/>
        <w:ind w:firstLine="720"/>
        <w:jc w:val="both"/>
      </w:pPr>
      <w:r w:rsidRPr="004E7640">
        <w:t>G702</w:t>
      </w:r>
      <w:r w:rsidR="00126D6C" w:rsidRPr="004E7640">
        <w:t>CW</w:t>
      </w:r>
      <w:r w:rsidR="002C0324">
        <w:t>-2021</w:t>
      </w:r>
      <w:r w:rsidR="00126D6C" w:rsidRPr="004E7640">
        <w:t xml:space="preserve"> and AIA Document G703</w:t>
      </w:r>
      <w:r w:rsidR="002C0324">
        <w:t>-2021</w:t>
      </w:r>
      <w:r w:rsidR="004E7640" w:rsidRPr="004E7640">
        <w:t xml:space="preserve"> Cost of the Work Variation</w:t>
      </w:r>
    </w:p>
    <w:p w14:paraId="12644EC2" w14:textId="12A5B719" w:rsidR="004E7640" w:rsidRPr="004E7640" w:rsidRDefault="00126D6C" w:rsidP="004E7640">
      <w:pPr>
        <w:pStyle w:val="ListParagraph"/>
        <w:ind w:left="0"/>
        <w:jc w:val="both"/>
      </w:pPr>
      <w:r w:rsidRPr="004E7640">
        <w:tab/>
      </w:r>
      <w:r w:rsidR="008A5006">
        <w:tab/>
      </w:r>
      <w:r w:rsidRPr="004E7640">
        <w:t>G702</w:t>
      </w:r>
      <w:r w:rsidR="004E7640" w:rsidRPr="004E7640">
        <w:t>GMP</w:t>
      </w:r>
      <w:r w:rsidR="002C0324">
        <w:t xml:space="preserve">-2021 </w:t>
      </w:r>
      <w:r w:rsidR="004E7640" w:rsidRPr="004E7640">
        <w:t>and AIA Document G703</w:t>
      </w:r>
      <w:r w:rsidR="002C0324">
        <w:t>-2021</w:t>
      </w:r>
      <w:r w:rsidR="004E7640" w:rsidRPr="004E7640">
        <w:t xml:space="preserve"> Cost of the Work Variation</w:t>
      </w:r>
    </w:p>
    <w:p w14:paraId="42133CBE" w14:textId="23FB6C2A" w:rsidR="00126D6C" w:rsidRDefault="008A5006" w:rsidP="008A5006">
      <w:pPr>
        <w:pStyle w:val="ListParagraph"/>
        <w:numPr>
          <w:ilvl w:val="0"/>
          <w:numId w:val="11"/>
        </w:numPr>
        <w:jc w:val="both"/>
      </w:pPr>
      <w:r>
        <w:t>Residential Construction – Owner and Contractor</w:t>
      </w:r>
    </w:p>
    <w:p w14:paraId="7F715BED" w14:textId="0F4906F7" w:rsidR="002C0324" w:rsidRDefault="002C0324" w:rsidP="002C0324">
      <w:pPr>
        <w:pStyle w:val="ListParagraph"/>
        <w:ind w:left="1440"/>
        <w:jc w:val="both"/>
      </w:pPr>
      <w:r>
        <w:t>A111-2021</w:t>
      </w:r>
    </w:p>
    <w:p w14:paraId="7F9CE9C6" w14:textId="579E4667" w:rsidR="00385F57" w:rsidRPr="004E7640" w:rsidRDefault="00385F57" w:rsidP="00385F57">
      <w:pPr>
        <w:pStyle w:val="ListParagraph"/>
        <w:numPr>
          <w:ilvl w:val="0"/>
          <w:numId w:val="11"/>
        </w:numPr>
        <w:jc w:val="both"/>
      </w:pPr>
      <w:r>
        <w:t xml:space="preserve">Coming this Fall </w:t>
      </w:r>
      <w:r w:rsidR="0097703B">
        <w:t>–</w:t>
      </w:r>
      <w:r>
        <w:t xml:space="preserve"> </w:t>
      </w:r>
      <w:r w:rsidR="0097703B">
        <w:t>Design Assist and Delegated Design Short Form Agreements</w:t>
      </w:r>
    </w:p>
    <w:p w14:paraId="13F4AE3E" w14:textId="770E200F" w:rsidR="00126D6C" w:rsidRPr="004E7640" w:rsidRDefault="00126D6C" w:rsidP="008175B2">
      <w:pPr>
        <w:pStyle w:val="ListParagraph"/>
        <w:ind w:left="0"/>
        <w:jc w:val="both"/>
      </w:pPr>
    </w:p>
    <w:p w14:paraId="63FD3213" w14:textId="77777777" w:rsidR="007723F0" w:rsidRPr="004E7640" w:rsidRDefault="007723F0" w:rsidP="008175B2">
      <w:pPr>
        <w:pStyle w:val="ListParagraph"/>
        <w:ind w:left="0"/>
        <w:jc w:val="center"/>
        <w:rPr>
          <w:b/>
          <w:bCs/>
          <w:caps/>
        </w:rPr>
      </w:pPr>
    </w:p>
    <w:p w14:paraId="02F66B94" w14:textId="7B9CA6A8" w:rsidR="007723F0" w:rsidRPr="004E7640" w:rsidRDefault="0097703B" w:rsidP="0057495B">
      <w:pPr>
        <w:pStyle w:val="ListParagraph"/>
        <w:ind w:left="0"/>
        <w:jc w:val="both"/>
        <w:rPr>
          <w:b/>
          <w:bCs/>
          <w:caps/>
        </w:rPr>
      </w:pPr>
      <w:r>
        <w:rPr>
          <w:b/>
          <w:bCs/>
          <w:caps/>
        </w:rPr>
        <w:t xml:space="preserve">ConsensusDocs </w:t>
      </w:r>
    </w:p>
    <w:p w14:paraId="3830ECC1" w14:textId="0C13F761" w:rsidR="007723F0" w:rsidRDefault="007723F0" w:rsidP="0057495B">
      <w:pPr>
        <w:pStyle w:val="ListParagraph"/>
        <w:ind w:left="0"/>
        <w:jc w:val="both"/>
        <w:rPr>
          <w:b/>
          <w:bCs/>
          <w:caps/>
        </w:rPr>
      </w:pPr>
    </w:p>
    <w:p w14:paraId="75060A4B" w14:textId="26FE44B9" w:rsidR="001773DF" w:rsidRPr="001773DF" w:rsidRDefault="001773DF" w:rsidP="0057495B">
      <w:pPr>
        <w:pStyle w:val="ListParagraph"/>
        <w:ind w:left="0"/>
        <w:jc w:val="both"/>
      </w:pPr>
      <w:r>
        <w:rPr>
          <w:caps/>
        </w:rPr>
        <w:t>C</w:t>
      </w:r>
      <w:r>
        <w:t>onsensusDocs 541 Lean Addendum</w:t>
      </w:r>
      <w:r w:rsidR="001273C5">
        <w:tab/>
        <w:t xml:space="preserve">    ConsensusDocs 900-series Public/Private</w:t>
      </w:r>
    </w:p>
    <w:tbl>
      <w:tblPr>
        <w:tblW w:w="12551" w:type="dxa"/>
        <w:shd w:val="clear" w:color="auto" w:fill="FFFFFF"/>
        <w:tblCellMar>
          <w:top w:w="15" w:type="dxa"/>
          <w:left w:w="15" w:type="dxa"/>
          <w:bottom w:w="15" w:type="dxa"/>
          <w:right w:w="15" w:type="dxa"/>
        </w:tblCellMar>
        <w:tblLook w:val="04A0" w:firstRow="1" w:lastRow="0" w:firstColumn="1" w:lastColumn="0" w:noHBand="0" w:noVBand="1"/>
      </w:tblPr>
      <w:tblGrid>
        <w:gridCol w:w="4500"/>
        <w:gridCol w:w="8051"/>
      </w:tblGrid>
      <w:tr w:rsidR="00B72C35" w:rsidRPr="00B72C35" w14:paraId="074971E6" w14:textId="77777777" w:rsidTr="00274490">
        <w:tc>
          <w:tcPr>
            <w:tcW w:w="4500" w:type="dxa"/>
            <w:shd w:val="clear" w:color="auto" w:fill="FFFFFF"/>
            <w:vAlign w:val="center"/>
            <w:hideMark/>
          </w:tcPr>
          <w:p w14:paraId="258D0F6A" w14:textId="77777777" w:rsidR="00B72C35" w:rsidRPr="00B72C35" w:rsidRDefault="00B72C35" w:rsidP="00B72C35">
            <w:pPr>
              <w:rPr>
                <w:color w:val="4E5255"/>
              </w:rPr>
            </w:pPr>
            <w:r w:rsidRPr="00B72C35">
              <w:rPr>
                <w:color w:val="4E5255"/>
              </w:rPr>
              <w:t>ConsensusDocs 260 Performance Bond</w:t>
            </w:r>
          </w:p>
        </w:tc>
        <w:tc>
          <w:tcPr>
            <w:tcW w:w="8051" w:type="dxa"/>
            <w:shd w:val="clear" w:color="auto" w:fill="FFFFFF"/>
            <w:vAlign w:val="center"/>
            <w:hideMark/>
          </w:tcPr>
          <w:p w14:paraId="2F952216" w14:textId="77777777" w:rsidR="00B72C35" w:rsidRPr="00B72C35" w:rsidRDefault="00B72C35" w:rsidP="00B72C35">
            <w:pPr>
              <w:ind w:right="3045"/>
              <w:rPr>
                <w:color w:val="4E5255"/>
              </w:rPr>
            </w:pPr>
            <w:r w:rsidRPr="00B72C35">
              <w:rPr>
                <w:color w:val="4E5255"/>
              </w:rPr>
              <w:t>ConsensusDocs 261Payment Bond</w:t>
            </w:r>
          </w:p>
        </w:tc>
      </w:tr>
      <w:tr w:rsidR="00B72C35" w:rsidRPr="00B72C35" w14:paraId="5997DD0B" w14:textId="77777777" w:rsidTr="00274490">
        <w:tc>
          <w:tcPr>
            <w:tcW w:w="4500" w:type="dxa"/>
            <w:shd w:val="clear" w:color="auto" w:fill="FFFFFF"/>
            <w:vAlign w:val="center"/>
            <w:hideMark/>
          </w:tcPr>
          <w:p w14:paraId="27A3381B" w14:textId="77777777" w:rsidR="00B72C35" w:rsidRPr="00B72C35" w:rsidRDefault="00B72C35" w:rsidP="00B72C35">
            <w:pPr>
              <w:rPr>
                <w:color w:val="4E5255"/>
              </w:rPr>
            </w:pPr>
            <w:r w:rsidRPr="00B72C35">
              <w:rPr>
                <w:color w:val="4E5255"/>
              </w:rPr>
              <w:t>ConsensusDocs 470 Design-Build Performance Bond (Surety Design Liability)</w:t>
            </w:r>
          </w:p>
        </w:tc>
        <w:tc>
          <w:tcPr>
            <w:tcW w:w="8051" w:type="dxa"/>
            <w:shd w:val="clear" w:color="auto" w:fill="FFFFFF"/>
            <w:vAlign w:val="center"/>
            <w:hideMark/>
          </w:tcPr>
          <w:p w14:paraId="3BAC3C73" w14:textId="77777777" w:rsidR="00B72C35" w:rsidRPr="00B72C35" w:rsidRDefault="00B72C35" w:rsidP="00B72C35">
            <w:pPr>
              <w:ind w:right="3045"/>
              <w:rPr>
                <w:color w:val="4E5255"/>
              </w:rPr>
            </w:pPr>
            <w:r w:rsidRPr="00B72C35">
              <w:rPr>
                <w:color w:val="4E5255"/>
              </w:rPr>
              <w:t>ConsensusDocs</w:t>
            </w:r>
            <w:r w:rsidRPr="00B72C35">
              <w:rPr>
                <w:color w:val="4E5255"/>
                <w:vertAlign w:val="superscript"/>
              </w:rPr>
              <w:t>®</w:t>
            </w:r>
            <w:r w:rsidRPr="00B72C35">
              <w:rPr>
                <w:color w:val="4E5255"/>
              </w:rPr>
              <w:t> 471 Design-Build Performance Bond (Surety has No Liability for Design)</w:t>
            </w:r>
          </w:p>
        </w:tc>
      </w:tr>
      <w:tr w:rsidR="00B72C35" w:rsidRPr="00B72C35" w14:paraId="5272F751" w14:textId="77777777" w:rsidTr="00274490">
        <w:tc>
          <w:tcPr>
            <w:tcW w:w="4500" w:type="dxa"/>
            <w:shd w:val="clear" w:color="auto" w:fill="FFFFFF"/>
            <w:vAlign w:val="center"/>
            <w:hideMark/>
          </w:tcPr>
          <w:p w14:paraId="3207E3F6" w14:textId="77777777" w:rsidR="00B72C35" w:rsidRPr="00B72C35" w:rsidRDefault="00B72C35" w:rsidP="00B72C35">
            <w:pPr>
              <w:rPr>
                <w:color w:val="4E5255"/>
              </w:rPr>
            </w:pPr>
            <w:r w:rsidRPr="00B72C35">
              <w:rPr>
                <w:color w:val="4E5255"/>
              </w:rPr>
              <w:t>ConsensusDocs 472Design-Build Payment Bond (Surety Design Liability)</w:t>
            </w:r>
          </w:p>
        </w:tc>
        <w:tc>
          <w:tcPr>
            <w:tcW w:w="8051" w:type="dxa"/>
            <w:shd w:val="clear" w:color="auto" w:fill="FFFFFF"/>
            <w:vAlign w:val="center"/>
            <w:hideMark/>
          </w:tcPr>
          <w:p w14:paraId="73C11C98" w14:textId="77777777" w:rsidR="00B72C35" w:rsidRPr="00B72C35" w:rsidRDefault="00B72C35" w:rsidP="00B72C35">
            <w:pPr>
              <w:ind w:right="3045"/>
              <w:rPr>
                <w:color w:val="4E5255"/>
              </w:rPr>
            </w:pPr>
            <w:r w:rsidRPr="00B72C35">
              <w:rPr>
                <w:color w:val="4E5255"/>
              </w:rPr>
              <w:t>ConsensusDocs</w:t>
            </w:r>
            <w:r w:rsidRPr="00B72C35">
              <w:rPr>
                <w:color w:val="4E5255"/>
                <w:vertAlign w:val="superscript"/>
              </w:rPr>
              <w:t>®</w:t>
            </w:r>
            <w:r w:rsidRPr="00B72C35">
              <w:rPr>
                <w:color w:val="4E5255"/>
              </w:rPr>
              <w:t> 473Design-build Payment Bond (Surety has No Liability for Design)</w:t>
            </w:r>
          </w:p>
        </w:tc>
      </w:tr>
      <w:tr w:rsidR="00B72C35" w:rsidRPr="00B72C35" w14:paraId="0C631126" w14:textId="77777777" w:rsidTr="00274490">
        <w:tc>
          <w:tcPr>
            <w:tcW w:w="4500" w:type="dxa"/>
            <w:shd w:val="clear" w:color="auto" w:fill="FFFFFF"/>
            <w:vAlign w:val="center"/>
            <w:hideMark/>
          </w:tcPr>
          <w:p w14:paraId="1F86C142" w14:textId="77777777" w:rsidR="00B72C35" w:rsidRPr="00B72C35" w:rsidRDefault="00B72C35" w:rsidP="00B72C35">
            <w:pPr>
              <w:rPr>
                <w:color w:val="4E5255"/>
              </w:rPr>
            </w:pPr>
            <w:r w:rsidRPr="00B72C35">
              <w:rPr>
                <w:color w:val="4E5255"/>
              </w:rPr>
              <w:t>ConsensusDocs 706 Subcontract Performance Bond</w:t>
            </w:r>
          </w:p>
        </w:tc>
        <w:tc>
          <w:tcPr>
            <w:tcW w:w="8051" w:type="dxa"/>
            <w:shd w:val="clear" w:color="auto" w:fill="FFFFFF"/>
            <w:vAlign w:val="center"/>
            <w:hideMark/>
          </w:tcPr>
          <w:p w14:paraId="0FB0CADC" w14:textId="77777777" w:rsidR="00B72C35" w:rsidRPr="00B72C35" w:rsidRDefault="00B72C35" w:rsidP="00B72C35">
            <w:pPr>
              <w:ind w:right="3045"/>
              <w:rPr>
                <w:color w:val="4E5255"/>
              </w:rPr>
            </w:pPr>
            <w:r w:rsidRPr="00B72C35">
              <w:rPr>
                <w:color w:val="4E5255"/>
              </w:rPr>
              <w:t>707Subcontract Payment Bond</w:t>
            </w:r>
          </w:p>
        </w:tc>
      </w:tr>
    </w:tbl>
    <w:p w14:paraId="7972CB27" w14:textId="77777777" w:rsidR="007723F0" w:rsidRDefault="007723F0" w:rsidP="0057495B">
      <w:pPr>
        <w:pStyle w:val="ListParagraph"/>
        <w:ind w:left="0"/>
        <w:jc w:val="both"/>
        <w:rPr>
          <w:b/>
          <w:bCs/>
          <w:caps/>
        </w:rPr>
      </w:pPr>
    </w:p>
    <w:p w14:paraId="499730C7" w14:textId="77777777" w:rsidR="007723F0" w:rsidRDefault="007723F0" w:rsidP="0057495B">
      <w:pPr>
        <w:pStyle w:val="ListParagraph"/>
        <w:ind w:left="0"/>
        <w:jc w:val="both"/>
        <w:rPr>
          <w:b/>
          <w:bCs/>
          <w:caps/>
        </w:rPr>
      </w:pPr>
    </w:p>
    <w:p w14:paraId="7FD66932" w14:textId="5C56E084" w:rsidR="0057495B" w:rsidRDefault="0057495B" w:rsidP="0057495B">
      <w:pPr>
        <w:pStyle w:val="ListParagraph"/>
        <w:ind w:left="0"/>
        <w:jc w:val="both"/>
        <w:rPr>
          <w:b/>
          <w:bCs/>
          <w:caps/>
        </w:rPr>
      </w:pPr>
      <w:r>
        <w:rPr>
          <w:b/>
          <w:bCs/>
          <w:caps/>
        </w:rPr>
        <w:t>Contracting for design assistANCE and for Delegated Design</w:t>
      </w:r>
    </w:p>
    <w:p w14:paraId="5F8E98E0" w14:textId="77777777" w:rsidR="0057495B" w:rsidRDefault="0057495B" w:rsidP="0057495B">
      <w:pPr>
        <w:ind w:firstLine="720"/>
        <w:jc w:val="both"/>
        <w:rPr>
          <w:b/>
          <w:bCs/>
        </w:rPr>
      </w:pPr>
    </w:p>
    <w:p w14:paraId="7C8BB0FF" w14:textId="77777777" w:rsidR="0057495B" w:rsidRDefault="0057495B" w:rsidP="0057495B">
      <w:pPr>
        <w:ind w:firstLine="720"/>
        <w:jc w:val="both"/>
      </w:pPr>
      <w:r>
        <w:t>Currently the AIA is underway to develop specific contract provisions for design assist and Design Delegation. However, the contracting language is not available for public review at this time. Until then, we focus on existing language in standard form agreements.</w:t>
      </w:r>
    </w:p>
    <w:p w14:paraId="16122EDC" w14:textId="77777777" w:rsidR="0057495B" w:rsidRDefault="0057495B" w:rsidP="0057495B">
      <w:pPr>
        <w:pStyle w:val="ListParagraph"/>
        <w:ind w:left="1080"/>
        <w:jc w:val="both"/>
        <w:rPr>
          <w:b/>
          <w:bCs/>
        </w:rPr>
      </w:pPr>
    </w:p>
    <w:p w14:paraId="529C6A17" w14:textId="77777777" w:rsidR="0057495B" w:rsidRDefault="0057495B" w:rsidP="0057495B">
      <w:pPr>
        <w:ind w:firstLine="720"/>
        <w:jc w:val="both"/>
        <w:rPr>
          <w:b/>
          <w:bCs/>
        </w:rPr>
      </w:pPr>
      <w:r>
        <w:rPr>
          <w:b/>
          <w:bCs/>
        </w:rPr>
        <w:t>A.</w:t>
      </w:r>
      <w:r>
        <w:rPr>
          <w:b/>
          <w:bCs/>
        </w:rPr>
        <w:tab/>
      </w:r>
      <w:r>
        <w:rPr>
          <w:b/>
          <w:bCs/>
          <w:u w:val="single"/>
        </w:rPr>
        <w:t>Standard Contract Provisions Used for Design Assist Services</w:t>
      </w:r>
    </w:p>
    <w:p w14:paraId="559EC8B9" w14:textId="77777777" w:rsidR="0057495B" w:rsidRDefault="0057495B" w:rsidP="0057495B">
      <w:pPr>
        <w:pStyle w:val="ListParagraph"/>
        <w:ind w:left="2160"/>
        <w:jc w:val="both"/>
        <w:rPr>
          <w:b/>
        </w:rPr>
      </w:pPr>
    </w:p>
    <w:p w14:paraId="47874F47" w14:textId="77777777" w:rsidR="0057495B" w:rsidRDefault="0057495B" w:rsidP="0057495B">
      <w:pPr>
        <w:ind w:firstLine="720"/>
        <w:jc w:val="both"/>
      </w:pPr>
      <w:r>
        <w:rPr>
          <w:u w:val="single"/>
        </w:rPr>
        <w:t>Section 3.1.7 of AIA A133-2019</w:t>
      </w:r>
      <w:r>
        <w:t xml:space="preserve">, Owner/Construction Manager as Constructor Agreement - Cost of Work Plus Fee with GMP, includes several provisions that reflect the collaborative design assist approach: </w:t>
      </w:r>
    </w:p>
    <w:p w14:paraId="2CF92A1D" w14:textId="77777777" w:rsidR="0057495B" w:rsidRDefault="0057495B" w:rsidP="0057495B">
      <w:pPr>
        <w:ind w:firstLine="720"/>
        <w:jc w:val="both"/>
      </w:pPr>
    </w:p>
    <w:tbl>
      <w:tblPr>
        <w:tblStyle w:val="TableGrid"/>
        <w:tblW w:w="9360" w:type="dxa"/>
        <w:tblInd w:w="0" w:type="dxa"/>
        <w:tblBorders>
          <w:top w:val="single" w:sz="24" w:space="0" w:color="4472C4" w:themeColor="accent1"/>
          <w:left w:val="single" w:sz="24" w:space="0" w:color="4472C4" w:themeColor="accent1"/>
          <w:bottom w:val="single" w:sz="24" w:space="0" w:color="4472C4" w:themeColor="accent1"/>
          <w:right w:val="single" w:sz="24" w:space="0" w:color="4472C4" w:themeColor="accent1"/>
          <w:insideH w:val="single" w:sz="24" w:space="0" w:color="4472C4" w:themeColor="accent1"/>
          <w:insideV w:val="single" w:sz="24" w:space="0" w:color="4472C4" w:themeColor="accent1"/>
        </w:tblBorders>
        <w:tblLayout w:type="fixed"/>
        <w:tblLook w:val="06A0" w:firstRow="1" w:lastRow="0" w:firstColumn="1" w:lastColumn="0" w:noHBand="1" w:noVBand="1"/>
      </w:tblPr>
      <w:tblGrid>
        <w:gridCol w:w="9360"/>
      </w:tblGrid>
      <w:tr w:rsidR="0057495B" w14:paraId="17535996" w14:textId="77777777" w:rsidTr="0057495B">
        <w:tc>
          <w:tcPr>
            <w:tcW w:w="9360" w:type="dxa"/>
            <w:tcBorders>
              <w:top w:val="single" w:sz="24" w:space="0" w:color="4472C4" w:themeColor="accent1"/>
              <w:left w:val="single" w:sz="24" w:space="0" w:color="4472C4" w:themeColor="accent1"/>
              <w:bottom w:val="single" w:sz="24" w:space="0" w:color="4472C4" w:themeColor="accent1"/>
              <w:right w:val="single" w:sz="24" w:space="0" w:color="4472C4" w:themeColor="accent1"/>
            </w:tcBorders>
            <w:hideMark/>
          </w:tcPr>
          <w:p w14:paraId="6DD173C6" w14:textId="77777777" w:rsidR="0057495B" w:rsidRDefault="0057495B">
            <w:r>
              <w:rPr>
                <w:b/>
                <w:bCs/>
              </w:rPr>
              <w:t xml:space="preserve">§ 3.1.7 </w:t>
            </w:r>
            <w:r>
              <w:t xml:space="preserve">As the Architect progresses with the preparation of the Schematic Design, Design Development, and Construction Documents, the Construction Manager shall consult with the Owner and Architect and make recommendations regarding constructability and schedules, for the Architect’s review and Owner’s approval. </w:t>
            </w:r>
          </w:p>
        </w:tc>
      </w:tr>
    </w:tbl>
    <w:p w14:paraId="73A07D45" w14:textId="77777777" w:rsidR="0057495B" w:rsidRDefault="0057495B" w:rsidP="0057495B">
      <w:pPr>
        <w:jc w:val="both"/>
        <w:rPr>
          <w:u w:val="single"/>
        </w:rPr>
      </w:pPr>
      <w:r>
        <w:t xml:space="preserve"> </w:t>
      </w:r>
    </w:p>
    <w:tbl>
      <w:tblPr>
        <w:tblStyle w:val="TableGrid"/>
        <w:tblW w:w="0" w:type="auto"/>
        <w:tblInd w:w="0" w:type="dxa"/>
        <w:tblBorders>
          <w:top w:val="single" w:sz="24" w:space="0" w:color="4472C4" w:themeColor="accent1"/>
          <w:left w:val="single" w:sz="24" w:space="0" w:color="4472C4" w:themeColor="accent1"/>
          <w:bottom w:val="single" w:sz="24" w:space="0" w:color="4472C4" w:themeColor="accent1"/>
          <w:right w:val="single" w:sz="24" w:space="0" w:color="4472C4" w:themeColor="accent1"/>
          <w:insideH w:val="single" w:sz="24" w:space="0" w:color="4472C4" w:themeColor="accent1"/>
          <w:insideV w:val="single" w:sz="24" w:space="0" w:color="4472C4" w:themeColor="accent1"/>
        </w:tblBorders>
        <w:tblLook w:val="04A0" w:firstRow="1" w:lastRow="0" w:firstColumn="1" w:lastColumn="0" w:noHBand="0" w:noVBand="1"/>
      </w:tblPr>
      <w:tblGrid>
        <w:gridCol w:w="9300"/>
      </w:tblGrid>
      <w:tr w:rsidR="0057495B" w14:paraId="71AD0A0D" w14:textId="77777777" w:rsidTr="0057495B">
        <w:tc>
          <w:tcPr>
            <w:tcW w:w="9350" w:type="dxa"/>
            <w:tcBorders>
              <w:top w:val="single" w:sz="24" w:space="0" w:color="4472C4" w:themeColor="accent1"/>
              <w:left w:val="single" w:sz="24" w:space="0" w:color="4472C4" w:themeColor="accent1"/>
              <w:bottom w:val="single" w:sz="24" w:space="0" w:color="4472C4" w:themeColor="accent1"/>
              <w:right w:val="single" w:sz="24" w:space="0" w:color="4472C4" w:themeColor="accent1"/>
            </w:tcBorders>
            <w:hideMark/>
          </w:tcPr>
          <w:p w14:paraId="6EF2BF98" w14:textId="77777777" w:rsidR="0057495B" w:rsidRDefault="0057495B">
            <w:pPr>
              <w:jc w:val="both"/>
              <w:rPr>
                <w:u w:val="single"/>
              </w:rPr>
            </w:pPr>
            <w:r>
              <w:rPr>
                <w:b/>
              </w:rPr>
              <w:t>§ 3.1.8</w:t>
            </w:r>
            <w:r>
              <w:t xml:space="preserve"> The Construction Manager shall provide recommendations and information to the Owner and Architect regarding equipment, materials, services, and temporary Project facilities.</w:t>
            </w:r>
          </w:p>
        </w:tc>
      </w:tr>
    </w:tbl>
    <w:p w14:paraId="16677ADA" w14:textId="77777777" w:rsidR="0057495B" w:rsidRDefault="0057495B" w:rsidP="0057495B">
      <w:pPr>
        <w:jc w:val="both"/>
        <w:rPr>
          <w:u w:val="single"/>
        </w:rPr>
      </w:pPr>
    </w:p>
    <w:p w14:paraId="1AE0C6DA" w14:textId="4D8A0556" w:rsidR="0057495B" w:rsidRDefault="0057495B" w:rsidP="0057495B">
      <w:pPr>
        <w:ind w:firstLine="720"/>
        <w:jc w:val="both"/>
      </w:pPr>
      <w:r>
        <w:rPr>
          <w:u w:val="single"/>
        </w:rPr>
        <w:t>ConsensusDocs 541, Design-Assist Addendum</w:t>
      </w:r>
      <w:r>
        <w:t xml:space="preserve"> is an addendum to be used in conjunction with the Owner Construction Manager At Risk contract or the Owner Design professional contract, when the project team wishes to use a collaborative approach while the design is still being developed. Upon publishing the new standard contract document in September 2018, ConsensusDocs described the addendum as: </w:t>
      </w:r>
    </w:p>
    <w:p w14:paraId="3C3961E0" w14:textId="77777777" w:rsidR="0057495B" w:rsidRDefault="0057495B" w:rsidP="0057495B">
      <w:pPr>
        <w:ind w:firstLine="720"/>
        <w:jc w:val="both"/>
      </w:pPr>
    </w:p>
    <w:p w14:paraId="006CAF90" w14:textId="0E1FBB1E" w:rsidR="0057495B" w:rsidRDefault="0057495B" w:rsidP="0057495B">
      <w:pPr>
        <w:ind w:left="720" w:right="720"/>
        <w:jc w:val="both"/>
      </w:pPr>
      <w:r>
        <w:t xml:space="preserve">The ConsensusDocs 541 Design-Assist Addendum creates a contractual structure to better coordinate design professionals, construction managers, and subcontractors in developing and constructing design documents. The range of services including constructability reviews before design completion; owner’s program review; recommended procurement of materials; prefabrication recommendations; cost estimating; integrated value analysis; design-build packaging; and coordinated milestone scheduling. The document tackles the difficult task of defining the range of design-assist services. Optional design-assist services are identified including life cycle cost analysis; risk analysis; sustainability; and production planning. By gaining the early involvement of builders’ expertise and coordinating those efforts with design teams, greater project cohesion and efficiency is achieved. </w:t>
      </w:r>
    </w:p>
    <w:p w14:paraId="6497CAFA" w14:textId="77777777" w:rsidR="0057495B" w:rsidRDefault="0057495B" w:rsidP="0057495B">
      <w:pPr>
        <w:ind w:firstLine="720"/>
        <w:jc w:val="both"/>
        <w:rPr>
          <w:b/>
          <w:bCs/>
        </w:rPr>
      </w:pPr>
    </w:p>
    <w:p w14:paraId="2E52C458" w14:textId="77777777" w:rsidR="0057495B" w:rsidRDefault="0057495B" w:rsidP="0057495B">
      <w:pPr>
        <w:ind w:firstLine="720"/>
        <w:jc w:val="both"/>
        <w:rPr>
          <w:b/>
          <w:bCs/>
        </w:rPr>
      </w:pPr>
      <w:r>
        <w:rPr>
          <w:b/>
          <w:bCs/>
        </w:rPr>
        <w:t>B.</w:t>
      </w:r>
      <w:r>
        <w:rPr>
          <w:b/>
          <w:bCs/>
        </w:rPr>
        <w:tab/>
      </w:r>
      <w:r>
        <w:rPr>
          <w:b/>
          <w:bCs/>
          <w:u w:val="single"/>
        </w:rPr>
        <w:t xml:space="preserve">Standard Contract Provisions Used for Delegating Design </w:t>
      </w:r>
    </w:p>
    <w:p w14:paraId="38433C03" w14:textId="77777777" w:rsidR="0057495B" w:rsidRDefault="0057495B" w:rsidP="0057495B">
      <w:pPr>
        <w:jc w:val="both"/>
        <w:rPr>
          <w:b/>
          <w:bCs/>
        </w:rPr>
      </w:pPr>
    </w:p>
    <w:p w14:paraId="066202FB" w14:textId="77777777" w:rsidR="0057495B" w:rsidRDefault="0057495B" w:rsidP="0057495B">
      <w:pPr>
        <w:ind w:firstLine="720"/>
        <w:jc w:val="both"/>
      </w:pPr>
      <w:r>
        <w:rPr>
          <w:u w:val="single"/>
        </w:rPr>
        <w:t>Section 3.12.10.1 of A201-2017</w:t>
      </w:r>
      <w:r>
        <w:t>, General Conditions for Construction Contract, contemplates delegated design services, and provides: (1) owner and architect will specify “performance and design criteria”; (2) architect will review/approve submittals; (3) contractor’s licensed design professional will submit its design to the architect; and (4) the contractor can rely upon the information provided by architect and vice versa.</w:t>
      </w:r>
    </w:p>
    <w:p w14:paraId="7918FA06" w14:textId="77777777" w:rsidR="0057495B" w:rsidRDefault="0057495B" w:rsidP="0057495B">
      <w:pPr>
        <w:jc w:val="both"/>
        <w:rPr>
          <w:b/>
        </w:rPr>
      </w:pPr>
    </w:p>
    <w:tbl>
      <w:tblPr>
        <w:tblStyle w:val="TableGrid"/>
        <w:tblW w:w="0" w:type="auto"/>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insideH w:val="single" w:sz="24" w:space="0" w:color="ED7D31" w:themeColor="accent2"/>
          <w:insideV w:val="single" w:sz="24" w:space="0" w:color="ED7D31" w:themeColor="accent2"/>
        </w:tblBorders>
        <w:tblLook w:val="04A0" w:firstRow="1" w:lastRow="0" w:firstColumn="1" w:lastColumn="0" w:noHBand="0" w:noVBand="1"/>
      </w:tblPr>
      <w:tblGrid>
        <w:gridCol w:w="9300"/>
      </w:tblGrid>
      <w:tr w:rsidR="0057495B" w14:paraId="0763DCD7" w14:textId="77777777" w:rsidTr="0057495B">
        <w:trPr>
          <w:trHeight w:val="1731"/>
        </w:trPr>
        <w:tc>
          <w:tcPr>
            <w:tcW w:w="9350" w:type="dxa"/>
            <w:tcBorders>
              <w:top w:val="single" w:sz="24" w:space="0" w:color="ED7D31" w:themeColor="accent2"/>
              <w:left w:val="single" w:sz="24" w:space="0" w:color="ED7D31" w:themeColor="accent2"/>
              <w:bottom w:val="single" w:sz="24" w:space="0" w:color="ED7D31" w:themeColor="accent2"/>
              <w:right w:val="single" w:sz="24" w:space="0" w:color="ED7D31" w:themeColor="accent2"/>
            </w:tcBorders>
            <w:hideMark/>
          </w:tcPr>
          <w:p w14:paraId="4E3CA3C7" w14:textId="77777777" w:rsidR="0057495B" w:rsidRDefault="0057495B">
            <w:pPr>
              <w:pStyle w:val="AIAAgreementBodyText"/>
              <w:jc w:val="both"/>
              <w:rPr>
                <w:sz w:val="24"/>
                <w:szCs w:val="24"/>
              </w:rPr>
            </w:pPr>
            <w:r>
              <w:rPr>
                <w:rStyle w:val="AIAParagraphNumber"/>
                <w:bCs/>
                <w:sz w:val="24"/>
                <w:szCs w:val="24"/>
              </w:rPr>
              <w:t>§ 3.12.10</w:t>
            </w:r>
            <w:r>
              <w:rPr>
                <w:sz w:val="24"/>
                <w:szCs w:val="24"/>
              </w:rPr>
              <w:t xml:space="preserve"> The Contractor shall not be required to provide professional services that constitute the practice of architecture or engineering </w:t>
            </w:r>
            <w:r>
              <w:rPr>
                <w:b/>
                <w:sz w:val="24"/>
                <w:szCs w:val="24"/>
              </w:rPr>
              <w:t>unless such services are specifically required by the Contract Documents for a portion of the Work</w:t>
            </w:r>
            <w:r>
              <w:rPr>
                <w:sz w:val="24"/>
                <w:szCs w:val="24"/>
              </w:rPr>
              <w:t xml:space="preserve"> or unless the Contractor needs to provide such services in order to carry out the Contractor’s responsibilities for construction means, methods, techniques, sequences, and procedures. The Contractor shall not be required to provide professional services in violation of applicable law.</w:t>
            </w:r>
          </w:p>
        </w:tc>
      </w:tr>
    </w:tbl>
    <w:p w14:paraId="1D1BEBE4" w14:textId="77777777" w:rsidR="0057495B" w:rsidRDefault="0057495B" w:rsidP="0057495B">
      <w:pPr>
        <w:jc w:val="both"/>
        <w:rPr>
          <w:b/>
        </w:rPr>
      </w:pPr>
    </w:p>
    <w:tbl>
      <w:tblPr>
        <w:tblStyle w:val="TableGrid"/>
        <w:tblW w:w="0" w:type="auto"/>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insideH w:val="none" w:sz="0" w:space="0" w:color="auto"/>
          <w:insideV w:val="none" w:sz="0" w:space="0" w:color="auto"/>
        </w:tblBorders>
        <w:tblLook w:val="04A0" w:firstRow="1" w:lastRow="0" w:firstColumn="1" w:lastColumn="0" w:noHBand="0" w:noVBand="1"/>
      </w:tblPr>
      <w:tblGrid>
        <w:gridCol w:w="9300"/>
      </w:tblGrid>
      <w:tr w:rsidR="0057495B" w14:paraId="3C8EEA3B" w14:textId="77777777" w:rsidTr="0057495B">
        <w:tc>
          <w:tcPr>
            <w:tcW w:w="9350" w:type="dxa"/>
            <w:tcBorders>
              <w:top w:val="single" w:sz="24" w:space="0" w:color="ED7D31" w:themeColor="accent2"/>
              <w:left w:val="single" w:sz="24" w:space="0" w:color="ED7D31" w:themeColor="accent2"/>
              <w:bottom w:val="single" w:sz="24" w:space="0" w:color="ED7D31" w:themeColor="accent2"/>
              <w:right w:val="single" w:sz="24" w:space="0" w:color="ED7D31" w:themeColor="accent2"/>
            </w:tcBorders>
            <w:hideMark/>
          </w:tcPr>
          <w:p w14:paraId="53353DC1" w14:textId="77777777" w:rsidR="0057495B" w:rsidRDefault="0057495B">
            <w:pPr>
              <w:jc w:val="both"/>
            </w:pPr>
            <w:r>
              <w:rPr>
                <w:b/>
                <w:bCs/>
              </w:rPr>
              <w:t xml:space="preserve">§ 3.12.10.1 </w:t>
            </w:r>
            <w:r>
              <w:t xml:space="preserve">If professional design services or certifications by a design professional related to systems, materials, or equipment are specifically required of the Contractor by the Contract Documents, </w:t>
            </w:r>
            <w:r>
              <w:rPr>
                <w:b/>
              </w:rPr>
              <w:t>the Owner and the Architect will specify all performance and design criteria that such services must satisfy</w:t>
            </w:r>
            <w:r>
              <w:t xml:space="preserve">. The Contractor shall be entitled to rely upon the adequacy and accuracy of the performance and design criteria provided in the Contract Documents. The Contractor shall cause such services or certifications to be provided by an appropriately licensed design professional . . . The Owner and the Architect shall be entitled to rely upon the adequacy and accuracy of the services, certifications, and approvals performed or provided by such design professionals, provided the Owner and Architect have specified to the Contractor the performance and design criteria that such services must satisfy. Pursuant to this Section 3.12.10, </w:t>
            </w:r>
            <w:r>
              <w:lastRenderedPageBreak/>
              <w:t>the Architect will review and approve or take other appropriate action on submittals only for the limited purpose of checking for conformance with information given and the design concept expressed in the Contract Documents.</w:t>
            </w:r>
          </w:p>
        </w:tc>
      </w:tr>
    </w:tbl>
    <w:p w14:paraId="51BCC076" w14:textId="77777777" w:rsidR="0057495B" w:rsidRDefault="0057495B" w:rsidP="0057495B">
      <w:pPr>
        <w:jc w:val="both"/>
        <w:rPr>
          <w:b/>
        </w:rPr>
      </w:pPr>
    </w:p>
    <w:tbl>
      <w:tblPr>
        <w:tblStyle w:val="TableGrid"/>
        <w:tblW w:w="0" w:type="auto"/>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insideH w:val="single" w:sz="24" w:space="0" w:color="ED7D31" w:themeColor="accent2"/>
          <w:insideV w:val="single" w:sz="24" w:space="0" w:color="ED7D31" w:themeColor="accent2"/>
        </w:tblBorders>
        <w:tblLook w:val="04A0" w:firstRow="1" w:lastRow="0" w:firstColumn="1" w:lastColumn="0" w:noHBand="0" w:noVBand="1"/>
      </w:tblPr>
      <w:tblGrid>
        <w:gridCol w:w="9300"/>
      </w:tblGrid>
      <w:tr w:rsidR="0057495B" w14:paraId="42FAC997" w14:textId="77777777" w:rsidTr="0057495B">
        <w:tc>
          <w:tcPr>
            <w:tcW w:w="9350" w:type="dxa"/>
            <w:tcBorders>
              <w:top w:val="single" w:sz="24" w:space="0" w:color="ED7D31" w:themeColor="accent2"/>
              <w:left w:val="single" w:sz="24" w:space="0" w:color="ED7D31" w:themeColor="accent2"/>
              <w:bottom w:val="single" w:sz="24" w:space="0" w:color="ED7D31" w:themeColor="accent2"/>
              <w:right w:val="single" w:sz="24" w:space="0" w:color="ED7D31" w:themeColor="accent2"/>
            </w:tcBorders>
            <w:hideMark/>
          </w:tcPr>
          <w:p w14:paraId="51303F57" w14:textId="77777777" w:rsidR="0057495B" w:rsidRDefault="0057495B">
            <w:pPr>
              <w:jc w:val="both"/>
            </w:pPr>
            <w:r>
              <w:rPr>
                <w:b/>
              </w:rPr>
              <w:t>§ 3.12.10.2</w:t>
            </w:r>
            <w:r>
              <w:t xml:space="preserve"> If the Contract Documents require the Contractor’s design professional to certify that the Work has been performed in accordance with the design criteria, the Contractor shall furnish such certifications to the Architect at the time and in the form specified by the Architect.</w:t>
            </w:r>
          </w:p>
        </w:tc>
      </w:tr>
    </w:tbl>
    <w:p w14:paraId="2A148FA8" w14:textId="77777777" w:rsidR="0057495B" w:rsidRDefault="0057495B" w:rsidP="0057495B">
      <w:pPr>
        <w:jc w:val="both"/>
        <w:rPr>
          <w:b/>
          <w:bCs/>
          <w:caps/>
        </w:rPr>
      </w:pPr>
    </w:p>
    <w:p w14:paraId="6513B253" w14:textId="0693B729" w:rsidR="005E1D7D" w:rsidRPr="00BC5B10" w:rsidRDefault="005E1D7D" w:rsidP="005E1D7D"/>
    <w:sectPr w:rsidR="005E1D7D" w:rsidRPr="00BC5B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91751" w14:textId="77777777" w:rsidR="0057495B" w:rsidRDefault="0057495B" w:rsidP="0057495B">
      <w:r>
        <w:separator/>
      </w:r>
    </w:p>
  </w:endnote>
  <w:endnote w:type="continuationSeparator" w:id="0">
    <w:p w14:paraId="0770721D" w14:textId="77777777" w:rsidR="0057495B" w:rsidRDefault="0057495B" w:rsidP="0057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BB980" w14:textId="77777777" w:rsidR="001F798B" w:rsidRDefault="001F79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7628463"/>
      <w:docPartObj>
        <w:docPartGallery w:val="Page Numbers (Bottom of Page)"/>
        <w:docPartUnique/>
      </w:docPartObj>
    </w:sdtPr>
    <w:sdtEndPr>
      <w:rPr>
        <w:noProof/>
      </w:rPr>
    </w:sdtEndPr>
    <w:sdtContent>
      <w:p w14:paraId="610FF9A9" w14:textId="6A43C67E" w:rsidR="0036115C" w:rsidRDefault="003611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828AAF" w14:textId="77777777" w:rsidR="006057E6" w:rsidRDefault="006057E6" w:rsidP="00841CEF">
    <w:pPr>
      <w:pStyle w:val="Footer"/>
    </w:pPr>
  </w:p>
  <w:p w14:paraId="11F6A00D" w14:textId="6607AAA9" w:rsidR="00841CEF" w:rsidRDefault="006057E6" w:rsidP="006057E6">
    <w:pPr>
      <w:pStyle w:val="Footer"/>
    </w:pPr>
    <w:r>
      <w:rPr>
        <w:sz w:val="18"/>
      </w:rPr>
      <w:fldChar w:fldCharType="begin"/>
    </w:r>
    <w:r>
      <w:rPr>
        <w:sz w:val="18"/>
      </w:rPr>
      <w:instrText xml:space="preserve"> </w:instrText>
    </w:r>
    <w:r w:rsidRPr="006057E6">
      <w:rPr>
        <w:sz w:val="18"/>
      </w:rPr>
      <w:instrText>IF "</w:instrText>
    </w:r>
    <w:r w:rsidRPr="006057E6">
      <w:rPr>
        <w:sz w:val="18"/>
      </w:rPr>
      <w:fldChar w:fldCharType="begin"/>
    </w:r>
    <w:r w:rsidRPr="006057E6">
      <w:rPr>
        <w:sz w:val="18"/>
      </w:rPr>
      <w:instrText xml:space="preserve"> DOCVARIABLE "SWDocIDLocation" </w:instrText>
    </w:r>
    <w:r w:rsidRPr="006057E6">
      <w:rPr>
        <w:sz w:val="18"/>
      </w:rPr>
      <w:fldChar w:fldCharType="separate"/>
    </w:r>
    <w:r w:rsidR="0046606A">
      <w:rPr>
        <w:sz w:val="18"/>
      </w:rPr>
      <w:instrText>1</w:instrText>
    </w:r>
    <w:r w:rsidRPr="006057E6">
      <w:rPr>
        <w:sz w:val="18"/>
      </w:rPr>
      <w:fldChar w:fldCharType="end"/>
    </w:r>
    <w:r w:rsidRPr="006057E6">
      <w:rPr>
        <w:sz w:val="18"/>
      </w:rPr>
      <w:instrText>" = "1" "</w:instrText>
    </w:r>
    <w:r w:rsidRPr="006057E6">
      <w:rPr>
        <w:sz w:val="18"/>
      </w:rPr>
      <w:fldChar w:fldCharType="begin"/>
    </w:r>
    <w:r w:rsidRPr="006057E6">
      <w:rPr>
        <w:sz w:val="18"/>
      </w:rPr>
      <w:instrText xml:space="preserve"> DOCPROPERTY "SWDocID" </w:instrText>
    </w:r>
    <w:r w:rsidRPr="006057E6">
      <w:rPr>
        <w:sz w:val="18"/>
      </w:rPr>
      <w:fldChar w:fldCharType="separate"/>
    </w:r>
    <w:r w:rsidR="0046606A">
      <w:rPr>
        <w:sz w:val="18"/>
      </w:rPr>
      <w:instrText>15405441v.1</w:instrText>
    </w:r>
    <w:r w:rsidRPr="006057E6">
      <w:rPr>
        <w:sz w:val="18"/>
      </w:rPr>
      <w:fldChar w:fldCharType="end"/>
    </w:r>
    <w:r w:rsidRPr="006057E6">
      <w:rPr>
        <w:sz w:val="18"/>
      </w:rPr>
      <w:instrText>" ""</w:instrText>
    </w:r>
    <w:r>
      <w:rPr>
        <w:sz w:val="18"/>
      </w:rPr>
      <w:instrText xml:space="preserve"> </w:instrText>
    </w:r>
    <w:r>
      <w:rPr>
        <w:sz w:val="18"/>
      </w:rPr>
      <w:fldChar w:fldCharType="separate"/>
    </w:r>
    <w:r w:rsidR="0046606A">
      <w:rPr>
        <w:noProof/>
        <w:sz w:val="18"/>
      </w:rPr>
      <w:t>15405441v.1</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03E9D" w14:textId="77777777" w:rsidR="001F798B" w:rsidRDefault="001F7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05571" w14:textId="77777777" w:rsidR="0057495B" w:rsidRDefault="0057495B" w:rsidP="0057495B">
      <w:r>
        <w:separator/>
      </w:r>
    </w:p>
  </w:footnote>
  <w:footnote w:type="continuationSeparator" w:id="0">
    <w:p w14:paraId="78E92104" w14:textId="77777777" w:rsidR="0057495B" w:rsidRDefault="0057495B" w:rsidP="00574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C514" w14:textId="77777777" w:rsidR="001F798B" w:rsidRDefault="001F79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FE627" w14:textId="77777777" w:rsidR="001F798B" w:rsidRDefault="001F79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BDEFA" w14:textId="77777777" w:rsidR="001F798B" w:rsidRDefault="001F7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2C57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E3CA6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EEA84A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50ECF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40A21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9AFF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DA1A1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81EBB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C0A0D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101B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12695"/>
    <w:multiLevelType w:val="hybridMultilevel"/>
    <w:tmpl w:val="BCFEDF7C"/>
    <w:lvl w:ilvl="0" w:tplc="3A2E658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9A0077"/>
    <w:multiLevelType w:val="hybridMultilevel"/>
    <w:tmpl w:val="1B9ED092"/>
    <w:lvl w:ilvl="0" w:tplc="3A2E65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34533F"/>
    <w:multiLevelType w:val="hybridMultilevel"/>
    <w:tmpl w:val="CD1094A6"/>
    <w:lvl w:ilvl="0" w:tplc="3A2E65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97E32"/>
    <w:multiLevelType w:val="hybridMultilevel"/>
    <w:tmpl w:val="8EF6FE56"/>
    <w:lvl w:ilvl="0" w:tplc="3A2E65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4E25C4"/>
    <w:multiLevelType w:val="hybridMultilevel"/>
    <w:tmpl w:val="190E91CA"/>
    <w:lvl w:ilvl="0" w:tplc="3A2E65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2E25A6"/>
    <w:multiLevelType w:val="hybridMultilevel"/>
    <w:tmpl w:val="2BA81276"/>
    <w:lvl w:ilvl="0" w:tplc="3A2E65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816479"/>
    <w:multiLevelType w:val="hybridMultilevel"/>
    <w:tmpl w:val="9D8684F2"/>
    <w:lvl w:ilvl="0" w:tplc="3A2E65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2"/>
  </w:num>
  <w:num w:numId="14">
    <w:abstractNumId w:val="11"/>
  </w:num>
  <w:num w:numId="15">
    <w:abstractNumId w:val="15"/>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2"/>
    <w:docVar w:name="SWDocIDLocation" w:val="1"/>
  </w:docVars>
  <w:rsids>
    <w:rsidRoot w:val="0057495B"/>
    <w:rsid w:val="00014426"/>
    <w:rsid w:val="000A2E47"/>
    <w:rsid w:val="000D25A3"/>
    <w:rsid w:val="001034CE"/>
    <w:rsid w:val="00107AA8"/>
    <w:rsid w:val="00120046"/>
    <w:rsid w:val="00126D6C"/>
    <w:rsid w:val="001273C5"/>
    <w:rsid w:val="00127AEE"/>
    <w:rsid w:val="0014525B"/>
    <w:rsid w:val="001773DF"/>
    <w:rsid w:val="001859B9"/>
    <w:rsid w:val="00193A23"/>
    <w:rsid w:val="001A587B"/>
    <w:rsid w:val="001B2AE5"/>
    <w:rsid w:val="001C5634"/>
    <w:rsid w:val="001D0286"/>
    <w:rsid w:val="001E13F9"/>
    <w:rsid w:val="001E2B7C"/>
    <w:rsid w:val="001F6FE2"/>
    <w:rsid w:val="001F798B"/>
    <w:rsid w:val="0022162D"/>
    <w:rsid w:val="00241A14"/>
    <w:rsid w:val="00274490"/>
    <w:rsid w:val="002B5CD5"/>
    <w:rsid w:val="002C0324"/>
    <w:rsid w:val="002C2549"/>
    <w:rsid w:val="002D7632"/>
    <w:rsid w:val="002E63A1"/>
    <w:rsid w:val="0031124C"/>
    <w:rsid w:val="00334C9D"/>
    <w:rsid w:val="00341A82"/>
    <w:rsid w:val="00360EDF"/>
    <w:rsid w:val="0036115C"/>
    <w:rsid w:val="00365861"/>
    <w:rsid w:val="00385F57"/>
    <w:rsid w:val="003909C9"/>
    <w:rsid w:val="00396691"/>
    <w:rsid w:val="003B7382"/>
    <w:rsid w:val="003D5905"/>
    <w:rsid w:val="00404804"/>
    <w:rsid w:val="00422472"/>
    <w:rsid w:val="00434807"/>
    <w:rsid w:val="00450AA8"/>
    <w:rsid w:val="00457CCA"/>
    <w:rsid w:val="0046606A"/>
    <w:rsid w:val="004671FA"/>
    <w:rsid w:val="00486765"/>
    <w:rsid w:val="00492A84"/>
    <w:rsid w:val="004A06CF"/>
    <w:rsid w:val="004D743D"/>
    <w:rsid w:val="004E7640"/>
    <w:rsid w:val="004F4AE9"/>
    <w:rsid w:val="004F67EC"/>
    <w:rsid w:val="0050304C"/>
    <w:rsid w:val="0050415A"/>
    <w:rsid w:val="00542E00"/>
    <w:rsid w:val="00550EF1"/>
    <w:rsid w:val="005615D8"/>
    <w:rsid w:val="0057495B"/>
    <w:rsid w:val="005800ED"/>
    <w:rsid w:val="005819F0"/>
    <w:rsid w:val="00593D4D"/>
    <w:rsid w:val="005952B1"/>
    <w:rsid w:val="005A61E4"/>
    <w:rsid w:val="005A68F1"/>
    <w:rsid w:val="005E1D7D"/>
    <w:rsid w:val="00604144"/>
    <w:rsid w:val="006057E6"/>
    <w:rsid w:val="00613E26"/>
    <w:rsid w:val="00661096"/>
    <w:rsid w:val="006960D4"/>
    <w:rsid w:val="006C2A7E"/>
    <w:rsid w:val="006C7CE7"/>
    <w:rsid w:val="006D2FA8"/>
    <w:rsid w:val="006D6770"/>
    <w:rsid w:val="007509D9"/>
    <w:rsid w:val="00760328"/>
    <w:rsid w:val="007723F0"/>
    <w:rsid w:val="007B013D"/>
    <w:rsid w:val="007D27C7"/>
    <w:rsid w:val="007E67BE"/>
    <w:rsid w:val="007F7630"/>
    <w:rsid w:val="00807E31"/>
    <w:rsid w:val="008175B2"/>
    <w:rsid w:val="00820C16"/>
    <w:rsid w:val="00841CEF"/>
    <w:rsid w:val="0084430E"/>
    <w:rsid w:val="00851177"/>
    <w:rsid w:val="008522B1"/>
    <w:rsid w:val="008610D8"/>
    <w:rsid w:val="008A0336"/>
    <w:rsid w:val="008A5006"/>
    <w:rsid w:val="00911C87"/>
    <w:rsid w:val="00936D55"/>
    <w:rsid w:val="0096313B"/>
    <w:rsid w:val="0097703B"/>
    <w:rsid w:val="0099137F"/>
    <w:rsid w:val="0099514B"/>
    <w:rsid w:val="009B6D86"/>
    <w:rsid w:val="009D5712"/>
    <w:rsid w:val="009E2964"/>
    <w:rsid w:val="00A279C6"/>
    <w:rsid w:val="00A51299"/>
    <w:rsid w:val="00A70464"/>
    <w:rsid w:val="00A757BF"/>
    <w:rsid w:val="00A759B5"/>
    <w:rsid w:val="00A91C6F"/>
    <w:rsid w:val="00AA2A98"/>
    <w:rsid w:val="00AB167C"/>
    <w:rsid w:val="00AC60F0"/>
    <w:rsid w:val="00AC74A7"/>
    <w:rsid w:val="00AF3B3D"/>
    <w:rsid w:val="00B54169"/>
    <w:rsid w:val="00B72C35"/>
    <w:rsid w:val="00B857D0"/>
    <w:rsid w:val="00BC1C2B"/>
    <w:rsid w:val="00BC36E0"/>
    <w:rsid w:val="00BC5B10"/>
    <w:rsid w:val="00BD00BA"/>
    <w:rsid w:val="00C06584"/>
    <w:rsid w:val="00C07F92"/>
    <w:rsid w:val="00C24249"/>
    <w:rsid w:val="00C35E25"/>
    <w:rsid w:val="00C73AE4"/>
    <w:rsid w:val="00C91871"/>
    <w:rsid w:val="00C91917"/>
    <w:rsid w:val="00C963BB"/>
    <w:rsid w:val="00CE53F3"/>
    <w:rsid w:val="00D01E9D"/>
    <w:rsid w:val="00DA0392"/>
    <w:rsid w:val="00DA474D"/>
    <w:rsid w:val="00DD3932"/>
    <w:rsid w:val="00DD41BA"/>
    <w:rsid w:val="00DE1F83"/>
    <w:rsid w:val="00E12821"/>
    <w:rsid w:val="00E37A9F"/>
    <w:rsid w:val="00E414F2"/>
    <w:rsid w:val="00E60776"/>
    <w:rsid w:val="00E6101D"/>
    <w:rsid w:val="00E86492"/>
    <w:rsid w:val="00E902F1"/>
    <w:rsid w:val="00EA674D"/>
    <w:rsid w:val="00EC0540"/>
    <w:rsid w:val="00EF72FA"/>
    <w:rsid w:val="00F102DA"/>
    <w:rsid w:val="00F2081E"/>
    <w:rsid w:val="00F37FAA"/>
    <w:rsid w:val="00F61A04"/>
    <w:rsid w:val="00F6559C"/>
    <w:rsid w:val="00F91C02"/>
    <w:rsid w:val="00FA7D0E"/>
    <w:rsid w:val="00FC76FE"/>
    <w:rsid w:val="00FD47F8"/>
    <w:rsid w:val="00FD5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0A44A"/>
  <w15:chartTrackingRefBased/>
  <w15:docId w15:val="{5C12C66F-228E-44BC-98F2-8385B866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95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41CE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41C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41CE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41CE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41CE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41CEF"/>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41CEF"/>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41CE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41CE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unhideWhenUsed/>
    <w:rsid w:val="0057495B"/>
    <w:rPr>
      <w:sz w:val="20"/>
      <w:szCs w:val="20"/>
    </w:rPr>
  </w:style>
  <w:style w:type="character" w:customStyle="1" w:styleId="EndnoteTextChar">
    <w:name w:val="Endnote Text Char"/>
    <w:basedOn w:val="DefaultParagraphFont"/>
    <w:link w:val="EndnoteText"/>
    <w:semiHidden/>
    <w:rsid w:val="0057495B"/>
    <w:rPr>
      <w:rFonts w:ascii="Times New Roman" w:eastAsia="Times New Roman" w:hAnsi="Times New Roman" w:cs="Times New Roman"/>
      <w:sz w:val="20"/>
      <w:szCs w:val="20"/>
    </w:rPr>
  </w:style>
  <w:style w:type="paragraph" w:styleId="ListParagraph">
    <w:name w:val="List Paragraph"/>
    <w:basedOn w:val="Normal"/>
    <w:uiPriority w:val="34"/>
    <w:qFormat/>
    <w:rsid w:val="0057495B"/>
    <w:pPr>
      <w:ind w:left="720"/>
      <w:contextualSpacing/>
    </w:pPr>
  </w:style>
  <w:style w:type="paragraph" w:customStyle="1" w:styleId="AIAAgreementBodyText">
    <w:name w:val="AIA Agreement Body Text"/>
    <w:link w:val="AIAAgreementBodyTextChar1"/>
    <w:rsid w:val="0057495B"/>
    <w:pPr>
      <w:tabs>
        <w:tab w:val="left" w:pos="720"/>
      </w:tabs>
      <w:spacing w:after="0" w:line="240" w:lineRule="auto"/>
    </w:pPr>
    <w:rPr>
      <w:rFonts w:ascii="Times New Roman" w:eastAsiaTheme="minorEastAsia" w:hAnsi="Times New Roman" w:cs="Times New Roman"/>
      <w:sz w:val="20"/>
      <w:szCs w:val="20"/>
    </w:rPr>
  </w:style>
  <w:style w:type="character" w:styleId="EndnoteReference">
    <w:name w:val="endnote reference"/>
    <w:basedOn w:val="DefaultParagraphFont"/>
    <w:semiHidden/>
    <w:unhideWhenUsed/>
    <w:rsid w:val="0057495B"/>
    <w:rPr>
      <w:vertAlign w:val="superscript"/>
    </w:rPr>
  </w:style>
  <w:style w:type="character" w:customStyle="1" w:styleId="AIAParagraphNumber">
    <w:name w:val="AIA Paragraph Number"/>
    <w:uiPriority w:val="99"/>
    <w:rsid w:val="0057495B"/>
    <w:rPr>
      <w:rFonts w:ascii="Arial Narrow" w:hAnsi="Arial Narrow" w:hint="default"/>
      <w:b/>
      <w:bCs w:val="0"/>
      <w:sz w:val="20"/>
    </w:rPr>
  </w:style>
  <w:style w:type="table" w:styleId="TableGrid">
    <w:name w:val="Table Grid"/>
    <w:basedOn w:val="TableNormal"/>
    <w:rsid w:val="0057495B"/>
    <w:pPr>
      <w:spacing w:after="0" w:line="240" w:lineRule="auto"/>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1C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CEF"/>
    <w:rPr>
      <w:rFonts w:ascii="Segoe UI" w:eastAsia="Times New Roman" w:hAnsi="Segoe UI" w:cs="Segoe UI"/>
      <w:sz w:val="18"/>
      <w:szCs w:val="18"/>
    </w:rPr>
  </w:style>
  <w:style w:type="paragraph" w:styleId="Bibliography">
    <w:name w:val="Bibliography"/>
    <w:basedOn w:val="Normal"/>
    <w:next w:val="Normal"/>
    <w:uiPriority w:val="37"/>
    <w:semiHidden/>
    <w:unhideWhenUsed/>
    <w:rsid w:val="00841CEF"/>
  </w:style>
  <w:style w:type="paragraph" w:styleId="BlockText">
    <w:name w:val="Block Text"/>
    <w:basedOn w:val="Normal"/>
    <w:uiPriority w:val="99"/>
    <w:semiHidden/>
    <w:unhideWhenUsed/>
    <w:rsid w:val="00841CE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841CEF"/>
    <w:pPr>
      <w:spacing w:after="120"/>
    </w:pPr>
  </w:style>
  <w:style w:type="character" w:customStyle="1" w:styleId="BodyTextChar">
    <w:name w:val="Body Text Char"/>
    <w:basedOn w:val="DefaultParagraphFont"/>
    <w:link w:val="BodyText"/>
    <w:uiPriority w:val="99"/>
    <w:semiHidden/>
    <w:rsid w:val="00841CEF"/>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841CEF"/>
    <w:pPr>
      <w:spacing w:after="120" w:line="480" w:lineRule="auto"/>
    </w:pPr>
  </w:style>
  <w:style w:type="character" w:customStyle="1" w:styleId="BodyText2Char">
    <w:name w:val="Body Text 2 Char"/>
    <w:basedOn w:val="DefaultParagraphFont"/>
    <w:link w:val="BodyText2"/>
    <w:uiPriority w:val="99"/>
    <w:semiHidden/>
    <w:rsid w:val="00841CEF"/>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841CEF"/>
    <w:pPr>
      <w:spacing w:after="120"/>
    </w:pPr>
    <w:rPr>
      <w:sz w:val="16"/>
      <w:szCs w:val="16"/>
    </w:rPr>
  </w:style>
  <w:style w:type="character" w:customStyle="1" w:styleId="BodyText3Char">
    <w:name w:val="Body Text 3 Char"/>
    <w:basedOn w:val="DefaultParagraphFont"/>
    <w:link w:val="BodyText3"/>
    <w:uiPriority w:val="99"/>
    <w:semiHidden/>
    <w:rsid w:val="00841CEF"/>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841CEF"/>
    <w:pPr>
      <w:spacing w:after="0"/>
      <w:ind w:firstLine="360"/>
    </w:pPr>
  </w:style>
  <w:style w:type="character" w:customStyle="1" w:styleId="BodyTextFirstIndentChar">
    <w:name w:val="Body Text First Indent Char"/>
    <w:basedOn w:val="BodyTextChar"/>
    <w:link w:val="BodyTextFirstIndent"/>
    <w:uiPriority w:val="99"/>
    <w:semiHidden/>
    <w:rsid w:val="00841CEF"/>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41CEF"/>
    <w:pPr>
      <w:spacing w:after="120"/>
      <w:ind w:left="360"/>
    </w:pPr>
  </w:style>
  <w:style w:type="character" w:customStyle="1" w:styleId="BodyTextIndentChar">
    <w:name w:val="Body Text Indent Char"/>
    <w:basedOn w:val="DefaultParagraphFont"/>
    <w:link w:val="BodyTextIndent"/>
    <w:uiPriority w:val="99"/>
    <w:semiHidden/>
    <w:rsid w:val="00841CEF"/>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841CEF"/>
    <w:pPr>
      <w:spacing w:after="0"/>
      <w:ind w:firstLine="360"/>
    </w:pPr>
  </w:style>
  <w:style w:type="character" w:customStyle="1" w:styleId="BodyTextFirstIndent2Char">
    <w:name w:val="Body Text First Indent 2 Char"/>
    <w:basedOn w:val="BodyTextIndentChar"/>
    <w:link w:val="BodyTextFirstIndent2"/>
    <w:uiPriority w:val="99"/>
    <w:semiHidden/>
    <w:rsid w:val="00841CEF"/>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841CEF"/>
    <w:pPr>
      <w:spacing w:after="120" w:line="480" w:lineRule="auto"/>
      <w:ind w:left="360"/>
    </w:pPr>
  </w:style>
  <w:style w:type="character" w:customStyle="1" w:styleId="BodyTextIndent2Char">
    <w:name w:val="Body Text Indent 2 Char"/>
    <w:basedOn w:val="DefaultParagraphFont"/>
    <w:link w:val="BodyTextIndent2"/>
    <w:uiPriority w:val="99"/>
    <w:semiHidden/>
    <w:rsid w:val="00841CEF"/>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841CE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41CEF"/>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841CEF"/>
    <w:pPr>
      <w:spacing w:after="200"/>
    </w:pPr>
    <w:rPr>
      <w:i/>
      <w:iCs/>
      <w:color w:val="44546A" w:themeColor="text2"/>
      <w:sz w:val="18"/>
      <w:szCs w:val="18"/>
    </w:rPr>
  </w:style>
  <w:style w:type="paragraph" w:styleId="Closing">
    <w:name w:val="Closing"/>
    <w:basedOn w:val="Normal"/>
    <w:link w:val="ClosingChar"/>
    <w:uiPriority w:val="99"/>
    <w:semiHidden/>
    <w:unhideWhenUsed/>
    <w:rsid w:val="00841CEF"/>
    <w:pPr>
      <w:ind w:left="4320"/>
    </w:pPr>
  </w:style>
  <w:style w:type="character" w:customStyle="1" w:styleId="ClosingChar">
    <w:name w:val="Closing Char"/>
    <w:basedOn w:val="DefaultParagraphFont"/>
    <w:link w:val="Closing"/>
    <w:uiPriority w:val="99"/>
    <w:semiHidden/>
    <w:rsid w:val="00841CEF"/>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841CEF"/>
    <w:rPr>
      <w:sz w:val="20"/>
      <w:szCs w:val="20"/>
    </w:rPr>
  </w:style>
  <w:style w:type="character" w:customStyle="1" w:styleId="CommentTextChar">
    <w:name w:val="Comment Text Char"/>
    <w:basedOn w:val="DefaultParagraphFont"/>
    <w:link w:val="CommentText"/>
    <w:uiPriority w:val="99"/>
    <w:semiHidden/>
    <w:rsid w:val="00841C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1CEF"/>
    <w:rPr>
      <w:b/>
      <w:bCs/>
    </w:rPr>
  </w:style>
  <w:style w:type="character" w:customStyle="1" w:styleId="CommentSubjectChar">
    <w:name w:val="Comment Subject Char"/>
    <w:basedOn w:val="CommentTextChar"/>
    <w:link w:val="CommentSubject"/>
    <w:uiPriority w:val="99"/>
    <w:semiHidden/>
    <w:rsid w:val="00841CEF"/>
    <w:rPr>
      <w:rFonts w:ascii="Times New Roman" w:eastAsia="Times New Roman" w:hAnsi="Times New Roman" w:cs="Times New Roman"/>
      <w:b/>
      <w:bCs/>
      <w:sz w:val="20"/>
      <w:szCs w:val="20"/>
    </w:rPr>
  </w:style>
  <w:style w:type="paragraph" w:styleId="Date">
    <w:name w:val="Date"/>
    <w:basedOn w:val="Normal"/>
    <w:next w:val="Normal"/>
    <w:link w:val="DateChar"/>
    <w:uiPriority w:val="99"/>
    <w:semiHidden/>
    <w:unhideWhenUsed/>
    <w:rsid w:val="00841CEF"/>
  </w:style>
  <w:style w:type="character" w:customStyle="1" w:styleId="DateChar">
    <w:name w:val="Date Char"/>
    <w:basedOn w:val="DefaultParagraphFont"/>
    <w:link w:val="Date"/>
    <w:uiPriority w:val="99"/>
    <w:semiHidden/>
    <w:rsid w:val="00841CEF"/>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841CEF"/>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41CEF"/>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841CEF"/>
  </w:style>
  <w:style w:type="character" w:customStyle="1" w:styleId="E-mailSignatureChar">
    <w:name w:val="E-mail Signature Char"/>
    <w:basedOn w:val="DefaultParagraphFont"/>
    <w:link w:val="E-mailSignature"/>
    <w:uiPriority w:val="99"/>
    <w:semiHidden/>
    <w:rsid w:val="00841CEF"/>
    <w:rPr>
      <w:rFonts w:ascii="Times New Roman" w:eastAsia="Times New Roman" w:hAnsi="Times New Roman" w:cs="Times New Roman"/>
      <w:sz w:val="24"/>
      <w:szCs w:val="24"/>
    </w:rPr>
  </w:style>
  <w:style w:type="paragraph" w:styleId="EnvelopeAddress">
    <w:name w:val="envelope address"/>
    <w:basedOn w:val="Normal"/>
    <w:uiPriority w:val="99"/>
    <w:semiHidden/>
    <w:unhideWhenUsed/>
    <w:rsid w:val="00841CE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41CEF"/>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41CEF"/>
    <w:pPr>
      <w:tabs>
        <w:tab w:val="center" w:pos="4680"/>
        <w:tab w:val="right" w:pos="9360"/>
      </w:tabs>
    </w:pPr>
  </w:style>
  <w:style w:type="character" w:customStyle="1" w:styleId="FooterChar">
    <w:name w:val="Footer Char"/>
    <w:basedOn w:val="DefaultParagraphFont"/>
    <w:link w:val="Footer"/>
    <w:uiPriority w:val="99"/>
    <w:rsid w:val="00841CEF"/>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41CEF"/>
    <w:rPr>
      <w:sz w:val="20"/>
      <w:szCs w:val="20"/>
    </w:rPr>
  </w:style>
  <w:style w:type="character" w:customStyle="1" w:styleId="FootnoteTextChar">
    <w:name w:val="Footnote Text Char"/>
    <w:basedOn w:val="DefaultParagraphFont"/>
    <w:link w:val="FootnoteText"/>
    <w:uiPriority w:val="99"/>
    <w:semiHidden/>
    <w:rsid w:val="00841CE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41CEF"/>
    <w:pPr>
      <w:tabs>
        <w:tab w:val="center" w:pos="4680"/>
        <w:tab w:val="right" w:pos="9360"/>
      </w:tabs>
    </w:pPr>
  </w:style>
  <w:style w:type="character" w:customStyle="1" w:styleId="HeaderChar">
    <w:name w:val="Header Char"/>
    <w:basedOn w:val="DefaultParagraphFont"/>
    <w:link w:val="Header"/>
    <w:uiPriority w:val="99"/>
    <w:rsid w:val="00841CE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41CE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41CE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41CE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41CEF"/>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841CEF"/>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841CEF"/>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841CEF"/>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841C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41CEF"/>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41CEF"/>
    <w:rPr>
      <w:i/>
      <w:iCs/>
    </w:rPr>
  </w:style>
  <w:style w:type="character" w:customStyle="1" w:styleId="HTMLAddressChar">
    <w:name w:val="HTML Address Char"/>
    <w:basedOn w:val="DefaultParagraphFont"/>
    <w:link w:val="HTMLAddress"/>
    <w:uiPriority w:val="99"/>
    <w:semiHidden/>
    <w:rsid w:val="00841CEF"/>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841CE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41CEF"/>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841CEF"/>
    <w:pPr>
      <w:ind w:left="240" w:hanging="240"/>
    </w:pPr>
  </w:style>
  <w:style w:type="paragraph" w:styleId="Index2">
    <w:name w:val="index 2"/>
    <w:basedOn w:val="Normal"/>
    <w:next w:val="Normal"/>
    <w:autoRedefine/>
    <w:uiPriority w:val="99"/>
    <w:semiHidden/>
    <w:unhideWhenUsed/>
    <w:rsid w:val="00841CEF"/>
    <w:pPr>
      <w:ind w:left="480" w:hanging="240"/>
    </w:pPr>
  </w:style>
  <w:style w:type="paragraph" w:styleId="Index3">
    <w:name w:val="index 3"/>
    <w:basedOn w:val="Normal"/>
    <w:next w:val="Normal"/>
    <w:autoRedefine/>
    <w:uiPriority w:val="99"/>
    <w:semiHidden/>
    <w:unhideWhenUsed/>
    <w:rsid w:val="00841CEF"/>
    <w:pPr>
      <w:ind w:left="720" w:hanging="240"/>
    </w:pPr>
  </w:style>
  <w:style w:type="paragraph" w:styleId="Index4">
    <w:name w:val="index 4"/>
    <w:basedOn w:val="Normal"/>
    <w:next w:val="Normal"/>
    <w:autoRedefine/>
    <w:uiPriority w:val="99"/>
    <w:semiHidden/>
    <w:unhideWhenUsed/>
    <w:rsid w:val="00841CEF"/>
    <w:pPr>
      <w:ind w:left="960" w:hanging="240"/>
    </w:pPr>
  </w:style>
  <w:style w:type="paragraph" w:styleId="Index5">
    <w:name w:val="index 5"/>
    <w:basedOn w:val="Normal"/>
    <w:next w:val="Normal"/>
    <w:autoRedefine/>
    <w:uiPriority w:val="99"/>
    <w:semiHidden/>
    <w:unhideWhenUsed/>
    <w:rsid w:val="00841CEF"/>
    <w:pPr>
      <w:ind w:left="1200" w:hanging="240"/>
    </w:pPr>
  </w:style>
  <w:style w:type="paragraph" w:styleId="Index6">
    <w:name w:val="index 6"/>
    <w:basedOn w:val="Normal"/>
    <w:next w:val="Normal"/>
    <w:autoRedefine/>
    <w:uiPriority w:val="99"/>
    <w:semiHidden/>
    <w:unhideWhenUsed/>
    <w:rsid w:val="00841CEF"/>
    <w:pPr>
      <w:ind w:left="1440" w:hanging="240"/>
    </w:pPr>
  </w:style>
  <w:style w:type="paragraph" w:styleId="Index7">
    <w:name w:val="index 7"/>
    <w:basedOn w:val="Normal"/>
    <w:next w:val="Normal"/>
    <w:autoRedefine/>
    <w:uiPriority w:val="99"/>
    <w:semiHidden/>
    <w:unhideWhenUsed/>
    <w:rsid w:val="00841CEF"/>
    <w:pPr>
      <w:ind w:left="1680" w:hanging="240"/>
    </w:pPr>
  </w:style>
  <w:style w:type="paragraph" w:styleId="Index8">
    <w:name w:val="index 8"/>
    <w:basedOn w:val="Normal"/>
    <w:next w:val="Normal"/>
    <w:autoRedefine/>
    <w:uiPriority w:val="99"/>
    <w:semiHidden/>
    <w:unhideWhenUsed/>
    <w:rsid w:val="00841CEF"/>
    <w:pPr>
      <w:ind w:left="1920" w:hanging="240"/>
    </w:pPr>
  </w:style>
  <w:style w:type="paragraph" w:styleId="Index9">
    <w:name w:val="index 9"/>
    <w:basedOn w:val="Normal"/>
    <w:next w:val="Normal"/>
    <w:autoRedefine/>
    <w:uiPriority w:val="99"/>
    <w:semiHidden/>
    <w:unhideWhenUsed/>
    <w:rsid w:val="00841CEF"/>
    <w:pPr>
      <w:ind w:left="2160" w:hanging="240"/>
    </w:pPr>
  </w:style>
  <w:style w:type="paragraph" w:styleId="IndexHeading">
    <w:name w:val="index heading"/>
    <w:basedOn w:val="Normal"/>
    <w:next w:val="Index1"/>
    <w:uiPriority w:val="99"/>
    <w:semiHidden/>
    <w:unhideWhenUsed/>
    <w:rsid w:val="00841CE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41CE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41CEF"/>
    <w:rPr>
      <w:rFonts w:ascii="Times New Roman" w:eastAsia="Times New Roman" w:hAnsi="Times New Roman" w:cs="Times New Roman"/>
      <w:i/>
      <w:iCs/>
      <w:color w:val="4472C4" w:themeColor="accent1"/>
      <w:sz w:val="24"/>
      <w:szCs w:val="24"/>
    </w:rPr>
  </w:style>
  <w:style w:type="paragraph" w:styleId="List">
    <w:name w:val="List"/>
    <w:basedOn w:val="Normal"/>
    <w:uiPriority w:val="99"/>
    <w:semiHidden/>
    <w:unhideWhenUsed/>
    <w:rsid w:val="00841CEF"/>
    <w:pPr>
      <w:ind w:left="360" w:hanging="360"/>
      <w:contextualSpacing/>
    </w:pPr>
  </w:style>
  <w:style w:type="paragraph" w:styleId="List2">
    <w:name w:val="List 2"/>
    <w:basedOn w:val="Normal"/>
    <w:uiPriority w:val="99"/>
    <w:semiHidden/>
    <w:unhideWhenUsed/>
    <w:rsid w:val="00841CEF"/>
    <w:pPr>
      <w:ind w:left="720" w:hanging="360"/>
      <w:contextualSpacing/>
    </w:pPr>
  </w:style>
  <w:style w:type="paragraph" w:styleId="List3">
    <w:name w:val="List 3"/>
    <w:basedOn w:val="Normal"/>
    <w:uiPriority w:val="99"/>
    <w:semiHidden/>
    <w:unhideWhenUsed/>
    <w:rsid w:val="00841CEF"/>
    <w:pPr>
      <w:ind w:left="1080" w:hanging="360"/>
      <w:contextualSpacing/>
    </w:pPr>
  </w:style>
  <w:style w:type="paragraph" w:styleId="List4">
    <w:name w:val="List 4"/>
    <w:basedOn w:val="Normal"/>
    <w:uiPriority w:val="99"/>
    <w:semiHidden/>
    <w:unhideWhenUsed/>
    <w:rsid w:val="00841CEF"/>
    <w:pPr>
      <w:ind w:left="1440" w:hanging="360"/>
      <w:contextualSpacing/>
    </w:pPr>
  </w:style>
  <w:style w:type="paragraph" w:styleId="List5">
    <w:name w:val="List 5"/>
    <w:basedOn w:val="Normal"/>
    <w:uiPriority w:val="99"/>
    <w:semiHidden/>
    <w:unhideWhenUsed/>
    <w:rsid w:val="00841CEF"/>
    <w:pPr>
      <w:ind w:left="1800" w:hanging="360"/>
      <w:contextualSpacing/>
    </w:pPr>
  </w:style>
  <w:style w:type="paragraph" w:styleId="ListBullet">
    <w:name w:val="List Bullet"/>
    <w:basedOn w:val="Normal"/>
    <w:uiPriority w:val="99"/>
    <w:semiHidden/>
    <w:unhideWhenUsed/>
    <w:rsid w:val="00841CEF"/>
    <w:pPr>
      <w:numPr>
        <w:numId w:val="1"/>
      </w:numPr>
      <w:contextualSpacing/>
    </w:pPr>
  </w:style>
  <w:style w:type="paragraph" w:styleId="ListBullet2">
    <w:name w:val="List Bullet 2"/>
    <w:basedOn w:val="Normal"/>
    <w:uiPriority w:val="99"/>
    <w:semiHidden/>
    <w:unhideWhenUsed/>
    <w:rsid w:val="00841CEF"/>
    <w:pPr>
      <w:numPr>
        <w:numId w:val="2"/>
      </w:numPr>
      <w:contextualSpacing/>
    </w:pPr>
  </w:style>
  <w:style w:type="paragraph" w:styleId="ListBullet3">
    <w:name w:val="List Bullet 3"/>
    <w:basedOn w:val="Normal"/>
    <w:uiPriority w:val="99"/>
    <w:semiHidden/>
    <w:unhideWhenUsed/>
    <w:rsid w:val="00841CEF"/>
    <w:pPr>
      <w:numPr>
        <w:numId w:val="3"/>
      </w:numPr>
      <w:contextualSpacing/>
    </w:pPr>
  </w:style>
  <w:style w:type="paragraph" w:styleId="ListBullet4">
    <w:name w:val="List Bullet 4"/>
    <w:basedOn w:val="Normal"/>
    <w:uiPriority w:val="99"/>
    <w:semiHidden/>
    <w:unhideWhenUsed/>
    <w:rsid w:val="00841CEF"/>
    <w:pPr>
      <w:numPr>
        <w:numId w:val="4"/>
      </w:numPr>
      <w:contextualSpacing/>
    </w:pPr>
  </w:style>
  <w:style w:type="paragraph" w:styleId="ListBullet5">
    <w:name w:val="List Bullet 5"/>
    <w:basedOn w:val="Normal"/>
    <w:uiPriority w:val="99"/>
    <w:semiHidden/>
    <w:unhideWhenUsed/>
    <w:rsid w:val="00841CEF"/>
    <w:pPr>
      <w:numPr>
        <w:numId w:val="5"/>
      </w:numPr>
      <w:contextualSpacing/>
    </w:pPr>
  </w:style>
  <w:style w:type="paragraph" w:styleId="ListContinue">
    <w:name w:val="List Continue"/>
    <w:basedOn w:val="Normal"/>
    <w:uiPriority w:val="99"/>
    <w:semiHidden/>
    <w:unhideWhenUsed/>
    <w:rsid w:val="00841CEF"/>
    <w:pPr>
      <w:spacing w:after="120"/>
      <w:ind w:left="360"/>
      <w:contextualSpacing/>
    </w:pPr>
  </w:style>
  <w:style w:type="paragraph" w:styleId="ListContinue2">
    <w:name w:val="List Continue 2"/>
    <w:basedOn w:val="Normal"/>
    <w:uiPriority w:val="99"/>
    <w:semiHidden/>
    <w:unhideWhenUsed/>
    <w:rsid w:val="00841CEF"/>
    <w:pPr>
      <w:spacing w:after="120"/>
      <w:ind w:left="720"/>
      <w:contextualSpacing/>
    </w:pPr>
  </w:style>
  <w:style w:type="paragraph" w:styleId="ListContinue3">
    <w:name w:val="List Continue 3"/>
    <w:basedOn w:val="Normal"/>
    <w:uiPriority w:val="99"/>
    <w:semiHidden/>
    <w:unhideWhenUsed/>
    <w:rsid w:val="00841CEF"/>
    <w:pPr>
      <w:spacing w:after="120"/>
      <w:ind w:left="1080"/>
      <w:contextualSpacing/>
    </w:pPr>
  </w:style>
  <w:style w:type="paragraph" w:styleId="ListContinue4">
    <w:name w:val="List Continue 4"/>
    <w:basedOn w:val="Normal"/>
    <w:uiPriority w:val="99"/>
    <w:semiHidden/>
    <w:unhideWhenUsed/>
    <w:rsid w:val="00841CEF"/>
    <w:pPr>
      <w:spacing w:after="120"/>
      <w:ind w:left="1440"/>
      <w:contextualSpacing/>
    </w:pPr>
  </w:style>
  <w:style w:type="paragraph" w:styleId="ListContinue5">
    <w:name w:val="List Continue 5"/>
    <w:basedOn w:val="Normal"/>
    <w:uiPriority w:val="99"/>
    <w:semiHidden/>
    <w:unhideWhenUsed/>
    <w:rsid w:val="00841CEF"/>
    <w:pPr>
      <w:spacing w:after="120"/>
      <w:ind w:left="1800"/>
      <w:contextualSpacing/>
    </w:pPr>
  </w:style>
  <w:style w:type="paragraph" w:styleId="ListNumber">
    <w:name w:val="List Number"/>
    <w:basedOn w:val="Normal"/>
    <w:uiPriority w:val="99"/>
    <w:semiHidden/>
    <w:unhideWhenUsed/>
    <w:rsid w:val="00841CEF"/>
    <w:pPr>
      <w:numPr>
        <w:numId w:val="6"/>
      </w:numPr>
      <w:contextualSpacing/>
    </w:pPr>
  </w:style>
  <w:style w:type="paragraph" w:styleId="ListNumber2">
    <w:name w:val="List Number 2"/>
    <w:basedOn w:val="Normal"/>
    <w:uiPriority w:val="99"/>
    <w:semiHidden/>
    <w:unhideWhenUsed/>
    <w:rsid w:val="00841CEF"/>
    <w:pPr>
      <w:numPr>
        <w:numId w:val="7"/>
      </w:numPr>
      <w:contextualSpacing/>
    </w:pPr>
  </w:style>
  <w:style w:type="paragraph" w:styleId="ListNumber3">
    <w:name w:val="List Number 3"/>
    <w:basedOn w:val="Normal"/>
    <w:uiPriority w:val="99"/>
    <w:semiHidden/>
    <w:unhideWhenUsed/>
    <w:rsid w:val="00841CEF"/>
    <w:pPr>
      <w:numPr>
        <w:numId w:val="8"/>
      </w:numPr>
      <w:contextualSpacing/>
    </w:pPr>
  </w:style>
  <w:style w:type="paragraph" w:styleId="ListNumber4">
    <w:name w:val="List Number 4"/>
    <w:basedOn w:val="Normal"/>
    <w:uiPriority w:val="99"/>
    <w:semiHidden/>
    <w:unhideWhenUsed/>
    <w:rsid w:val="00841CEF"/>
    <w:pPr>
      <w:numPr>
        <w:numId w:val="9"/>
      </w:numPr>
      <w:contextualSpacing/>
    </w:pPr>
  </w:style>
  <w:style w:type="paragraph" w:styleId="ListNumber5">
    <w:name w:val="List Number 5"/>
    <w:basedOn w:val="Normal"/>
    <w:uiPriority w:val="99"/>
    <w:semiHidden/>
    <w:unhideWhenUsed/>
    <w:rsid w:val="00841CEF"/>
    <w:pPr>
      <w:numPr>
        <w:numId w:val="10"/>
      </w:numPr>
      <w:contextualSpacing/>
    </w:pPr>
  </w:style>
  <w:style w:type="paragraph" w:styleId="MacroText">
    <w:name w:val="macro"/>
    <w:link w:val="MacroTextChar"/>
    <w:uiPriority w:val="99"/>
    <w:semiHidden/>
    <w:unhideWhenUsed/>
    <w:rsid w:val="00841CE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841CEF"/>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841CE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41CEF"/>
    <w:rPr>
      <w:rFonts w:asciiTheme="majorHAnsi" w:eastAsiaTheme="majorEastAsia" w:hAnsiTheme="majorHAnsi" w:cstheme="majorBidi"/>
      <w:sz w:val="24"/>
      <w:szCs w:val="24"/>
      <w:shd w:val="pct20" w:color="auto" w:fill="auto"/>
    </w:rPr>
  </w:style>
  <w:style w:type="paragraph" w:styleId="NoSpacing">
    <w:name w:val="No Spacing"/>
    <w:uiPriority w:val="1"/>
    <w:qFormat/>
    <w:rsid w:val="00841CEF"/>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41CEF"/>
  </w:style>
  <w:style w:type="paragraph" w:styleId="NormalIndent">
    <w:name w:val="Normal Indent"/>
    <w:basedOn w:val="Normal"/>
    <w:uiPriority w:val="99"/>
    <w:semiHidden/>
    <w:unhideWhenUsed/>
    <w:rsid w:val="00841CEF"/>
    <w:pPr>
      <w:ind w:left="720"/>
    </w:pPr>
  </w:style>
  <w:style w:type="paragraph" w:styleId="NoteHeading">
    <w:name w:val="Note Heading"/>
    <w:basedOn w:val="Normal"/>
    <w:next w:val="Normal"/>
    <w:link w:val="NoteHeadingChar"/>
    <w:uiPriority w:val="99"/>
    <w:semiHidden/>
    <w:unhideWhenUsed/>
    <w:rsid w:val="00841CEF"/>
  </w:style>
  <w:style w:type="character" w:customStyle="1" w:styleId="NoteHeadingChar">
    <w:name w:val="Note Heading Char"/>
    <w:basedOn w:val="DefaultParagraphFont"/>
    <w:link w:val="NoteHeading"/>
    <w:uiPriority w:val="99"/>
    <w:semiHidden/>
    <w:rsid w:val="00841CEF"/>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841CEF"/>
    <w:rPr>
      <w:rFonts w:ascii="Consolas" w:hAnsi="Consolas"/>
      <w:sz w:val="21"/>
      <w:szCs w:val="21"/>
    </w:rPr>
  </w:style>
  <w:style w:type="character" w:customStyle="1" w:styleId="PlainTextChar">
    <w:name w:val="Plain Text Char"/>
    <w:basedOn w:val="DefaultParagraphFont"/>
    <w:link w:val="PlainText"/>
    <w:uiPriority w:val="99"/>
    <w:semiHidden/>
    <w:rsid w:val="00841CEF"/>
    <w:rPr>
      <w:rFonts w:ascii="Consolas" w:eastAsia="Times New Roman" w:hAnsi="Consolas" w:cs="Times New Roman"/>
      <w:sz w:val="21"/>
      <w:szCs w:val="21"/>
    </w:rPr>
  </w:style>
  <w:style w:type="paragraph" w:styleId="Quote">
    <w:name w:val="Quote"/>
    <w:basedOn w:val="Normal"/>
    <w:next w:val="Normal"/>
    <w:link w:val="QuoteChar"/>
    <w:uiPriority w:val="29"/>
    <w:qFormat/>
    <w:rsid w:val="00841CE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41CEF"/>
    <w:rPr>
      <w:rFonts w:ascii="Times New Roman" w:eastAsia="Times New Roman"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841CEF"/>
  </w:style>
  <w:style w:type="character" w:customStyle="1" w:styleId="SalutationChar">
    <w:name w:val="Salutation Char"/>
    <w:basedOn w:val="DefaultParagraphFont"/>
    <w:link w:val="Salutation"/>
    <w:uiPriority w:val="99"/>
    <w:semiHidden/>
    <w:rsid w:val="00841CEF"/>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841CEF"/>
    <w:pPr>
      <w:ind w:left="4320"/>
    </w:pPr>
  </w:style>
  <w:style w:type="character" w:customStyle="1" w:styleId="SignatureChar">
    <w:name w:val="Signature Char"/>
    <w:basedOn w:val="DefaultParagraphFont"/>
    <w:link w:val="Signature"/>
    <w:uiPriority w:val="99"/>
    <w:semiHidden/>
    <w:rsid w:val="00841CEF"/>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841C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41CEF"/>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41CEF"/>
    <w:pPr>
      <w:ind w:left="240" w:hanging="240"/>
    </w:pPr>
  </w:style>
  <w:style w:type="paragraph" w:styleId="TableofFigures">
    <w:name w:val="table of figures"/>
    <w:basedOn w:val="Normal"/>
    <w:next w:val="Normal"/>
    <w:uiPriority w:val="99"/>
    <w:semiHidden/>
    <w:unhideWhenUsed/>
    <w:rsid w:val="00841CEF"/>
  </w:style>
  <w:style w:type="paragraph" w:styleId="Title">
    <w:name w:val="Title"/>
    <w:basedOn w:val="Normal"/>
    <w:next w:val="Normal"/>
    <w:link w:val="TitleChar"/>
    <w:uiPriority w:val="10"/>
    <w:qFormat/>
    <w:rsid w:val="00841CE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CEF"/>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41CEF"/>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841CEF"/>
    <w:pPr>
      <w:spacing w:after="100"/>
    </w:pPr>
  </w:style>
  <w:style w:type="paragraph" w:styleId="TOC2">
    <w:name w:val="toc 2"/>
    <w:basedOn w:val="Normal"/>
    <w:next w:val="Normal"/>
    <w:autoRedefine/>
    <w:uiPriority w:val="39"/>
    <w:semiHidden/>
    <w:unhideWhenUsed/>
    <w:rsid w:val="00841CEF"/>
    <w:pPr>
      <w:spacing w:after="100"/>
      <w:ind w:left="240"/>
    </w:pPr>
  </w:style>
  <w:style w:type="paragraph" w:styleId="TOC3">
    <w:name w:val="toc 3"/>
    <w:basedOn w:val="Normal"/>
    <w:next w:val="Normal"/>
    <w:autoRedefine/>
    <w:uiPriority w:val="39"/>
    <w:semiHidden/>
    <w:unhideWhenUsed/>
    <w:rsid w:val="00841CEF"/>
    <w:pPr>
      <w:spacing w:after="100"/>
      <w:ind w:left="480"/>
    </w:pPr>
  </w:style>
  <w:style w:type="paragraph" w:styleId="TOC4">
    <w:name w:val="toc 4"/>
    <w:basedOn w:val="Normal"/>
    <w:next w:val="Normal"/>
    <w:autoRedefine/>
    <w:uiPriority w:val="39"/>
    <w:semiHidden/>
    <w:unhideWhenUsed/>
    <w:rsid w:val="00841CEF"/>
    <w:pPr>
      <w:spacing w:after="100"/>
      <w:ind w:left="720"/>
    </w:pPr>
  </w:style>
  <w:style w:type="paragraph" w:styleId="TOC5">
    <w:name w:val="toc 5"/>
    <w:basedOn w:val="Normal"/>
    <w:next w:val="Normal"/>
    <w:autoRedefine/>
    <w:uiPriority w:val="39"/>
    <w:semiHidden/>
    <w:unhideWhenUsed/>
    <w:rsid w:val="00841CEF"/>
    <w:pPr>
      <w:spacing w:after="100"/>
      <w:ind w:left="960"/>
    </w:pPr>
  </w:style>
  <w:style w:type="paragraph" w:styleId="TOC6">
    <w:name w:val="toc 6"/>
    <w:basedOn w:val="Normal"/>
    <w:next w:val="Normal"/>
    <w:autoRedefine/>
    <w:uiPriority w:val="39"/>
    <w:semiHidden/>
    <w:unhideWhenUsed/>
    <w:rsid w:val="00841CEF"/>
    <w:pPr>
      <w:spacing w:after="100"/>
      <w:ind w:left="1200"/>
    </w:pPr>
  </w:style>
  <w:style w:type="paragraph" w:styleId="TOC7">
    <w:name w:val="toc 7"/>
    <w:basedOn w:val="Normal"/>
    <w:next w:val="Normal"/>
    <w:autoRedefine/>
    <w:uiPriority w:val="39"/>
    <w:semiHidden/>
    <w:unhideWhenUsed/>
    <w:rsid w:val="00841CEF"/>
    <w:pPr>
      <w:spacing w:after="100"/>
      <w:ind w:left="1440"/>
    </w:pPr>
  </w:style>
  <w:style w:type="paragraph" w:styleId="TOC8">
    <w:name w:val="toc 8"/>
    <w:basedOn w:val="Normal"/>
    <w:next w:val="Normal"/>
    <w:autoRedefine/>
    <w:uiPriority w:val="39"/>
    <w:semiHidden/>
    <w:unhideWhenUsed/>
    <w:rsid w:val="00841CEF"/>
    <w:pPr>
      <w:spacing w:after="100"/>
      <w:ind w:left="1680"/>
    </w:pPr>
  </w:style>
  <w:style w:type="paragraph" w:styleId="TOC9">
    <w:name w:val="toc 9"/>
    <w:basedOn w:val="Normal"/>
    <w:next w:val="Normal"/>
    <w:autoRedefine/>
    <w:uiPriority w:val="39"/>
    <w:semiHidden/>
    <w:unhideWhenUsed/>
    <w:rsid w:val="00841CEF"/>
    <w:pPr>
      <w:spacing w:after="100"/>
      <w:ind w:left="1920"/>
    </w:pPr>
  </w:style>
  <w:style w:type="paragraph" w:styleId="TOCHeading">
    <w:name w:val="TOC Heading"/>
    <w:basedOn w:val="Heading1"/>
    <w:next w:val="Normal"/>
    <w:uiPriority w:val="39"/>
    <w:semiHidden/>
    <w:unhideWhenUsed/>
    <w:qFormat/>
    <w:rsid w:val="00841CEF"/>
    <w:pPr>
      <w:outlineLvl w:val="9"/>
    </w:pPr>
  </w:style>
  <w:style w:type="character" w:customStyle="1" w:styleId="AIAAgreementBodyTextChar1">
    <w:name w:val="AIA Agreement Body Text Char1"/>
    <w:link w:val="AIAAgreementBodyText"/>
    <w:locked/>
    <w:rsid w:val="00E12821"/>
    <w:rPr>
      <w:rFonts w:ascii="Times New Roman" w:eastAsiaTheme="minorEastAsia" w:hAnsi="Times New Roman" w:cs="Times New Roman"/>
      <w:sz w:val="20"/>
      <w:szCs w:val="20"/>
    </w:rPr>
  </w:style>
  <w:style w:type="table" w:customStyle="1" w:styleId="TableGrid1">
    <w:name w:val="Table Grid1"/>
    <w:basedOn w:val="TableNormal"/>
    <w:next w:val="TableGrid"/>
    <w:rsid w:val="007D27C7"/>
    <w:pPr>
      <w:spacing w:after="0" w:line="240" w:lineRule="auto"/>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22097">
      <w:bodyDiv w:val="1"/>
      <w:marLeft w:val="0"/>
      <w:marRight w:val="0"/>
      <w:marTop w:val="0"/>
      <w:marBottom w:val="0"/>
      <w:divBdr>
        <w:top w:val="none" w:sz="0" w:space="0" w:color="auto"/>
        <w:left w:val="none" w:sz="0" w:space="0" w:color="auto"/>
        <w:bottom w:val="none" w:sz="0" w:space="0" w:color="auto"/>
        <w:right w:val="none" w:sz="0" w:space="0" w:color="auto"/>
      </w:divBdr>
    </w:div>
    <w:div w:id="111027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1628</Words>
  <Characters>11811</Characters>
  <Application>Microsoft Office Word</Application>
  <DocSecurity>0</DocSecurity>
  <Lines>513</Lines>
  <Paragraphs>559</Paragraphs>
  <ScaleCrop>false</ScaleCrop>
  <HeadingPairs>
    <vt:vector size="2" baseType="variant">
      <vt:variant>
        <vt:lpstr>Title</vt:lpstr>
      </vt:variant>
      <vt:variant>
        <vt:i4>1</vt:i4>
      </vt:variant>
    </vt:vector>
  </HeadingPairs>
  <TitlesOfParts>
    <vt:vector size="1" baseType="lpstr">
      <vt:lpstr/>
    </vt:vector>
  </TitlesOfParts>
  <Company>Becker</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Groover, Claramargaret</dc:creator>
  <cp:keywords/>
  <dc:description/>
  <cp:lastModifiedBy>Groover, Claramargaret</cp:lastModifiedBy>
  <cp:revision>2</cp:revision>
  <cp:lastPrinted>2021-07-12T14:58:00Z</cp:lastPrinted>
  <dcterms:created xsi:type="dcterms:W3CDTF">2021-07-12T14:58:00Z</dcterms:created>
  <dcterms:modified xsi:type="dcterms:W3CDTF">2021-07-12T14:58:00Z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15405441v.1</vt:lpwstr>
  </property>
  <property fmtid="{D5CDD505-2E9C-101B-9397-08002B2CF9AE}" pid="3" name="_AdHocReviewCycleID">
    <vt:i4>1785833440</vt:i4>
  </property>
  <property fmtid="{D5CDD505-2E9C-101B-9397-08002B2CF9AE}" pid="4" name="_NewReviewCycle">
    <vt:lpwstr/>
  </property>
  <property fmtid="{D5CDD505-2E9C-101B-9397-08002B2CF9AE}" pid="5" name="_EmailSubject">
    <vt:lpwstr>FCLC - Construction Transactions Subcommittee</vt:lpwstr>
  </property>
  <property fmtid="{D5CDD505-2E9C-101B-9397-08002B2CF9AE}" pid="6" name="_AuthorEmail">
    <vt:lpwstr>CGroover@beckerlawyers.com</vt:lpwstr>
  </property>
  <property fmtid="{D5CDD505-2E9C-101B-9397-08002B2CF9AE}" pid="7" name="_AuthorEmailDisplayName">
    <vt:lpwstr>Groover, Claramargaret</vt:lpwstr>
  </property>
</Properties>
</file>