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D1A" w:rsidRDefault="00621EB0">
      <w:pPr>
        <w:jc w:val="center"/>
        <w:rPr>
          <w:rFonts w:ascii="Times New Roman" w:hAnsi="Times New Roman" w:cs="Times New Roman"/>
          <w:b/>
          <w:sz w:val="24"/>
        </w:rPr>
      </w:pPr>
      <w:r>
        <w:rPr>
          <w:rFonts w:ascii="Times New Roman" w:hAnsi="Times New Roman" w:cs="Times New Roman"/>
          <w:b/>
          <w:sz w:val="24"/>
        </w:rPr>
        <w:t>WHITE PAPER</w:t>
      </w:r>
    </w:p>
    <w:p w:rsidR="00084D1A" w:rsidRDefault="00621EB0">
      <w:pPr>
        <w:jc w:val="center"/>
        <w:rPr>
          <w:rFonts w:ascii="Times New Roman" w:hAnsi="Times New Roman" w:cs="Times New Roman"/>
          <w:i/>
          <w:sz w:val="24"/>
        </w:rPr>
      </w:pPr>
      <w:r>
        <w:rPr>
          <w:rFonts w:ascii="Times New Roman" w:hAnsi="Times New Roman" w:cs="Times New Roman"/>
          <w:i/>
          <w:sz w:val="24"/>
        </w:rPr>
        <w:t>Proposed Legislative Bill for 202</w:t>
      </w:r>
      <w:r w:rsidR="00D0311B">
        <w:rPr>
          <w:rFonts w:ascii="Times New Roman" w:hAnsi="Times New Roman" w:cs="Times New Roman"/>
          <w:i/>
          <w:sz w:val="24"/>
        </w:rPr>
        <w:t>1</w:t>
      </w:r>
      <w:r>
        <w:rPr>
          <w:rFonts w:ascii="Times New Roman" w:hAnsi="Times New Roman" w:cs="Times New Roman"/>
          <w:i/>
          <w:sz w:val="24"/>
        </w:rPr>
        <w:t xml:space="preserve"> Legislative Session Addressing Changes in Florida’s Construction Lien and Bond Laws</w:t>
      </w:r>
    </w:p>
    <w:p w:rsidR="00084D1A" w:rsidRDefault="00621EB0">
      <w:pPr>
        <w:pStyle w:val="ListParagraph"/>
        <w:numPr>
          <w:ilvl w:val="0"/>
          <w:numId w:val="1"/>
        </w:numPr>
        <w:jc w:val="both"/>
        <w:rPr>
          <w:rFonts w:ascii="Times New Roman" w:hAnsi="Times New Roman" w:cs="Times New Roman"/>
          <w:b/>
          <w:sz w:val="24"/>
        </w:rPr>
      </w:pPr>
      <w:r>
        <w:rPr>
          <w:rFonts w:ascii="Times New Roman" w:hAnsi="Times New Roman" w:cs="Times New Roman"/>
          <w:b/>
          <w:sz w:val="24"/>
        </w:rPr>
        <w:t>SUMMARY</w:t>
      </w:r>
    </w:p>
    <w:p w:rsidR="00084D1A" w:rsidRDefault="00621EB0">
      <w:pPr>
        <w:ind w:firstLine="720"/>
        <w:jc w:val="both"/>
        <w:rPr>
          <w:rFonts w:ascii="Times New Roman" w:hAnsi="Times New Roman" w:cs="Times New Roman"/>
          <w:sz w:val="24"/>
        </w:rPr>
      </w:pPr>
      <w:r>
        <w:rPr>
          <w:rFonts w:ascii="Times New Roman" w:hAnsi="Times New Roman" w:cs="Times New Roman"/>
          <w:sz w:val="24"/>
        </w:rPr>
        <w:t>The Construction Law Committee requests the approval of the RPPTL Executive Council of the Committee’s Proposed Lien and Bond Law as having the Section’s support and access to the Section’s lobbyist to advance the bill during the 202</w:t>
      </w:r>
      <w:r w:rsidR="00D0311B">
        <w:rPr>
          <w:rFonts w:ascii="Times New Roman" w:hAnsi="Times New Roman" w:cs="Times New Roman"/>
          <w:sz w:val="24"/>
        </w:rPr>
        <w:t>1</w:t>
      </w:r>
      <w:r>
        <w:rPr>
          <w:rFonts w:ascii="Times New Roman" w:hAnsi="Times New Roman" w:cs="Times New Roman"/>
          <w:sz w:val="24"/>
        </w:rPr>
        <w:t xml:space="preserve"> Legislative Session.  The proposed legislation to the RPPTL addresses some ambiguities</w:t>
      </w:r>
      <w:r w:rsidR="00C8011F">
        <w:rPr>
          <w:rFonts w:ascii="Times New Roman" w:hAnsi="Times New Roman" w:cs="Times New Roman"/>
          <w:sz w:val="24"/>
        </w:rPr>
        <w:t xml:space="preserve"> and gaps in the current law, including issues with recording that have arisen as a result of the Covid-19 pandemic</w:t>
      </w:r>
      <w:r>
        <w:rPr>
          <w:rFonts w:ascii="Times New Roman" w:hAnsi="Times New Roman" w:cs="Times New Roman"/>
          <w:sz w:val="24"/>
        </w:rPr>
        <w:t xml:space="preserve">.  </w:t>
      </w:r>
    </w:p>
    <w:p w:rsidR="00084D1A" w:rsidRDefault="00621EB0">
      <w:pPr>
        <w:pStyle w:val="ListParagraph"/>
        <w:numPr>
          <w:ilvl w:val="0"/>
          <w:numId w:val="1"/>
        </w:numPr>
        <w:jc w:val="both"/>
        <w:rPr>
          <w:rFonts w:ascii="Times New Roman" w:hAnsi="Times New Roman" w:cs="Times New Roman"/>
          <w:b/>
          <w:sz w:val="24"/>
        </w:rPr>
      </w:pPr>
      <w:r>
        <w:rPr>
          <w:rFonts w:ascii="Times New Roman" w:hAnsi="Times New Roman" w:cs="Times New Roman"/>
          <w:b/>
          <w:sz w:val="24"/>
        </w:rPr>
        <w:t>CURRENT SITUATION AND EFFECTS OF PROPOSED LEGISLATION</w:t>
      </w:r>
    </w:p>
    <w:p w:rsidR="00084D1A" w:rsidRDefault="00621EB0">
      <w:pPr>
        <w:ind w:firstLine="720"/>
        <w:jc w:val="both"/>
        <w:rPr>
          <w:rFonts w:ascii="Times New Roman" w:hAnsi="Times New Roman" w:cs="Times New Roman"/>
          <w:b/>
          <w:sz w:val="24"/>
        </w:rPr>
      </w:pPr>
      <w:r>
        <w:rPr>
          <w:rFonts w:ascii="Times New Roman" w:hAnsi="Times New Roman" w:cs="Times New Roman"/>
          <w:b/>
          <w:sz w:val="24"/>
        </w:rPr>
        <w:t>Section 713.01, Florida</w:t>
      </w:r>
      <w:r>
        <w:rPr>
          <w:rFonts w:ascii="Times New Roman" w:hAnsi="Times New Roman" w:cs="Times New Roman"/>
          <w:b/>
          <w:i/>
          <w:sz w:val="24"/>
        </w:rPr>
        <w:t xml:space="preserve"> </w:t>
      </w:r>
      <w:r>
        <w:rPr>
          <w:rFonts w:ascii="Times New Roman" w:hAnsi="Times New Roman" w:cs="Times New Roman"/>
          <w:b/>
          <w:sz w:val="24"/>
        </w:rPr>
        <w:t>Statutes:</w:t>
      </w:r>
    </w:p>
    <w:p w:rsidR="00C8011F" w:rsidRDefault="00C8011F">
      <w:pPr>
        <w:ind w:firstLine="720"/>
        <w:jc w:val="both"/>
        <w:rPr>
          <w:rFonts w:ascii="Times New Roman" w:hAnsi="Times New Roman" w:cs="Times New Roman"/>
          <w:sz w:val="24"/>
        </w:rPr>
      </w:pPr>
      <w:r>
        <w:rPr>
          <w:rFonts w:ascii="Times New Roman" w:hAnsi="Times New Roman" w:cs="Times New Roman"/>
          <w:sz w:val="24"/>
        </w:rPr>
        <w:t>The proposed bill makes two changes to § 713.01.</w:t>
      </w:r>
    </w:p>
    <w:p w:rsidR="00C8011F" w:rsidRDefault="00C8011F">
      <w:pPr>
        <w:ind w:firstLine="720"/>
        <w:jc w:val="both"/>
        <w:rPr>
          <w:rFonts w:ascii="Times New Roman" w:hAnsi="Times New Roman" w:cs="Times New Roman"/>
          <w:sz w:val="24"/>
        </w:rPr>
      </w:pPr>
      <w:r>
        <w:rPr>
          <w:rFonts w:ascii="Times New Roman" w:hAnsi="Times New Roman" w:cs="Times New Roman"/>
          <w:sz w:val="24"/>
        </w:rPr>
        <w:t xml:space="preserve">First, the current definition of “Clerk’s office” defines it as “the office of the clerk of the circuit court of the county” where the real property is located.  However, several counties </w:t>
      </w:r>
      <w:r w:rsidR="003C06AF">
        <w:rPr>
          <w:rFonts w:ascii="Times New Roman" w:hAnsi="Times New Roman" w:cs="Times New Roman"/>
          <w:sz w:val="24"/>
        </w:rPr>
        <w:t xml:space="preserve">have delegated the public record recording function (referred to as the “county recorder”) </w:t>
      </w:r>
      <w:r>
        <w:rPr>
          <w:rFonts w:ascii="Times New Roman" w:hAnsi="Times New Roman" w:cs="Times New Roman"/>
          <w:sz w:val="24"/>
        </w:rPr>
        <w:t xml:space="preserve">to an office other than the clerk of the circuit court.  For example, in Orange County, the Office of the Comptroller serves as </w:t>
      </w:r>
      <w:r w:rsidR="003F20C0">
        <w:rPr>
          <w:rFonts w:ascii="Times New Roman" w:hAnsi="Times New Roman" w:cs="Times New Roman"/>
          <w:sz w:val="24"/>
        </w:rPr>
        <w:t>c</w:t>
      </w:r>
      <w:r>
        <w:rPr>
          <w:rFonts w:ascii="Times New Roman" w:hAnsi="Times New Roman" w:cs="Times New Roman"/>
          <w:sz w:val="24"/>
        </w:rPr>
        <w:t xml:space="preserve">ounty </w:t>
      </w:r>
      <w:r w:rsidR="003F20C0">
        <w:rPr>
          <w:rFonts w:ascii="Times New Roman" w:hAnsi="Times New Roman" w:cs="Times New Roman"/>
          <w:sz w:val="24"/>
        </w:rPr>
        <w:t>r</w:t>
      </w:r>
      <w:r>
        <w:rPr>
          <w:rFonts w:ascii="Times New Roman" w:hAnsi="Times New Roman" w:cs="Times New Roman"/>
          <w:sz w:val="24"/>
        </w:rPr>
        <w:t>ecorde</w:t>
      </w:r>
      <w:r w:rsidR="003C06AF">
        <w:rPr>
          <w:rFonts w:ascii="Times New Roman" w:hAnsi="Times New Roman" w:cs="Times New Roman"/>
          <w:sz w:val="24"/>
        </w:rPr>
        <w:t>r</w:t>
      </w:r>
      <w:r>
        <w:rPr>
          <w:rFonts w:ascii="Times New Roman" w:hAnsi="Times New Roman" w:cs="Times New Roman"/>
          <w:sz w:val="24"/>
        </w:rPr>
        <w:t xml:space="preserve">.  This is expressly permitted under </w:t>
      </w:r>
      <w:r w:rsidRPr="009174DD">
        <w:rPr>
          <w:rFonts w:ascii="Times New Roman" w:hAnsi="Times New Roman" w:cs="Times New Roman"/>
          <w:sz w:val="24"/>
        </w:rPr>
        <w:t xml:space="preserve">Article 5, Section </w:t>
      </w:r>
      <w:r w:rsidR="00F8634D" w:rsidRPr="009174DD">
        <w:rPr>
          <w:rFonts w:ascii="Times New Roman" w:hAnsi="Times New Roman" w:cs="Times New Roman"/>
          <w:sz w:val="24"/>
        </w:rPr>
        <w:t>1</w:t>
      </w:r>
      <w:r w:rsidRPr="009174DD">
        <w:rPr>
          <w:rFonts w:ascii="Times New Roman" w:hAnsi="Times New Roman" w:cs="Times New Roman"/>
          <w:sz w:val="24"/>
        </w:rPr>
        <w:t>6</w:t>
      </w:r>
      <w:r>
        <w:rPr>
          <w:rFonts w:ascii="Times New Roman" w:hAnsi="Times New Roman" w:cs="Times New Roman"/>
          <w:sz w:val="24"/>
        </w:rPr>
        <w:t xml:space="preserve"> of the Florida Constitution.</w:t>
      </w:r>
      <w:r w:rsidR="00F8634D">
        <w:rPr>
          <w:rStyle w:val="FootnoteReference"/>
          <w:rFonts w:ascii="Times New Roman" w:hAnsi="Times New Roman" w:cs="Times New Roman"/>
          <w:sz w:val="24"/>
        </w:rPr>
        <w:footnoteReference w:id="1"/>
      </w:r>
      <w:r w:rsidR="00395576">
        <w:rPr>
          <w:rFonts w:ascii="Times New Roman" w:hAnsi="Times New Roman" w:cs="Times New Roman"/>
          <w:sz w:val="24"/>
        </w:rPr>
        <w:t xml:space="preserve">  The proposed bill therefore expands the definition of “Clerk’s office” to include “or other office serving as county recorder as provided by law.”</w:t>
      </w:r>
    </w:p>
    <w:p w:rsidR="0021597C" w:rsidRDefault="0009438D">
      <w:pPr>
        <w:ind w:firstLine="720"/>
        <w:jc w:val="both"/>
        <w:rPr>
          <w:rFonts w:ascii="Times New Roman" w:hAnsi="Times New Roman" w:cs="Times New Roman"/>
          <w:sz w:val="24"/>
        </w:rPr>
      </w:pPr>
      <w:r>
        <w:rPr>
          <w:rFonts w:ascii="Times New Roman" w:hAnsi="Times New Roman" w:cs="Times New Roman"/>
          <w:sz w:val="24"/>
        </w:rPr>
        <w:t xml:space="preserve">Second, the current definition of “Final furnishing” defines that term for purposes of determining the date after which a lienor has 90 days to perfect its lien.  </w:t>
      </w:r>
      <w:r w:rsidR="000813DC">
        <w:rPr>
          <w:rFonts w:ascii="Times New Roman" w:hAnsi="Times New Roman" w:cs="Times New Roman"/>
          <w:i/>
          <w:sz w:val="24"/>
        </w:rPr>
        <w:t xml:space="preserve">See </w:t>
      </w:r>
      <w:r w:rsidR="000813DC">
        <w:rPr>
          <w:rFonts w:ascii="Times New Roman" w:hAnsi="Times New Roman" w:cs="Times New Roman"/>
          <w:sz w:val="24"/>
        </w:rPr>
        <w:t>F.S. § 713.01(12)</w:t>
      </w:r>
      <w:r w:rsidR="00DD01DF">
        <w:rPr>
          <w:rFonts w:ascii="Times New Roman" w:hAnsi="Times New Roman" w:cs="Times New Roman"/>
          <w:sz w:val="24"/>
        </w:rPr>
        <w:t xml:space="preserve"> (definition of “final furnishing”); F.S. § 713.08(5) (stating claim of lien must be recorded “not later than 90 days after the final furnishing of the labor or services or materials by the lienor.”)</w:t>
      </w:r>
      <w:r w:rsidR="000813DC">
        <w:rPr>
          <w:rFonts w:ascii="Times New Roman" w:hAnsi="Times New Roman" w:cs="Times New Roman"/>
          <w:sz w:val="24"/>
        </w:rPr>
        <w:t xml:space="preserve">.  </w:t>
      </w:r>
      <w:r>
        <w:rPr>
          <w:rFonts w:ascii="Times New Roman" w:hAnsi="Times New Roman" w:cs="Times New Roman"/>
          <w:sz w:val="24"/>
        </w:rPr>
        <w:t xml:space="preserve">In most cases, the current definition is sufficient because “labor, services, or materials” typically must be delivered to the site of the project, if not actually incorporated, in order </w:t>
      </w:r>
      <w:r w:rsidR="000813DC">
        <w:rPr>
          <w:rFonts w:ascii="Times New Roman" w:hAnsi="Times New Roman" w:cs="Times New Roman"/>
          <w:sz w:val="24"/>
        </w:rPr>
        <w:t xml:space="preserve">for their value to be included in a lien </w:t>
      </w:r>
      <w:r w:rsidR="00E5728F">
        <w:rPr>
          <w:rFonts w:ascii="Times New Roman" w:hAnsi="Times New Roman" w:cs="Times New Roman"/>
          <w:sz w:val="24"/>
        </w:rPr>
        <w:t xml:space="preserve">(or bond claim) </w:t>
      </w:r>
      <w:r w:rsidR="000813DC">
        <w:rPr>
          <w:rFonts w:ascii="Times New Roman" w:hAnsi="Times New Roman" w:cs="Times New Roman"/>
          <w:sz w:val="24"/>
        </w:rPr>
        <w:t xml:space="preserve">filed </w:t>
      </w:r>
      <w:r>
        <w:rPr>
          <w:rFonts w:ascii="Times New Roman" w:hAnsi="Times New Roman" w:cs="Times New Roman"/>
          <w:sz w:val="24"/>
        </w:rPr>
        <w:t xml:space="preserve">under Chapter 713.  However, </w:t>
      </w:r>
      <w:r w:rsidR="000813DC">
        <w:rPr>
          <w:rFonts w:ascii="Times New Roman" w:hAnsi="Times New Roman" w:cs="Times New Roman"/>
          <w:sz w:val="24"/>
        </w:rPr>
        <w:t xml:space="preserve">Chapter 713 permits liens for materials “specially fabricated” for the improvement without requiring that they be </w:t>
      </w:r>
      <w:r w:rsidR="00DD01DF">
        <w:rPr>
          <w:rFonts w:ascii="Times New Roman" w:hAnsi="Times New Roman" w:cs="Times New Roman"/>
          <w:sz w:val="24"/>
        </w:rPr>
        <w:t xml:space="preserve">delivered to or </w:t>
      </w:r>
      <w:r w:rsidR="000813DC">
        <w:rPr>
          <w:rFonts w:ascii="Times New Roman" w:hAnsi="Times New Roman" w:cs="Times New Roman"/>
          <w:sz w:val="24"/>
        </w:rPr>
        <w:t xml:space="preserve">incorporated into the improvement.  </w:t>
      </w:r>
      <w:r w:rsidR="000813DC">
        <w:rPr>
          <w:rFonts w:ascii="Times New Roman" w:hAnsi="Times New Roman" w:cs="Times New Roman"/>
          <w:i/>
          <w:sz w:val="24"/>
        </w:rPr>
        <w:t xml:space="preserve">See </w:t>
      </w:r>
      <w:r w:rsidR="000813DC">
        <w:rPr>
          <w:rFonts w:ascii="Times New Roman" w:hAnsi="Times New Roman" w:cs="Times New Roman"/>
          <w:sz w:val="24"/>
        </w:rPr>
        <w:t>F.S. § 713.01(13)</w:t>
      </w:r>
      <w:r w:rsidR="00DD01DF">
        <w:rPr>
          <w:rFonts w:ascii="Times New Roman" w:hAnsi="Times New Roman" w:cs="Times New Roman"/>
          <w:sz w:val="24"/>
        </w:rPr>
        <w:t xml:space="preserve"> (including in definition of lienable materials “specially fabricated materials for incorporation in the improvement”); F.S. § 713.01</w:t>
      </w:r>
      <w:r w:rsidR="009174DD">
        <w:rPr>
          <w:rFonts w:ascii="Times New Roman" w:hAnsi="Times New Roman" w:cs="Times New Roman"/>
          <w:sz w:val="24"/>
        </w:rPr>
        <w:t>(20) (including in definition of “materialman” one who furnishes specially fabricated materials “off the site of the improvement for the particular improvement”)</w:t>
      </w:r>
      <w:r w:rsidR="000813DC">
        <w:rPr>
          <w:rFonts w:ascii="Times New Roman" w:hAnsi="Times New Roman" w:cs="Times New Roman"/>
          <w:sz w:val="24"/>
        </w:rPr>
        <w:t xml:space="preserve">.  Yet the definition of “final furnishing” does not address </w:t>
      </w:r>
      <w:r w:rsidR="006343CC">
        <w:rPr>
          <w:rFonts w:ascii="Times New Roman" w:hAnsi="Times New Roman" w:cs="Times New Roman"/>
          <w:sz w:val="24"/>
        </w:rPr>
        <w:t xml:space="preserve">when such </w:t>
      </w:r>
      <w:r w:rsidR="00DD01DF">
        <w:rPr>
          <w:rFonts w:ascii="Times New Roman" w:hAnsi="Times New Roman" w:cs="Times New Roman"/>
          <w:sz w:val="24"/>
        </w:rPr>
        <w:t xml:space="preserve">materials are considered to be finally furnished when the materials are never delivered to the jobsite due to a termination of the project by the owner or the contractor.  In such a case, it is clear that “specially fabricated materials” are properly lienable, but it is not clear when the </w:t>
      </w:r>
      <w:r w:rsidR="0021597C">
        <w:rPr>
          <w:rFonts w:ascii="Times New Roman" w:hAnsi="Times New Roman" w:cs="Times New Roman"/>
          <w:sz w:val="24"/>
        </w:rPr>
        <w:t xml:space="preserve">90-day </w:t>
      </w:r>
      <w:r w:rsidR="00DD01DF">
        <w:rPr>
          <w:rFonts w:ascii="Times New Roman" w:hAnsi="Times New Roman" w:cs="Times New Roman"/>
          <w:sz w:val="24"/>
        </w:rPr>
        <w:t xml:space="preserve">deadline </w:t>
      </w:r>
      <w:r w:rsidR="0021597C">
        <w:rPr>
          <w:rFonts w:ascii="Times New Roman" w:hAnsi="Times New Roman" w:cs="Times New Roman"/>
          <w:sz w:val="24"/>
        </w:rPr>
        <w:t xml:space="preserve">for filing a lien for such materials starts since there are many possible </w:t>
      </w:r>
      <w:r w:rsidR="0021597C">
        <w:rPr>
          <w:rFonts w:ascii="Times New Roman" w:hAnsi="Times New Roman" w:cs="Times New Roman"/>
          <w:sz w:val="24"/>
        </w:rPr>
        <w:lastRenderedPageBreak/>
        <w:t>dates for when the lienor “last furnishes” specially fabricated materials in this situation.  For example, would the “last date” be the date the special fabricator completes the fabrication?  But what about for the special fabricator’s customer, who is also a lienor?  Would it be the same date, or the date the special fabricator’s customer takes delivery?  The statute is unclear.</w:t>
      </w:r>
    </w:p>
    <w:p w:rsidR="00084D1A" w:rsidRDefault="0021597C">
      <w:pPr>
        <w:ind w:firstLine="720"/>
        <w:jc w:val="both"/>
        <w:rPr>
          <w:rFonts w:ascii="Times New Roman" w:hAnsi="Times New Roman" w:cs="Times New Roman"/>
          <w:sz w:val="24"/>
        </w:rPr>
      </w:pPr>
      <w:r>
        <w:rPr>
          <w:rFonts w:ascii="Times New Roman" w:hAnsi="Times New Roman" w:cs="Times New Roman"/>
          <w:sz w:val="24"/>
        </w:rPr>
        <w:t>The proposed bill adds</w:t>
      </w:r>
      <w:r w:rsidR="002E5D13">
        <w:rPr>
          <w:rFonts w:ascii="Times New Roman" w:hAnsi="Times New Roman" w:cs="Times New Roman"/>
          <w:sz w:val="24"/>
        </w:rPr>
        <w:t xml:space="preserve"> to the definition of “final furnishing” to clarify that:  (1) if specially fabricated materials are delivered to the site of the improvement, then “final furnishing” means the date on which the last portion of the specially fabricated materials is delivered; (2) if any portion of the specially fabricated materials is not delivered to the site of the improvement through no fault of the lienor, then the lienor who has otherwise complied with the requirements to perfect lien or bond rights </w:t>
      </w:r>
      <w:r w:rsidR="00DF2524">
        <w:rPr>
          <w:rFonts w:ascii="Times New Roman" w:hAnsi="Times New Roman" w:cs="Times New Roman"/>
          <w:sz w:val="24"/>
        </w:rPr>
        <w:t xml:space="preserve">may record a lien or serve a notice of non-payment by the </w:t>
      </w:r>
      <w:r w:rsidR="00DF2524" w:rsidRPr="00DF2524">
        <w:rPr>
          <w:rFonts w:ascii="Times New Roman" w:hAnsi="Times New Roman" w:cs="Times New Roman"/>
          <w:i/>
          <w:sz w:val="24"/>
        </w:rPr>
        <w:t>later</w:t>
      </w:r>
      <w:r w:rsidR="00DF2524">
        <w:rPr>
          <w:rFonts w:ascii="Times New Roman" w:hAnsi="Times New Roman" w:cs="Times New Roman"/>
          <w:sz w:val="24"/>
        </w:rPr>
        <w:t xml:space="preserve"> of 90 days from the last day of delivery of specially fabricated materials </w:t>
      </w:r>
      <w:r w:rsidR="00DF2524">
        <w:rPr>
          <w:rFonts w:ascii="Times New Roman" w:hAnsi="Times New Roman" w:cs="Times New Roman"/>
          <w:i/>
          <w:sz w:val="24"/>
        </w:rPr>
        <w:t xml:space="preserve">or </w:t>
      </w:r>
      <w:r w:rsidR="00DF2524">
        <w:rPr>
          <w:rFonts w:ascii="Times New Roman" w:hAnsi="Times New Roman" w:cs="Times New Roman"/>
          <w:sz w:val="24"/>
        </w:rPr>
        <w:t>180 days from the date of completion of fabrication of materials that were not delivered to the jobsite.</w:t>
      </w:r>
      <w:r w:rsidR="00FC5150">
        <w:rPr>
          <w:rFonts w:ascii="Times New Roman" w:hAnsi="Times New Roman" w:cs="Times New Roman"/>
          <w:sz w:val="24"/>
        </w:rPr>
        <w:t xml:space="preserve">  However, if the lienor’s scope of work also includes labor at the site of the improvement, the date of final furnishing is the later of the new standard created by this amendment or the date of last furnishing of labor.</w:t>
      </w:r>
    </w:p>
    <w:p w:rsidR="00974E40" w:rsidRPr="00DF2524" w:rsidRDefault="00974E40">
      <w:pPr>
        <w:ind w:firstLine="720"/>
        <w:jc w:val="both"/>
        <w:rPr>
          <w:rFonts w:ascii="Times New Roman" w:hAnsi="Times New Roman" w:cs="Times New Roman"/>
          <w:sz w:val="24"/>
        </w:rPr>
      </w:pPr>
      <w:r>
        <w:rPr>
          <w:rFonts w:ascii="Times New Roman" w:hAnsi="Times New Roman" w:cs="Times New Roman"/>
          <w:sz w:val="24"/>
        </w:rPr>
        <w:t>The proposed bill would add conforming amendments to F.S. §§ 713.08, 713.23, 255.05 and 337.18</w:t>
      </w:r>
      <w:r w:rsidR="00422C71">
        <w:rPr>
          <w:rFonts w:ascii="Times New Roman" w:hAnsi="Times New Roman" w:cs="Times New Roman"/>
          <w:sz w:val="24"/>
        </w:rPr>
        <w:t>.</w:t>
      </w:r>
    </w:p>
    <w:p w:rsidR="00084D1A" w:rsidRDefault="00614390">
      <w:pPr>
        <w:ind w:firstLine="720"/>
        <w:jc w:val="both"/>
        <w:rPr>
          <w:rFonts w:ascii="Times New Roman" w:hAnsi="Times New Roman" w:cs="Times New Roman"/>
          <w:b/>
          <w:sz w:val="24"/>
        </w:rPr>
      </w:pPr>
      <w:r>
        <w:rPr>
          <w:rFonts w:ascii="Times New Roman" w:hAnsi="Times New Roman" w:cs="Times New Roman"/>
          <w:b/>
          <w:sz w:val="24"/>
        </w:rPr>
        <w:t xml:space="preserve">New </w:t>
      </w:r>
      <w:r w:rsidR="00621EB0">
        <w:rPr>
          <w:rFonts w:ascii="Times New Roman" w:hAnsi="Times New Roman" w:cs="Times New Roman"/>
          <w:b/>
          <w:sz w:val="24"/>
        </w:rPr>
        <w:t>Section 713.</w:t>
      </w:r>
      <w:r>
        <w:rPr>
          <w:rFonts w:ascii="Times New Roman" w:hAnsi="Times New Roman" w:cs="Times New Roman"/>
          <w:b/>
          <w:sz w:val="24"/>
        </w:rPr>
        <w:t>011</w:t>
      </w:r>
      <w:r w:rsidR="00621EB0">
        <w:rPr>
          <w:rFonts w:ascii="Times New Roman" w:hAnsi="Times New Roman" w:cs="Times New Roman"/>
          <w:b/>
          <w:sz w:val="24"/>
        </w:rPr>
        <w:t>, Florida Statutes:</w:t>
      </w:r>
    </w:p>
    <w:p w:rsidR="00084D1A" w:rsidRDefault="00614390">
      <w:pPr>
        <w:ind w:firstLine="720"/>
        <w:jc w:val="both"/>
        <w:rPr>
          <w:rFonts w:ascii="Times New Roman" w:hAnsi="Times New Roman" w:cs="Times New Roman"/>
          <w:sz w:val="24"/>
        </w:rPr>
      </w:pPr>
      <w:r>
        <w:rPr>
          <w:rFonts w:ascii="Times New Roman" w:hAnsi="Times New Roman" w:cs="Times New Roman"/>
          <w:sz w:val="24"/>
        </w:rPr>
        <w:t xml:space="preserve">Chapter 713 contains numerous deadlines for taking certain action, including serving notices, recording claims of lien and filing an action to enforce a lien, among others.  Currently, there is no provision in Chapter 713 for what happens when the last day of the defined period falls during a Saturday, Sunday or legal holiday.  Through case law, the courts have determined that the deadline for serving </w:t>
      </w:r>
      <w:r w:rsidR="00D64C06">
        <w:rPr>
          <w:rFonts w:ascii="Times New Roman" w:hAnsi="Times New Roman" w:cs="Times New Roman"/>
          <w:sz w:val="24"/>
        </w:rPr>
        <w:t xml:space="preserve">a notice to owner and the deadline for filing an action to enforce the lien may be extended under Rule 1.090, Florida Rules of Civil Procedure, which formerly provided for a period </w:t>
      </w:r>
      <w:r w:rsidR="00E5728F">
        <w:rPr>
          <w:rFonts w:ascii="Times New Roman" w:hAnsi="Times New Roman" w:cs="Times New Roman"/>
          <w:sz w:val="24"/>
        </w:rPr>
        <w:t xml:space="preserve">ending </w:t>
      </w:r>
      <w:r w:rsidR="00D64C06">
        <w:rPr>
          <w:rFonts w:ascii="Times New Roman" w:hAnsi="Times New Roman" w:cs="Times New Roman"/>
          <w:sz w:val="24"/>
        </w:rPr>
        <w:t xml:space="preserve">on a Saturday, Sunday or legal holiday to continue running until the next day that was not a Saturday, Sunday or legal holiday.  </w:t>
      </w:r>
      <w:r w:rsidR="00D64C06">
        <w:rPr>
          <w:rFonts w:ascii="Times New Roman" w:hAnsi="Times New Roman" w:cs="Times New Roman"/>
          <w:i/>
          <w:sz w:val="24"/>
        </w:rPr>
        <w:t xml:space="preserve">See Rite Way Painting &amp; Plastering, Inc. v. Tetor, </w:t>
      </w:r>
      <w:r w:rsidR="00D64C06">
        <w:rPr>
          <w:rFonts w:ascii="Times New Roman" w:hAnsi="Times New Roman" w:cs="Times New Roman"/>
          <w:sz w:val="24"/>
        </w:rPr>
        <w:t xml:space="preserve">582 So.2d 15, 17 (Fla. 2d DCA 1991) (notice to owner); </w:t>
      </w:r>
      <w:r w:rsidR="00D64C06">
        <w:rPr>
          <w:rFonts w:ascii="Times New Roman" w:hAnsi="Times New Roman" w:cs="Times New Roman"/>
          <w:i/>
          <w:sz w:val="24"/>
        </w:rPr>
        <w:t xml:space="preserve">Lehmann Dev. Corp. v. Nirenblatt, </w:t>
      </w:r>
      <w:r w:rsidR="00D64C06">
        <w:rPr>
          <w:rFonts w:ascii="Times New Roman" w:hAnsi="Times New Roman" w:cs="Times New Roman"/>
          <w:sz w:val="24"/>
        </w:rPr>
        <w:t xml:space="preserve">629 So.2d </w:t>
      </w:r>
      <w:r w:rsidR="00BC2EFB">
        <w:rPr>
          <w:rFonts w:ascii="Times New Roman" w:hAnsi="Times New Roman" w:cs="Times New Roman"/>
          <w:sz w:val="24"/>
        </w:rPr>
        <w:t>1098, 1099 (Fla. 2d DCA 1994) (time to file action to enforce lien).</w:t>
      </w:r>
    </w:p>
    <w:p w:rsidR="00BC2EFB" w:rsidRPr="00BC2EFB" w:rsidRDefault="00BC2EFB">
      <w:pPr>
        <w:ind w:firstLine="720"/>
        <w:jc w:val="both"/>
        <w:rPr>
          <w:rFonts w:ascii="Times New Roman" w:hAnsi="Times New Roman" w:cs="Times New Roman"/>
          <w:sz w:val="24"/>
        </w:rPr>
      </w:pPr>
      <w:r>
        <w:rPr>
          <w:rFonts w:ascii="Times New Roman" w:hAnsi="Times New Roman" w:cs="Times New Roman"/>
          <w:sz w:val="24"/>
        </w:rPr>
        <w:t xml:space="preserve">While the above holdings are helpful, they are not secure ground on which lienors may rely in the future.  First, there is no comparable authority for extending the deadline for recording a claim of lien.  Second, the </w:t>
      </w:r>
      <w:r>
        <w:rPr>
          <w:rFonts w:ascii="Times New Roman" w:hAnsi="Times New Roman" w:cs="Times New Roman"/>
          <w:i/>
          <w:sz w:val="24"/>
        </w:rPr>
        <w:t xml:space="preserve">Rite Way </w:t>
      </w:r>
      <w:r>
        <w:rPr>
          <w:rFonts w:ascii="Times New Roman" w:hAnsi="Times New Roman" w:cs="Times New Roman"/>
          <w:sz w:val="24"/>
        </w:rPr>
        <w:t xml:space="preserve">and </w:t>
      </w:r>
      <w:r>
        <w:rPr>
          <w:rFonts w:ascii="Times New Roman" w:hAnsi="Times New Roman" w:cs="Times New Roman"/>
          <w:i/>
          <w:sz w:val="24"/>
        </w:rPr>
        <w:t xml:space="preserve">Lehmann </w:t>
      </w:r>
      <w:r>
        <w:rPr>
          <w:rFonts w:ascii="Times New Roman" w:hAnsi="Times New Roman" w:cs="Times New Roman"/>
          <w:sz w:val="24"/>
        </w:rPr>
        <w:t xml:space="preserve">decisions cite a </w:t>
      </w:r>
      <w:r w:rsidR="00B35F0A">
        <w:rPr>
          <w:rFonts w:ascii="Times New Roman" w:hAnsi="Times New Roman" w:cs="Times New Roman"/>
          <w:sz w:val="24"/>
        </w:rPr>
        <w:t>rule that, in its current version,</w:t>
      </w:r>
      <w:r w:rsidR="00B35F0A">
        <w:rPr>
          <w:rStyle w:val="FootnoteReference"/>
          <w:rFonts w:ascii="Times New Roman" w:hAnsi="Times New Roman" w:cs="Times New Roman"/>
          <w:sz w:val="24"/>
        </w:rPr>
        <w:footnoteReference w:id="2"/>
      </w:r>
      <w:r w:rsidR="00B35F0A">
        <w:rPr>
          <w:rFonts w:ascii="Times New Roman" w:hAnsi="Times New Roman" w:cs="Times New Roman"/>
          <w:sz w:val="24"/>
        </w:rPr>
        <w:t xml:space="preserve"> purports to apply to time periods in “any statute”, </w:t>
      </w:r>
      <w:r w:rsidR="00A8223A">
        <w:rPr>
          <w:rFonts w:ascii="Times New Roman" w:hAnsi="Times New Roman" w:cs="Times New Roman"/>
          <w:sz w:val="24"/>
        </w:rPr>
        <w:t xml:space="preserve">but </w:t>
      </w:r>
      <w:r w:rsidR="00B35F0A">
        <w:rPr>
          <w:rFonts w:ascii="Times New Roman" w:hAnsi="Times New Roman" w:cs="Times New Roman"/>
          <w:sz w:val="24"/>
        </w:rPr>
        <w:t xml:space="preserve">this </w:t>
      </w:r>
      <w:r w:rsidR="0043488E">
        <w:rPr>
          <w:rFonts w:ascii="Times New Roman" w:hAnsi="Times New Roman" w:cs="Times New Roman"/>
          <w:sz w:val="24"/>
        </w:rPr>
        <w:t xml:space="preserve">may </w:t>
      </w:r>
      <w:r w:rsidR="00B35F0A">
        <w:rPr>
          <w:rFonts w:ascii="Times New Roman" w:hAnsi="Times New Roman" w:cs="Times New Roman"/>
          <w:sz w:val="24"/>
        </w:rPr>
        <w:t xml:space="preserve">raise a constitutional issue concerning the authority of the judicial branch to enact rules that </w:t>
      </w:r>
      <w:r w:rsidR="00E5728F">
        <w:rPr>
          <w:rFonts w:ascii="Times New Roman" w:hAnsi="Times New Roman" w:cs="Times New Roman"/>
          <w:sz w:val="24"/>
        </w:rPr>
        <w:t>argu</w:t>
      </w:r>
      <w:r w:rsidR="0043488E">
        <w:rPr>
          <w:rFonts w:ascii="Times New Roman" w:hAnsi="Times New Roman" w:cs="Times New Roman"/>
          <w:sz w:val="24"/>
        </w:rPr>
        <w:t>ably</w:t>
      </w:r>
      <w:r w:rsidR="00E5728F">
        <w:rPr>
          <w:rFonts w:ascii="Times New Roman" w:hAnsi="Times New Roman" w:cs="Times New Roman"/>
          <w:sz w:val="24"/>
        </w:rPr>
        <w:t xml:space="preserve"> </w:t>
      </w:r>
      <w:r w:rsidR="00B35F0A">
        <w:rPr>
          <w:rFonts w:ascii="Times New Roman" w:hAnsi="Times New Roman" w:cs="Times New Roman"/>
          <w:sz w:val="24"/>
        </w:rPr>
        <w:t xml:space="preserve">have a substantive effect on the application of Chapter 713.  Among other things, Section 713.37 provides that </w:t>
      </w:r>
      <w:r w:rsidR="00A8223A">
        <w:rPr>
          <w:rFonts w:ascii="Times New Roman" w:hAnsi="Times New Roman" w:cs="Times New Roman"/>
          <w:sz w:val="24"/>
        </w:rPr>
        <w:t>p</w:t>
      </w:r>
      <w:r w:rsidR="00B35F0A">
        <w:rPr>
          <w:rFonts w:ascii="Times New Roman" w:hAnsi="Times New Roman" w:cs="Times New Roman"/>
          <w:sz w:val="24"/>
        </w:rPr>
        <w:t xml:space="preserve">art I of Chapter 713 “shall not be subject to a rule of liberal construction in favor of any person to whom it applies.”  Thus, without amendment, lienors must rely upon a rule of judicial administration and case decisions of </w:t>
      </w:r>
      <w:r w:rsidR="007C6EDB">
        <w:rPr>
          <w:rFonts w:ascii="Times New Roman" w:hAnsi="Times New Roman" w:cs="Times New Roman"/>
          <w:sz w:val="24"/>
        </w:rPr>
        <w:t>uncertain provenance.</w:t>
      </w:r>
    </w:p>
    <w:p w:rsidR="00084D1A" w:rsidRDefault="007C6EDB">
      <w:pPr>
        <w:ind w:firstLine="720"/>
        <w:jc w:val="both"/>
        <w:rPr>
          <w:rFonts w:ascii="Times New Roman" w:hAnsi="Times New Roman" w:cs="Times New Roman"/>
          <w:sz w:val="24"/>
        </w:rPr>
      </w:pPr>
      <w:r>
        <w:rPr>
          <w:rFonts w:ascii="Times New Roman" w:hAnsi="Times New Roman" w:cs="Times New Roman"/>
          <w:sz w:val="24"/>
        </w:rPr>
        <w:lastRenderedPageBreak/>
        <w:t>An additional issue has arisen in light of the Covid-19 pandemic.  Across Florida, Clerk’s offices have closed due to the pandemic and the resulting executive orders of the Governor of Florida</w:t>
      </w:r>
      <w:r w:rsidR="004849CD">
        <w:rPr>
          <w:rFonts w:ascii="Times New Roman" w:hAnsi="Times New Roman" w:cs="Times New Roman"/>
          <w:sz w:val="24"/>
        </w:rPr>
        <w:t>, the Chief Judge of the Circuit Court</w:t>
      </w:r>
      <w:r>
        <w:rPr>
          <w:rFonts w:ascii="Times New Roman" w:hAnsi="Times New Roman" w:cs="Times New Roman"/>
          <w:sz w:val="24"/>
        </w:rPr>
        <w:t xml:space="preserve">, </w:t>
      </w:r>
      <w:r w:rsidR="0043488E">
        <w:rPr>
          <w:rFonts w:ascii="Times New Roman" w:hAnsi="Times New Roman" w:cs="Times New Roman"/>
          <w:sz w:val="24"/>
        </w:rPr>
        <w:t xml:space="preserve">or </w:t>
      </w:r>
      <w:r w:rsidR="004849CD">
        <w:rPr>
          <w:rFonts w:ascii="Times New Roman" w:hAnsi="Times New Roman" w:cs="Times New Roman"/>
          <w:sz w:val="24"/>
        </w:rPr>
        <w:t>of local governmental authorities</w:t>
      </w:r>
      <w:r>
        <w:rPr>
          <w:rFonts w:ascii="Times New Roman" w:hAnsi="Times New Roman" w:cs="Times New Roman"/>
          <w:sz w:val="24"/>
        </w:rPr>
        <w:t>.  Lienors attempting to record claims of lien who are approaching their 90</w:t>
      </w:r>
      <w:r w:rsidRPr="007C6EDB">
        <w:rPr>
          <w:rFonts w:ascii="Times New Roman" w:hAnsi="Times New Roman" w:cs="Times New Roman"/>
          <w:sz w:val="24"/>
          <w:vertAlign w:val="superscript"/>
        </w:rPr>
        <w:t>th</w:t>
      </w:r>
      <w:r>
        <w:rPr>
          <w:rFonts w:ascii="Times New Roman" w:hAnsi="Times New Roman" w:cs="Times New Roman"/>
          <w:sz w:val="24"/>
        </w:rPr>
        <w:t xml:space="preserve"> day to record typically will travel to the clerk’s office to record the claim of lien in person, to ensure it is timely recorded.  Clerk’s offices still receiv</w:t>
      </w:r>
      <w:r w:rsidR="0043488E">
        <w:rPr>
          <w:rFonts w:ascii="Times New Roman" w:hAnsi="Times New Roman" w:cs="Times New Roman"/>
          <w:sz w:val="24"/>
        </w:rPr>
        <w:t>e</w:t>
      </w:r>
      <w:r>
        <w:rPr>
          <w:rFonts w:ascii="Times New Roman" w:hAnsi="Times New Roman" w:cs="Times New Roman"/>
          <w:sz w:val="24"/>
        </w:rPr>
        <w:t xml:space="preserve"> mail and some accept electronic transmission of instruments for recording.  However, neither of these methods provide assurance to lienors that their claims of lien will be timely recorded.  </w:t>
      </w:r>
      <w:r w:rsidR="0043488E">
        <w:rPr>
          <w:rFonts w:ascii="Times New Roman" w:hAnsi="Times New Roman" w:cs="Times New Roman"/>
          <w:sz w:val="24"/>
        </w:rPr>
        <w:t>Often</w:t>
      </w:r>
      <w:r>
        <w:rPr>
          <w:rFonts w:ascii="Times New Roman" w:hAnsi="Times New Roman" w:cs="Times New Roman"/>
          <w:sz w:val="24"/>
        </w:rPr>
        <w:t xml:space="preserve">, even in the best of times, many clerk’s offices run several days behind in recording </w:t>
      </w:r>
      <w:r w:rsidR="0043488E">
        <w:rPr>
          <w:rFonts w:ascii="Times New Roman" w:hAnsi="Times New Roman" w:cs="Times New Roman"/>
          <w:sz w:val="24"/>
        </w:rPr>
        <w:t xml:space="preserve">instruments </w:t>
      </w:r>
      <w:r>
        <w:rPr>
          <w:rFonts w:ascii="Times New Roman" w:hAnsi="Times New Roman" w:cs="Times New Roman"/>
          <w:sz w:val="24"/>
        </w:rPr>
        <w:t>received electronically or through the mail.</w:t>
      </w:r>
      <w:r w:rsidR="000D34AB">
        <w:rPr>
          <w:rFonts w:ascii="Times New Roman" w:hAnsi="Times New Roman" w:cs="Times New Roman"/>
          <w:sz w:val="24"/>
        </w:rPr>
        <w:t xml:space="preserve">  </w:t>
      </w:r>
      <w:r w:rsidR="00AC023D">
        <w:rPr>
          <w:rFonts w:ascii="Times New Roman" w:hAnsi="Times New Roman" w:cs="Times New Roman"/>
          <w:sz w:val="24"/>
        </w:rPr>
        <w:t>Some Clerk’s offices have made provision for a “drop box” for citizens to leave documents for recording</w:t>
      </w:r>
      <w:r w:rsidR="001826A0">
        <w:rPr>
          <w:rFonts w:ascii="Times New Roman" w:hAnsi="Times New Roman" w:cs="Times New Roman"/>
          <w:sz w:val="24"/>
        </w:rPr>
        <w:t xml:space="preserve"> during the Covid-19 emergency</w:t>
      </w:r>
      <w:r w:rsidR="00AC023D">
        <w:rPr>
          <w:rFonts w:ascii="Times New Roman" w:hAnsi="Times New Roman" w:cs="Times New Roman"/>
          <w:sz w:val="24"/>
        </w:rPr>
        <w:t>, but it does not appear that has been adopted in every circuit.</w:t>
      </w:r>
    </w:p>
    <w:p w:rsidR="000D34AB" w:rsidRDefault="000D34AB">
      <w:pPr>
        <w:ind w:firstLine="720"/>
        <w:jc w:val="both"/>
        <w:rPr>
          <w:rFonts w:ascii="Times New Roman" w:hAnsi="Times New Roman" w:cs="Times New Roman"/>
          <w:sz w:val="24"/>
        </w:rPr>
      </w:pPr>
      <w:r>
        <w:rPr>
          <w:rFonts w:ascii="Times New Roman" w:hAnsi="Times New Roman" w:cs="Times New Roman"/>
          <w:sz w:val="24"/>
        </w:rPr>
        <w:t>The proposed bill would add a new section to part I of Chapter 713 entitled “Computation of Time.”  The new section largely adopts the computation method of Rule 2.514</w:t>
      </w:r>
      <w:r w:rsidR="00AC023D">
        <w:rPr>
          <w:rFonts w:ascii="Times New Roman" w:hAnsi="Times New Roman" w:cs="Times New Roman"/>
          <w:sz w:val="24"/>
        </w:rPr>
        <w:t xml:space="preserve"> and includes a definition of a “legal holiday” for purposes of the new section</w:t>
      </w:r>
      <w:r w:rsidR="00EA197B">
        <w:rPr>
          <w:rFonts w:ascii="Times New Roman" w:hAnsi="Times New Roman" w:cs="Times New Roman"/>
          <w:sz w:val="24"/>
        </w:rPr>
        <w:t xml:space="preserve"> which largely follows Rule 2.514</w:t>
      </w:r>
      <w:r w:rsidR="00AC023D">
        <w:rPr>
          <w:rFonts w:ascii="Times New Roman" w:hAnsi="Times New Roman" w:cs="Times New Roman"/>
          <w:sz w:val="24"/>
        </w:rPr>
        <w:t>.  The proposed bill also adds a definition of a “period of declared emergency” during which</w:t>
      </w:r>
      <w:r w:rsidR="000E3A3F">
        <w:rPr>
          <w:rFonts w:ascii="Times New Roman" w:hAnsi="Times New Roman" w:cs="Times New Roman"/>
          <w:sz w:val="24"/>
        </w:rPr>
        <w:t xml:space="preserve"> the</w:t>
      </w:r>
      <w:r w:rsidR="00AC023D">
        <w:rPr>
          <w:rFonts w:ascii="Times New Roman" w:hAnsi="Times New Roman" w:cs="Times New Roman"/>
          <w:sz w:val="24"/>
        </w:rPr>
        <w:t xml:space="preserve"> period the time for taking action required or permitted under part I of Chapter 713 will continue to run until the next day that is not a Saturday, Sunday, legal holiday or falling within a period of declared emergency.  If the Clerk’s office should be closed due to a federal, state or local governmental or</w:t>
      </w:r>
      <w:r w:rsidR="00B36849">
        <w:rPr>
          <w:rFonts w:ascii="Times New Roman" w:hAnsi="Times New Roman" w:cs="Times New Roman"/>
          <w:sz w:val="24"/>
        </w:rPr>
        <w:t>der, the period of closure is defined as a “period of declared emergency” and the order itself conclusively establishes the closure and the period of closure for purposes of applying this new section.</w:t>
      </w:r>
    </w:p>
    <w:p w:rsidR="00084D1A" w:rsidRDefault="00621EB0">
      <w:pPr>
        <w:ind w:firstLine="720"/>
        <w:jc w:val="both"/>
        <w:rPr>
          <w:rFonts w:ascii="Times New Roman" w:hAnsi="Times New Roman" w:cs="Times New Roman"/>
          <w:b/>
          <w:sz w:val="24"/>
        </w:rPr>
      </w:pPr>
      <w:r>
        <w:rPr>
          <w:rFonts w:ascii="Times New Roman" w:hAnsi="Times New Roman" w:cs="Times New Roman"/>
          <w:b/>
          <w:sz w:val="24"/>
        </w:rPr>
        <w:t>Section 713.</w:t>
      </w:r>
      <w:r w:rsidR="001F4A0B">
        <w:rPr>
          <w:rFonts w:ascii="Times New Roman" w:hAnsi="Times New Roman" w:cs="Times New Roman"/>
          <w:b/>
          <w:sz w:val="24"/>
        </w:rPr>
        <w:t>18</w:t>
      </w:r>
      <w:r>
        <w:rPr>
          <w:rFonts w:ascii="Times New Roman" w:hAnsi="Times New Roman" w:cs="Times New Roman"/>
          <w:b/>
          <w:sz w:val="24"/>
        </w:rPr>
        <w:t xml:space="preserve">, </w:t>
      </w:r>
      <w:r w:rsidR="001F4A0B">
        <w:rPr>
          <w:rFonts w:ascii="Times New Roman" w:hAnsi="Times New Roman" w:cs="Times New Roman"/>
          <w:b/>
          <w:sz w:val="24"/>
        </w:rPr>
        <w:t>Manner of Serving Notices and other instruments</w:t>
      </w:r>
    </w:p>
    <w:p w:rsidR="00084D1A" w:rsidRDefault="001F4A0B">
      <w:pPr>
        <w:ind w:firstLine="720"/>
        <w:jc w:val="both"/>
        <w:rPr>
          <w:rFonts w:ascii="Times New Roman" w:hAnsi="Times New Roman" w:cs="Times New Roman"/>
          <w:sz w:val="24"/>
        </w:rPr>
      </w:pPr>
      <w:r>
        <w:rPr>
          <w:rFonts w:ascii="Times New Roman" w:hAnsi="Times New Roman" w:cs="Times New Roman"/>
          <w:sz w:val="24"/>
        </w:rPr>
        <w:t>The proposed bill would delete the term “the name and address of the person served” from subsection 713.18(2)(c)2. to account for the fact that the U.S. Postal Service does not track this information through its electronic tracking system for mail sent with a postal tracking number</w:t>
      </w:r>
      <w:r w:rsidR="00621EB0">
        <w:rPr>
          <w:rFonts w:ascii="Times New Roman" w:hAnsi="Times New Roman" w:cs="Times New Roman"/>
          <w:sz w:val="24"/>
        </w:rPr>
        <w:t xml:space="preserve">. </w:t>
      </w:r>
    </w:p>
    <w:p w:rsidR="00084D1A" w:rsidRDefault="00621EB0">
      <w:pPr>
        <w:ind w:firstLine="720"/>
        <w:jc w:val="both"/>
        <w:rPr>
          <w:rFonts w:ascii="Times New Roman" w:hAnsi="Times New Roman" w:cs="Times New Roman"/>
          <w:b/>
          <w:sz w:val="24"/>
        </w:rPr>
      </w:pPr>
      <w:r>
        <w:rPr>
          <w:rFonts w:ascii="Times New Roman" w:hAnsi="Times New Roman" w:cs="Times New Roman"/>
          <w:b/>
          <w:sz w:val="24"/>
        </w:rPr>
        <w:t>Section 713.2</w:t>
      </w:r>
      <w:r w:rsidR="00FC5604">
        <w:rPr>
          <w:rFonts w:ascii="Times New Roman" w:hAnsi="Times New Roman" w:cs="Times New Roman"/>
          <w:b/>
          <w:sz w:val="24"/>
        </w:rPr>
        <w:t>1</w:t>
      </w:r>
      <w:r>
        <w:rPr>
          <w:rFonts w:ascii="Times New Roman" w:hAnsi="Times New Roman" w:cs="Times New Roman"/>
          <w:b/>
          <w:sz w:val="24"/>
        </w:rPr>
        <w:t xml:space="preserve">, </w:t>
      </w:r>
      <w:r w:rsidR="00FC5604">
        <w:rPr>
          <w:rFonts w:ascii="Times New Roman" w:hAnsi="Times New Roman" w:cs="Times New Roman"/>
          <w:b/>
          <w:sz w:val="24"/>
        </w:rPr>
        <w:t>Discharge of Lien</w:t>
      </w:r>
    </w:p>
    <w:p w:rsidR="00084D1A" w:rsidRPr="00465BB3" w:rsidRDefault="00621EB0">
      <w:pPr>
        <w:ind w:firstLine="720"/>
        <w:jc w:val="both"/>
        <w:rPr>
          <w:rFonts w:ascii="Times New Roman" w:hAnsi="Times New Roman" w:cs="Times New Roman"/>
          <w:sz w:val="24"/>
        </w:rPr>
      </w:pPr>
      <w:r>
        <w:rPr>
          <w:rFonts w:ascii="Times New Roman" w:hAnsi="Times New Roman" w:cs="Times New Roman"/>
          <w:sz w:val="24"/>
        </w:rPr>
        <w:t xml:space="preserve">Currently, </w:t>
      </w:r>
      <w:r w:rsidR="00FC5604">
        <w:rPr>
          <w:rFonts w:ascii="Times New Roman" w:hAnsi="Times New Roman" w:cs="Times New Roman"/>
          <w:sz w:val="24"/>
        </w:rPr>
        <w:t xml:space="preserve">Section 713.21 lists five methods to “discharge” a lien, </w:t>
      </w:r>
      <w:r w:rsidR="000E3A3F">
        <w:rPr>
          <w:rFonts w:ascii="Times New Roman" w:hAnsi="Times New Roman" w:cs="Times New Roman"/>
          <w:sz w:val="24"/>
        </w:rPr>
        <w:t xml:space="preserve">two </w:t>
      </w:r>
      <w:r w:rsidR="00FC5604">
        <w:rPr>
          <w:rFonts w:ascii="Times New Roman" w:hAnsi="Times New Roman" w:cs="Times New Roman"/>
          <w:sz w:val="24"/>
        </w:rPr>
        <w:t>of which provides for the recording of a satisfaction in the clerk’s office</w:t>
      </w:r>
      <w:r>
        <w:rPr>
          <w:rFonts w:ascii="Times New Roman" w:hAnsi="Times New Roman" w:cs="Times New Roman"/>
          <w:sz w:val="24"/>
        </w:rPr>
        <w:t xml:space="preserve">. </w:t>
      </w:r>
      <w:r w:rsidR="00FC5604">
        <w:rPr>
          <w:rFonts w:ascii="Times New Roman" w:hAnsi="Times New Roman" w:cs="Times New Roman"/>
          <w:sz w:val="24"/>
        </w:rPr>
        <w:t xml:space="preserve"> Even though Section 713.20(3) expressly provides that a lienor may “waive, release, or satisfy” his or her lien rights, and may do so as to “any part” of his or her lien rights, either as to amount or the property subject to the lien, some title examiners have read Section 713.21(2) as permitting discharge of a lien of record </w:t>
      </w:r>
      <w:r w:rsidR="00FC5604">
        <w:rPr>
          <w:rFonts w:ascii="Times New Roman" w:hAnsi="Times New Roman" w:cs="Times New Roman"/>
          <w:sz w:val="24"/>
          <w:u w:val="single"/>
        </w:rPr>
        <w:t>only</w:t>
      </w:r>
      <w:r w:rsidR="00FC5604">
        <w:rPr>
          <w:rFonts w:ascii="Times New Roman" w:hAnsi="Times New Roman" w:cs="Times New Roman"/>
          <w:sz w:val="24"/>
        </w:rPr>
        <w:t xml:space="preserve"> through recording of a satisfaction, not a release, and some have also maintained that a satisfaction</w:t>
      </w:r>
      <w:r w:rsidR="00465BB3">
        <w:rPr>
          <w:rFonts w:ascii="Times New Roman" w:hAnsi="Times New Roman" w:cs="Times New Roman"/>
          <w:sz w:val="24"/>
        </w:rPr>
        <w:t xml:space="preserve"> must be a </w:t>
      </w:r>
      <w:r w:rsidR="00465BB3">
        <w:rPr>
          <w:rFonts w:ascii="Times New Roman" w:hAnsi="Times New Roman" w:cs="Times New Roman"/>
          <w:sz w:val="24"/>
          <w:u w:val="single"/>
        </w:rPr>
        <w:t>complete</w:t>
      </w:r>
      <w:r w:rsidR="00465BB3">
        <w:rPr>
          <w:rFonts w:ascii="Times New Roman" w:hAnsi="Times New Roman" w:cs="Times New Roman"/>
          <w:sz w:val="24"/>
        </w:rPr>
        <w:t xml:space="preserve"> satisfaction – i.e., that partial satisfactions are not permitted.</w:t>
      </w:r>
    </w:p>
    <w:p w:rsidR="00084D1A" w:rsidRPr="00465BB3" w:rsidRDefault="00465BB3">
      <w:pPr>
        <w:ind w:firstLine="720"/>
        <w:jc w:val="both"/>
        <w:rPr>
          <w:rFonts w:ascii="Times New Roman" w:hAnsi="Times New Roman" w:cs="Times New Roman"/>
          <w:sz w:val="24"/>
        </w:rPr>
      </w:pPr>
      <w:r>
        <w:rPr>
          <w:rFonts w:ascii="Times New Roman" w:hAnsi="Times New Roman" w:cs="Times New Roman"/>
          <w:sz w:val="24"/>
        </w:rPr>
        <w:t xml:space="preserve">The proposed bill would amend Section 713.21 to clarify that a lien may be discharged </w:t>
      </w:r>
      <w:r>
        <w:rPr>
          <w:rFonts w:ascii="Times New Roman" w:hAnsi="Times New Roman" w:cs="Times New Roman"/>
          <w:sz w:val="24"/>
          <w:u w:val="single"/>
        </w:rPr>
        <w:t>or released</w:t>
      </w:r>
      <w:r>
        <w:rPr>
          <w:rFonts w:ascii="Times New Roman" w:hAnsi="Times New Roman" w:cs="Times New Roman"/>
          <w:sz w:val="24"/>
        </w:rPr>
        <w:t xml:space="preserve">, may be </w:t>
      </w:r>
      <w:r w:rsidR="000E3A3F">
        <w:rPr>
          <w:rFonts w:ascii="Times New Roman" w:hAnsi="Times New Roman" w:cs="Times New Roman"/>
          <w:sz w:val="24"/>
        </w:rPr>
        <w:t xml:space="preserve">satisfied or </w:t>
      </w:r>
      <w:bookmarkStart w:id="0" w:name="_GoBack"/>
      <w:bookmarkEnd w:id="0"/>
      <w:r>
        <w:rPr>
          <w:rFonts w:ascii="Times New Roman" w:hAnsi="Times New Roman" w:cs="Times New Roman"/>
          <w:sz w:val="24"/>
        </w:rPr>
        <w:t xml:space="preserve">released </w:t>
      </w:r>
      <w:r w:rsidRPr="00465BB3">
        <w:rPr>
          <w:rFonts w:ascii="Times New Roman" w:hAnsi="Times New Roman" w:cs="Times New Roman"/>
          <w:sz w:val="24"/>
          <w:u w:val="single"/>
        </w:rPr>
        <w:t>in whole or in part</w:t>
      </w:r>
      <w:r>
        <w:rPr>
          <w:rFonts w:ascii="Times New Roman" w:hAnsi="Times New Roman" w:cs="Times New Roman"/>
          <w:sz w:val="24"/>
        </w:rPr>
        <w:t xml:space="preserve">, and that this may be accomplished by execution of a satisfaction </w:t>
      </w:r>
      <w:r>
        <w:rPr>
          <w:rFonts w:ascii="Times New Roman" w:hAnsi="Times New Roman" w:cs="Times New Roman"/>
          <w:sz w:val="24"/>
          <w:u w:val="single"/>
        </w:rPr>
        <w:t>or release</w:t>
      </w:r>
      <w:r>
        <w:rPr>
          <w:rFonts w:ascii="Times New Roman" w:hAnsi="Times New Roman" w:cs="Times New Roman"/>
          <w:sz w:val="24"/>
        </w:rPr>
        <w:t xml:space="preserve"> by the lienor.</w:t>
      </w:r>
    </w:p>
    <w:p w:rsidR="00EA197B" w:rsidRDefault="00EA197B">
      <w:pPr>
        <w:rPr>
          <w:rFonts w:ascii="Times New Roman" w:hAnsi="Times New Roman" w:cs="Times New Roman"/>
          <w:b/>
          <w:sz w:val="24"/>
        </w:rPr>
      </w:pPr>
      <w:r>
        <w:rPr>
          <w:rFonts w:ascii="Times New Roman" w:hAnsi="Times New Roman" w:cs="Times New Roman"/>
          <w:b/>
          <w:sz w:val="24"/>
        </w:rPr>
        <w:br w:type="page"/>
      </w:r>
    </w:p>
    <w:p w:rsidR="00974E40" w:rsidRDefault="00974E40" w:rsidP="00974E40">
      <w:pPr>
        <w:ind w:firstLine="720"/>
        <w:jc w:val="both"/>
        <w:rPr>
          <w:rFonts w:ascii="Times New Roman" w:hAnsi="Times New Roman" w:cs="Times New Roman"/>
          <w:b/>
          <w:sz w:val="24"/>
        </w:rPr>
      </w:pPr>
      <w:r>
        <w:rPr>
          <w:rFonts w:ascii="Times New Roman" w:hAnsi="Times New Roman" w:cs="Times New Roman"/>
          <w:b/>
          <w:sz w:val="24"/>
        </w:rPr>
        <w:lastRenderedPageBreak/>
        <w:t>Section 713.25, Applicability of ch. 65-456</w:t>
      </w:r>
    </w:p>
    <w:p w:rsidR="00974E40" w:rsidRDefault="00974E40" w:rsidP="00974E40">
      <w:pPr>
        <w:ind w:firstLine="720"/>
        <w:jc w:val="both"/>
        <w:rPr>
          <w:rFonts w:ascii="Times New Roman" w:hAnsi="Times New Roman" w:cs="Times New Roman"/>
          <w:sz w:val="24"/>
        </w:rPr>
      </w:pPr>
      <w:r>
        <w:rPr>
          <w:rFonts w:ascii="Times New Roman" w:hAnsi="Times New Roman" w:cs="Times New Roman"/>
          <w:sz w:val="24"/>
        </w:rPr>
        <w:t>The proposed bill would delete this section – which provides for the effective date of a lien law revision passed in 1965 – as an anachronism.</w:t>
      </w:r>
    </w:p>
    <w:p w:rsidR="00084D1A" w:rsidRDefault="00084D1A">
      <w:pPr>
        <w:jc w:val="both"/>
        <w:rPr>
          <w:rFonts w:ascii="Times New Roman" w:hAnsi="Times New Roman" w:cs="Times New Roman"/>
          <w:b/>
          <w:sz w:val="24"/>
        </w:rPr>
      </w:pPr>
    </w:p>
    <w:p w:rsidR="00084D1A" w:rsidRDefault="00621EB0">
      <w:pPr>
        <w:pStyle w:val="ListParagraph"/>
        <w:numPr>
          <w:ilvl w:val="0"/>
          <w:numId w:val="1"/>
        </w:numPr>
        <w:jc w:val="both"/>
        <w:rPr>
          <w:rFonts w:ascii="Times New Roman" w:hAnsi="Times New Roman" w:cs="Times New Roman"/>
          <w:b/>
          <w:sz w:val="24"/>
        </w:rPr>
      </w:pPr>
      <w:r>
        <w:rPr>
          <w:rFonts w:ascii="Times New Roman" w:hAnsi="Times New Roman" w:cs="Times New Roman"/>
          <w:b/>
          <w:sz w:val="24"/>
        </w:rPr>
        <w:t>FISCAL IMPACT ON STATE AND LOCAL GOVERNMENTS</w:t>
      </w:r>
    </w:p>
    <w:p w:rsidR="00084D1A" w:rsidRDefault="00084D1A">
      <w:pPr>
        <w:pStyle w:val="ListParagraph"/>
        <w:ind w:left="1080"/>
        <w:jc w:val="both"/>
        <w:rPr>
          <w:rFonts w:ascii="Times New Roman" w:hAnsi="Times New Roman" w:cs="Times New Roman"/>
          <w:b/>
          <w:sz w:val="24"/>
        </w:rPr>
      </w:pPr>
    </w:p>
    <w:p w:rsidR="00084D1A" w:rsidRDefault="00621EB0">
      <w:pPr>
        <w:pStyle w:val="ListParagraph"/>
        <w:ind w:left="1080"/>
        <w:jc w:val="both"/>
        <w:rPr>
          <w:rFonts w:ascii="Times New Roman" w:hAnsi="Times New Roman" w:cs="Times New Roman"/>
          <w:sz w:val="24"/>
        </w:rPr>
      </w:pPr>
      <w:r>
        <w:rPr>
          <w:rFonts w:ascii="Times New Roman" w:hAnsi="Times New Roman" w:cs="Times New Roman"/>
          <w:sz w:val="24"/>
        </w:rPr>
        <w:t xml:space="preserve">None that the CLC is aware of at this time. </w:t>
      </w:r>
    </w:p>
    <w:p w:rsidR="00084D1A" w:rsidRDefault="00084D1A">
      <w:pPr>
        <w:pStyle w:val="ListParagraph"/>
        <w:ind w:left="1080"/>
        <w:jc w:val="both"/>
        <w:rPr>
          <w:rFonts w:ascii="Times New Roman" w:hAnsi="Times New Roman" w:cs="Times New Roman"/>
          <w:b/>
          <w:sz w:val="24"/>
        </w:rPr>
      </w:pPr>
    </w:p>
    <w:p w:rsidR="00084D1A" w:rsidRDefault="00621EB0">
      <w:pPr>
        <w:pStyle w:val="ListParagraph"/>
        <w:numPr>
          <w:ilvl w:val="0"/>
          <w:numId w:val="1"/>
        </w:numPr>
        <w:jc w:val="both"/>
        <w:rPr>
          <w:rFonts w:ascii="Times New Roman" w:hAnsi="Times New Roman" w:cs="Times New Roman"/>
          <w:b/>
          <w:sz w:val="24"/>
        </w:rPr>
      </w:pPr>
      <w:r>
        <w:rPr>
          <w:rFonts w:ascii="Times New Roman" w:hAnsi="Times New Roman" w:cs="Times New Roman"/>
          <w:b/>
          <w:sz w:val="24"/>
        </w:rPr>
        <w:t>DIRECT ECONOMIC IMPACT ON PRIVATE SECTOR</w:t>
      </w:r>
    </w:p>
    <w:p w:rsidR="00084D1A" w:rsidRDefault="00621EB0">
      <w:pPr>
        <w:ind w:firstLine="720"/>
        <w:jc w:val="both"/>
        <w:rPr>
          <w:rFonts w:ascii="Times New Roman" w:hAnsi="Times New Roman" w:cs="Times New Roman"/>
          <w:sz w:val="24"/>
        </w:rPr>
      </w:pPr>
      <w:r>
        <w:rPr>
          <w:rFonts w:ascii="Times New Roman" w:hAnsi="Times New Roman" w:cs="Times New Roman"/>
          <w:sz w:val="24"/>
        </w:rPr>
        <w:t>Th</w:t>
      </w:r>
      <w:r w:rsidR="00465BB3">
        <w:rPr>
          <w:rFonts w:ascii="Times New Roman" w:hAnsi="Times New Roman" w:cs="Times New Roman"/>
          <w:sz w:val="24"/>
        </w:rPr>
        <w:t xml:space="preserve">e bill should have a beneficial effect upon the construction industry by better </w:t>
      </w:r>
      <w:r w:rsidR="00974E40">
        <w:rPr>
          <w:rFonts w:ascii="Times New Roman" w:hAnsi="Times New Roman" w:cs="Times New Roman"/>
          <w:sz w:val="24"/>
        </w:rPr>
        <w:t>protecting lienors from losing their lien rights without fault in the event of a declared emergency</w:t>
      </w:r>
      <w:r>
        <w:rPr>
          <w:rFonts w:ascii="Times New Roman" w:hAnsi="Times New Roman" w:cs="Times New Roman"/>
          <w:sz w:val="24"/>
        </w:rPr>
        <w:t>.</w:t>
      </w:r>
    </w:p>
    <w:p w:rsidR="00084D1A" w:rsidRDefault="00621EB0">
      <w:pPr>
        <w:pStyle w:val="ListParagraph"/>
        <w:numPr>
          <w:ilvl w:val="0"/>
          <w:numId w:val="1"/>
        </w:numPr>
        <w:spacing w:before="240"/>
        <w:contextualSpacing w:val="0"/>
        <w:jc w:val="both"/>
        <w:rPr>
          <w:rFonts w:ascii="Times New Roman" w:hAnsi="Times New Roman" w:cs="Times New Roman"/>
          <w:sz w:val="24"/>
        </w:rPr>
      </w:pPr>
      <w:r>
        <w:rPr>
          <w:rFonts w:ascii="Times New Roman" w:hAnsi="Times New Roman" w:cs="Times New Roman"/>
          <w:b/>
          <w:sz w:val="24"/>
        </w:rPr>
        <w:t>CONSTITUTIONAL ISSUES</w:t>
      </w:r>
    </w:p>
    <w:p w:rsidR="00084D1A" w:rsidRDefault="00621EB0">
      <w:pPr>
        <w:ind w:left="720"/>
        <w:jc w:val="both"/>
        <w:rPr>
          <w:rFonts w:ascii="Times New Roman" w:hAnsi="Times New Roman" w:cs="Times New Roman"/>
          <w:sz w:val="24"/>
        </w:rPr>
      </w:pPr>
      <w:r>
        <w:rPr>
          <w:rFonts w:ascii="Times New Roman" w:hAnsi="Times New Roman" w:cs="Times New Roman"/>
          <w:sz w:val="24"/>
        </w:rPr>
        <w:t>None that the Construction Law Committee is aware of at this time.</w:t>
      </w:r>
    </w:p>
    <w:p w:rsidR="00084D1A" w:rsidRDefault="00084D1A">
      <w:pPr>
        <w:ind w:firstLine="720"/>
        <w:jc w:val="both"/>
        <w:rPr>
          <w:rFonts w:ascii="Times New Roman" w:hAnsi="Times New Roman" w:cs="Times New Roman"/>
          <w:sz w:val="24"/>
        </w:rPr>
      </w:pPr>
    </w:p>
    <w:sectPr w:rsidR="00084D1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CC0" w:rsidRDefault="000B1CC0">
      <w:pPr>
        <w:spacing w:after="0" w:line="240" w:lineRule="auto"/>
      </w:pPr>
      <w:r>
        <w:separator/>
      </w:r>
    </w:p>
  </w:endnote>
  <w:endnote w:type="continuationSeparator" w:id="0">
    <w:p w:rsidR="000B1CC0" w:rsidRDefault="000B1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A3F" w:rsidRDefault="000E3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A3F" w:rsidRDefault="000E3A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A3F" w:rsidRDefault="000E3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CC0" w:rsidRDefault="000B1CC0">
      <w:pPr>
        <w:spacing w:after="0" w:line="240" w:lineRule="auto"/>
      </w:pPr>
      <w:r>
        <w:separator/>
      </w:r>
    </w:p>
  </w:footnote>
  <w:footnote w:type="continuationSeparator" w:id="0">
    <w:p w:rsidR="000B1CC0" w:rsidRDefault="000B1CC0">
      <w:pPr>
        <w:spacing w:after="0" w:line="240" w:lineRule="auto"/>
      </w:pPr>
      <w:r>
        <w:continuationSeparator/>
      </w:r>
    </w:p>
  </w:footnote>
  <w:footnote w:id="1">
    <w:p w:rsidR="00F8634D" w:rsidRDefault="00F8634D" w:rsidP="0009438D">
      <w:pPr>
        <w:pStyle w:val="FootnoteText"/>
        <w:ind w:firstLine="450"/>
        <w:jc w:val="both"/>
      </w:pPr>
      <w:r>
        <w:rPr>
          <w:rStyle w:val="FootnoteReference"/>
        </w:rPr>
        <w:footnoteRef/>
      </w:r>
      <w:r>
        <w:t xml:space="preserve"> </w:t>
      </w:r>
      <w:r w:rsidRPr="0009438D">
        <w:rPr>
          <w:rFonts w:ascii="Times New Roman" w:hAnsi="Times New Roman" w:cs="Times New Roman"/>
        </w:rPr>
        <w:t>This provision reads, in pertinent part:  “Notwithstanding any other provision of the constitution, the duties of the clerk of the circuit court may be divided by special or general law between two officers, one serving as clerk of court and one serving as ex officio clerk of the board of county commissioners, auditor, recorder, and custodian of all county funds.”</w:t>
      </w:r>
    </w:p>
  </w:footnote>
  <w:footnote w:id="2">
    <w:p w:rsidR="00B35F0A" w:rsidRPr="00B35F0A" w:rsidRDefault="00B35F0A" w:rsidP="00B35F0A">
      <w:pPr>
        <w:pStyle w:val="FootnoteText"/>
        <w:ind w:firstLine="450"/>
        <w:jc w:val="both"/>
        <w:rPr>
          <w:rFonts w:ascii="Times New Roman" w:hAnsi="Times New Roman" w:cs="Times New Roman"/>
        </w:rPr>
      </w:pPr>
      <w:r w:rsidRPr="00B35F0A">
        <w:rPr>
          <w:rStyle w:val="FootnoteReference"/>
          <w:rFonts w:ascii="Times New Roman" w:hAnsi="Times New Roman" w:cs="Times New Roman"/>
        </w:rPr>
        <w:footnoteRef/>
      </w:r>
      <w:r w:rsidRPr="00B35F0A">
        <w:rPr>
          <w:rFonts w:ascii="Times New Roman" w:hAnsi="Times New Roman" w:cs="Times New Roman"/>
        </w:rPr>
        <w:t xml:space="preserve"> Rule 1.090 has been amended to refer to Rule 2.514 of the Rules of Judicial Administration, which now contain</w:t>
      </w:r>
      <w:r w:rsidR="00EA197B">
        <w:rPr>
          <w:rFonts w:ascii="Times New Roman" w:hAnsi="Times New Roman" w:cs="Times New Roman"/>
        </w:rPr>
        <w:t>s</w:t>
      </w:r>
      <w:r w:rsidRPr="00B35F0A">
        <w:rPr>
          <w:rFonts w:ascii="Times New Roman" w:hAnsi="Times New Roman" w:cs="Times New Roman"/>
        </w:rPr>
        <w:t xml:space="preserve"> the computation of time provisions (as amended) formerly contained in Rule 1.090.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A3F" w:rsidRDefault="000E3A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A3F" w:rsidRDefault="000E3A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A3F" w:rsidRDefault="000E3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7E40EF"/>
    <w:multiLevelType w:val="hybridMultilevel"/>
    <w:tmpl w:val="52CE0DF2"/>
    <w:lvl w:ilvl="0" w:tplc="0B5ADF22">
      <w:start w:val="1"/>
      <w:numFmt w:val="upperRoman"/>
      <w:lvlText w:val="%1."/>
      <w:lvlJc w:val="left"/>
      <w:pPr>
        <w:ind w:left="1080" w:hanging="720"/>
      </w:pPr>
      <w:rPr>
        <w:rFonts w:hint="default"/>
        <w:b/>
      </w:rPr>
    </w:lvl>
    <w:lvl w:ilvl="1" w:tplc="BB648D20">
      <w:start w:val="1"/>
      <w:numFmt w:val="lowerLetter"/>
      <w:lvlText w:val="%2."/>
      <w:lvlJc w:val="left"/>
      <w:pPr>
        <w:ind w:left="1440" w:hanging="360"/>
      </w:pPr>
    </w:lvl>
    <w:lvl w:ilvl="2" w:tplc="83247654" w:tentative="1">
      <w:start w:val="1"/>
      <w:numFmt w:val="lowerRoman"/>
      <w:lvlText w:val="%3."/>
      <w:lvlJc w:val="right"/>
      <w:pPr>
        <w:ind w:left="2160" w:hanging="180"/>
      </w:pPr>
    </w:lvl>
    <w:lvl w:ilvl="3" w:tplc="0700CEB6" w:tentative="1">
      <w:start w:val="1"/>
      <w:numFmt w:val="decimal"/>
      <w:lvlText w:val="%4."/>
      <w:lvlJc w:val="left"/>
      <w:pPr>
        <w:ind w:left="2880" w:hanging="360"/>
      </w:pPr>
    </w:lvl>
    <w:lvl w:ilvl="4" w:tplc="C8201ED8" w:tentative="1">
      <w:start w:val="1"/>
      <w:numFmt w:val="lowerLetter"/>
      <w:lvlText w:val="%5."/>
      <w:lvlJc w:val="left"/>
      <w:pPr>
        <w:ind w:left="3600" w:hanging="360"/>
      </w:pPr>
    </w:lvl>
    <w:lvl w:ilvl="5" w:tplc="84B0D5F0" w:tentative="1">
      <w:start w:val="1"/>
      <w:numFmt w:val="lowerRoman"/>
      <w:lvlText w:val="%6."/>
      <w:lvlJc w:val="right"/>
      <w:pPr>
        <w:ind w:left="4320" w:hanging="180"/>
      </w:pPr>
    </w:lvl>
    <w:lvl w:ilvl="6" w:tplc="F71CB9A8" w:tentative="1">
      <w:start w:val="1"/>
      <w:numFmt w:val="decimal"/>
      <w:lvlText w:val="%7."/>
      <w:lvlJc w:val="left"/>
      <w:pPr>
        <w:ind w:left="5040" w:hanging="360"/>
      </w:pPr>
    </w:lvl>
    <w:lvl w:ilvl="7" w:tplc="DF242AB6" w:tentative="1">
      <w:start w:val="1"/>
      <w:numFmt w:val="lowerLetter"/>
      <w:lvlText w:val="%8."/>
      <w:lvlJc w:val="left"/>
      <w:pPr>
        <w:ind w:left="5760" w:hanging="360"/>
      </w:pPr>
    </w:lvl>
    <w:lvl w:ilvl="8" w:tplc="01BCE6F8" w:tentative="1">
      <w:start w:val="1"/>
      <w:numFmt w:val="lowerRoman"/>
      <w:lvlText w:val="%9."/>
      <w:lvlJc w:val="right"/>
      <w:pPr>
        <w:ind w:left="6480" w:hanging="180"/>
      </w:pPr>
    </w:lvl>
  </w:abstractNum>
  <w:abstractNum w:abstractNumId="1" w15:restartNumberingAfterBreak="0">
    <w:nsid w:val="5FCC50AB"/>
    <w:multiLevelType w:val="hybridMultilevel"/>
    <w:tmpl w:val="CC600A3C"/>
    <w:lvl w:ilvl="0" w:tplc="EC1C8CB8">
      <w:start w:val="1"/>
      <w:numFmt w:val="upperLetter"/>
      <w:lvlText w:val="%1."/>
      <w:lvlJc w:val="left"/>
      <w:pPr>
        <w:ind w:left="1080" w:hanging="360"/>
      </w:pPr>
      <w:rPr>
        <w:rFonts w:hint="default"/>
      </w:rPr>
    </w:lvl>
    <w:lvl w:ilvl="1" w:tplc="13F03D52">
      <w:start w:val="1"/>
      <w:numFmt w:val="lowerLetter"/>
      <w:lvlText w:val="%2."/>
      <w:lvlJc w:val="left"/>
      <w:pPr>
        <w:ind w:left="1800" w:hanging="360"/>
      </w:pPr>
    </w:lvl>
    <w:lvl w:ilvl="2" w:tplc="06D0D85A">
      <w:start w:val="1"/>
      <w:numFmt w:val="lowerRoman"/>
      <w:lvlText w:val="%3."/>
      <w:lvlJc w:val="right"/>
      <w:pPr>
        <w:ind w:left="2520" w:hanging="180"/>
      </w:pPr>
    </w:lvl>
    <w:lvl w:ilvl="3" w:tplc="A29E2784">
      <w:start w:val="4"/>
      <w:numFmt w:val="upperRoman"/>
      <w:lvlText w:val="%4&gt;"/>
      <w:lvlJc w:val="left"/>
      <w:pPr>
        <w:ind w:left="3600" w:hanging="720"/>
      </w:pPr>
      <w:rPr>
        <w:rFonts w:hint="default"/>
      </w:rPr>
    </w:lvl>
    <w:lvl w:ilvl="4" w:tplc="6D2E0632" w:tentative="1">
      <w:start w:val="1"/>
      <w:numFmt w:val="lowerLetter"/>
      <w:lvlText w:val="%5."/>
      <w:lvlJc w:val="left"/>
      <w:pPr>
        <w:ind w:left="3960" w:hanging="360"/>
      </w:pPr>
    </w:lvl>
    <w:lvl w:ilvl="5" w:tplc="0534082C" w:tentative="1">
      <w:start w:val="1"/>
      <w:numFmt w:val="lowerRoman"/>
      <w:lvlText w:val="%6."/>
      <w:lvlJc w:val="right"/>
      <w:pPr>
        <w:ind w:left="4680" w:hanging="180"/>
      </w:pPr>
    </w:lvl>
    <w:lvl w:ilvl="6" w:tplc="F8AA488A" w:tentative="1">
      <w:start w:val="1"/>
      <w:numFmt w:val="decimal"/>
      <w:lvlText w:val="%7."/>
      <w:lvlJc w:val="left"/>
      <w:pPr>
        <w:ind w:left="5400" w:hanging="360"/>
      </w:pPr>
    </w:lvl>
    <w:lvl w:ilvl="7" w:tplc="611AB85C" w:tentative="1">
      <w:start w:val="1"/>
      <w:numFmt w:val="lowerLetter"/>
      <w:lvlText w:val="%8."/>
      <w:lvlJc w:val="left"/>
      <w:pPr>
        <w:ind w:left="6120" w:hanging="360"/>
      </w:pPr>
    </w:lvl>
    <w:lvl w:ilvl="8" w:tplc="5B80933C"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zzmp10NoTrailerPromptID" w:val="ACTIVE.40148591.1"/>
  </w:docVars>
  <w:rsids>
    <w:rsidRoot w:val="00084D1A"/>
    <w:rsid w:val="000813DC"/>
    <w:rsid w:val="00084D1A"/>
    <w:rsid w:val="0009438D"/>
    <w:rsid w:val="000B1CC0"/>
    <w:rsid w:val="000D34AB"/>
    <w:rsid w:val="000E3A3F"/>
    <w:rsid w:val="001826A0"/>
    <w:rsid w:val="001F4A0B"/>
    <w:rsid w:val="0021597C"/>
    <w:rsid w:val="002E5D13"/>
    <w:rsid w:val="00311D82"/>
    <w:rsid w:val="00395576"/>
    <w:rsid w:val="003C06AF"/>
    <w:rsid w:val="003F20C0"/>
    <w:rsid w:val="00422C71"/>
    <w:rsid w:val="0043488E"/>
    <w:rsid w:val="00465BB3"/>
    <w:rsid w:val="004849CD"/>
    <w:rsid w:val="005344CA"/>
    <w:rsid w:val="005446A1"/>
    <w:rsid w:val="00614390"/>
    <w:rsid w:val="00621EB0"/>
    <w:rsid w:val="00625E2D"/>
    <w:rsid w:val="006343CC"/>
    <w:rsid w:val="00770C3A"/>
    <w:rsid w:val="007C6EDB"/>
    <w:rsid w:val="007E3578"/>
    <w:rsid w:val="009174DD"/>
    <w:rsid w:val="00974E40"/>
    <w:rsid w:val="00A8223A"/>
    <w:rsid w:val="00AC023D"/>
    <w:rsid w:val="00B35F0A"/>
    <w:rsid w:val="00B36849"/>
    <w:rsid w:val="00B576E1"/>
    <w:rsid w:val="00BC2EFB"/>
    <w:rsid w:val="00BF68C9"/>
    <w:rsid w:val="00C8011F"/>
    <w:rsid w:val="00D0311B"/>
    <w:rsid w:val="00D64C06"/>
    <w:rsid w:val="00DD01DF"/>
    <w:rsid w:val="00DF2524"/>
    <w:rsid w:val="00E372AE"/>
    <w:rsid w:val="00E5728F"/>
    <w:rsid w:val="00EA197B"/>
    <w:rsid w:val="00F8634D"/>
    <w:rsid w:val="00FC5150"/>
    <w:rsid w:val="00FC5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02241"/>
  <w15:docId w15:val="{90A8CEAF-104D-4014-AAB4-F96D6B8B9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uiPriority w:val="99"/>
    <w:semiHidden/>
    <w:unhideWhenUsed/>
    <w:rsid w:val="00F863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634D"/>
    <w:rPr>
      <w:sz w:val="20"/>
      <w:szCs w:val="20"/>
    </w:rPr>
  </w:style>
  <w:style w:type="character" w:styleId="FootnoteReference">
    <w:name w:val="footnote reference"/>
    <w:basedOn w:val="DefaultParagraphFont"/>
    <w:uiPriority w:val="99"/>
    <w:semiHidden/>
    <w:unhideWhenUsed/>
    <w:rsid w:val="00F863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50D1D-61C5-4F27-B322-2F74CC2F6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2238</TotalTime>
  <Pages>4</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cp:lastModifiedBy>
  <cp:revision>21</cp:revision>
  <dcterms:created xsi:type="dcterms:W3CDTF">2020-04-13T15:22:00Z</dcterms:created>
  <dcterms:modified xsi:type="dcterms:W3CDTF">2020-04-15T11:55:00Z</dcterms:modified>
</cp:coreProperties>
</file>