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8E" w:rsidRDefault="009A053D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u w:val="single"/>
        </w:rPr>
        <w:t>OSHA – What To Do When OSHA Calls</w:t>
      </w:r>
    </w:p>
    <w:p w:rsidR="007B248E" w:rsidRDefault="009A05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By </w:t>
      </w:r>
    </w:p>
    <w:p w:rsidR="007B248E" w:rsidRDefault="009A05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William F. McFetridge</w:t>
      </w:r>
    </w:p>
    <w:p w:rsidR="007B248E" w:rsidRDefault="009A053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William.McFetridge@Gray-Robinson.com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  <w:t>Brief Overview of Statutory and Regulatory Scheme</w:t>
      </w:r>
    </w:p>
    <w:p w:rsidR="007B248E" w:rsidRDefault="007B248E">
      <w:pPr>
        <w:jc w:val="both"/>
        <w:rPr>
          <w:rFonts w:ascii="Arial" w:hAnsi="Arial" w:cs="Arial"/>
          <w:b/>
        </w:rPr>
      </w:pPr>
    </w:p>
    <w:p w:rsidR="007B248E" w:rsidRDefault="009A053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:rsidR="007B248E" w:rsidRDefault="007B248E">
      <w:pPr>
        <w:jc w:val="both"/>
        <w:rPr>
          <w:rFonts w:ascii="Arial" w:hAnsi="Arial" w:cs="Arial"/>
          <w:b/>
        </w:rPr>
      </w:pPr>
    </w:p>
    <w:p w:rsidR="007B248E" w:rsidRDefault="009A053D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Occupational </w:t>
      </w:r>
      <w:r>
        <w:rPr>
          <w:rFonts w:ascii="Arial" w:hAnsi="Arial" w:cs="Arial"/>
        </w:rPr>
        <w:t>Safety &amp; Health Act was passed by Congress in 1970 (the “Act”).</w:t>
      </w:r>
    </w:p>
    <w:p w:rsidR="007B248E" w:rsidRDefault="007B248E">
      <w:pPr>
        <w:pStyle w:val="ListParagraph"/>
        <w:ind w:left="10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Occupational Safety and Health Administration (“OSHA”) under the Act seeks to assure that “every working man and woman in the Nation [has] safe and healthful working conditions.” </w:t>
      </w:r>
      <w:r>
        <w:rPr>
          <w:rFonts w:ascii="Arial" w:hAnsi="Arial" w:cs="Arial"/>
          <w:i/>
        </w:rPr>
        <w:t>See Reic</w:t>
      </w:r>
      <w:r>
        <w:rPr>
          <w:rFonts w:ascii="Arial" w:hAnsi="Arial" w:cs="Arial"/>
          <w:i/>
        </w:rPr>
        <w:t>h v. Trinity Indus., Inc.</w:t>
      </w:r>
      <w:r>
        <w:rPr>
          <w:rFonts w:ascii="Arial" w:hAnsi="Arial" w:cs="Arial"/>
        </w:rPr>
        <w:t xml:space="preserve">, 16 F.3d 1149, 1151 (11th Cir. 1994) (quoting 29 U.S.C. § 651(b)). </w:t>
      </w:r>
    </w:p>
    <w:p w:rsidR="007B248E" w:rsidRDefault="007B248E">
      <w:pPr>
        <w:pStyle w:val="ListParagraph"/>
        <w:ind w:left="10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It has been long-established that OSHA does not impose absolute (or strict) liability on employers for harmful workplace conditions; instead, it focuses liabilit</w:t>
      </w:r>
      <w:r>
        <w:rPr>
          <w:rFonts w:ascii="Arial" w:hAnsi="Arial" w:cs="Arial"/>
        </w:rPr>
        <w:t xml:space="preserve">y where harm can, in fact, be prevented. </w:t>
      </w:r>
      <w:r>
        <w:rPr>
          <w:rFonts w:ascii="Arial" w:hAnsi="Arial" w:cs="Arial"/>
          <w:i/>
        </w:rPr>
        <w:t>See, e.g., Central of Ga. R.R. Co. v. Occupational Safety &amp; Health Review Comm’n</w:t>
      </w:r>
      <w:r>
        <w:rPr>
          <w:rFonts w:ascii="Arial" w:hAnsi="Arial" w:cs="Arial"/>
        </w:rPr>
        <w:t>, 576 F.2d 620, 623 (5th Cir. 1978).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implement its statutory purpose, Congress imposed dual obligations on employers. </w:t>
      </w:r>
    </w:p>
    <w:p w:rsidR="007B248E" w:rsidRDefault="007B248E">
      <w:pPr>
        <w:pStyle w:val="ListParagraph"/>
        <w:ind w:left="10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Employers </w:t>
      </w:r>
      <w:r>
        <w:rPr>
          <w:rFonts w:ascii="Arial" w:hAnsi="Arial" w:cs="Arial"/>
        </w:rPr>
        <w:t>must first comply with the “general duty” to free the workplace of all recognized hazards. 29 U.S.C. § 654(a)(1).</w:t>
      </w:r>
    </w:p>
    <w:p w:rsidR="007B248E" w:rsidRDefault="009A053D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248E" w:rsidRDefault="009A053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Employers also have a “special duty” to comply with all mandatory health and safety standards. </w:t>
      </w:r>
      <w:r>
        <w:rPr>
          <w:rFonts w:ascii="Arial" w:hAnsi="Arial" w:cs="Arial"/>
          <w:i/>
        </w:rPr>
        <w:t>Id.</w:t>
      </w:r>
      <w:r>
        <w:rPr>
          <w:rFonts w:ascii="Arial" w:hAnsi="Arial" w:cs="Arial"/>
        </w:rPr>
        <w:t xml:space="preserve"> at § 654(a)(2).</w:t>
      </w:r>
    </w:p>
    <w:p w:rsidR="007B248E" w:rsidRDefault="009A053D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248E" w:rsidRDefault="009A053D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With respect to the lat</w:t>
      </w:r>
      <w:r>
        <w:rPr>
          <w:rFonts w:ascii="Arial" w:hAnsi="Arial" w:cs="Arial"/>
        </w:rPr>
        <w:t xml:space="preserve">ter, Congress provided for the promulgation and enforcement of the mandatory standards through a regulatory scheme that divides responsibilities between two federal agencies. </w:t>
      </w:r>
      <w:r>
        <w:rPr>
          <w:rFonts w:ascii="Arial" w:hAnsi="Arial" w:cs="Arial"/>
          <w:i/>
        </w:rPr>
        <w:t>See generally New York State Elec. &amp; Gas Corp. v. Secretary of Labor</w:t>
      </w:r>
      <w:r>
        <w:rPr>
          <w:rFonts w:ascii="Arial" w:hAnsi="Arial" w:cs="Arial"/>
        </w:rPr>
        <w:t>, 88 F.3d 98,</w:t>
      </w:r>
      <w:r>
        <w:rPr>
          <w:rFonts w:ascii="Arial" w:hAnsi="Arial" w:cs="Arial"/>
        </w:rPr>
        <w:t xml:space="preserve"> 103–04 (2d Cir. 1996) (discussing the regulatory scheme).</w:t>
      </w:r>
    </w:p>
    <w:p w:rsidR="007B248E" w:rsidRDefault="009A053D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248E" w:rsidRDefault="009A053D">
      <w:pPr>
        <w:pStyle w:val="ListParagraph"/>
        <w:numPr>
          <w:ilvl w:val="5"/>
          <w:numId w:val="1"/>
        </w:numPr>
        <w:ind w:left="28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The Secretary of Labor has rulemaking power and establishes the safety standards, investigates the employers to ensure compliance, and issues citations and assesses monetary penalties for violati</w:t>
      </w:r>
      <w:r>
        <w:rPr>
          <w:rFonts w:ascii="Arial" w:hAnsi="Arial" w:cs="Arial"/>
        </w:rPr>
        <w:t xml:space="preserve">ons. </w:t>
      </w:r>
      <w:r>
        <w:rPr>
          <w:rFonts w:ascii="Arial" w:hAnsi="Arial" w:cs="Arial"/>
          <w:i/>
        </w:rPr>
        <w:t>See id.</w:t>
      </w:r>
      <w:r>
        <w:rPr>
          <w:rFonts w:ascii="Arial" w:hAnsi="Arial" w:cs="Arial"/>
        </w:rPr>
        <w:t xml:space="preserve"> at 103 (citing 29 U.S.C. §§ 655 and 657–59). </w:t>
      </w:r>
    </w:p>
    <w:p w:rsidR="007B248E" w:rsidRDefault="007B248E">
      <w:pPr>
        <w:pStyle w:val="ListParagraph"/>
        <w:ind w:left="2880" w:hanging="45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5"/>
          <w:numId w:val="1"/>
        </w:numPr>
        <w:ind w:left="28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OSHA Review Commission has adjudicative power and serves as a “neutral arbiter” between the Secretary and cited employers. </w:t>
      </w:r>
      <w:r>
        <w:rPr>
          <w:rFonts w:ascii="Arial" w:hAnsi="Arial" w:cs="Arial"/>
          <w:i/>
        </w:rPr>
        <w:t>Id.</w:t>
      </w:r>
      <w:r>
        <w:rPr>
          <w:rFonts w:ascii="Arial" w:hAnsi="Arial" w:cs="Arial"/>
        </w:rPr>
        <w:t xml:space="preserve"> (quoting </w:t>
      </w:r>
      <w:r>
        <w:rPr>
          <w:rFonts w:ascii="Arial" w:hAnsi="Arial" w:cs="Arial"/>
          <w:i/>
        </w:rPr>
        <w:t>Cuyahoga Valley Ry. Co. v. United Transp. Union</w:t>
      </w:r>
      <w:r>
        <w:rPr>
          <w:rFonts w:ascii="Arial" w:hAnsi="Arial" w:cs="Arial"/>
        </w:rPr>
        <w:t xml:space="preserve">, 474 </w:t>
      </w:r>
      <w:r>
        <w:rPr>
          <w:rFonts w:ascii="Arial" w:hAnsi="Arial" w:cs="Arial"/>
        </w:rPr>
        <w:t>U.S. 3, 7, 106 S. Ct. 286, 288, 88 L. Ed. 2d 2 (1985).</w:t>
      </w:r>
    </w:p>
    <w:p w:rsidR="007B248E" w:rsidRDefault="007B248E">
      <w:pPr>
        <w:ind w:left="72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Regulations</w:t>
      </w:r>
    </w:p>
    <w:p w:rsidR="007B248E" w:rsidRDefault="007B248E">
      <w:pPr>
        <w:pStyle w:val="ListParagraph"/>
        <w:jc w:val="both"/>
        <w:rPr>
          <w:rFonts w:ascii="Arial" w:hAnsi="Arial" w:cs="Arial"/>
          <w:b/>
        </w:rPr>
      </w:pPr>
    </w:p>
    <w:p w:rsidR="007B248E" w:rsidRDefault="009A053D">
      <w:pPr>
        <w:pStyle w:val="ListParagraph"/>
        <w:numPr>
          <w:ilvl w:val="1"/>
          <w:numId w:val="1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29 CFR 1910–General Industry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1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29 CFR 1926–Construction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1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29 CFR 1915, 197, and 1918–Maritime and Longshoring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1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29 CFR 1928–Agriculture</w:t>
      </w:r>
    </w:p>
    <w:p w:rsidR="007B248E" w:rsidRDefault="007B248E">
      <w:pPr>
        <w:jc w:val="both"/>
        <w:rPr>
          <w:rFonts w:ascii="Arial" w:hAnsi="Arial" w:cs="Arial"/>
          <w:b/>
        </w:rPr>
      </w:pPr>
    </w:p>
    <w:p w:rsidR="007B248E" w:rsidRDefault="009A05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OSHA is here. What now?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Inspection </w:t>
      </w:r>
      <w:r>
        <w:rPr>
          <w:rFonts w:ascii="Arial" w:hAnsi="Arial" w:cs="Arial"/>
          <w:b/>
        </w:rPr>
        <w:t>Process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OSHA Compliance Officer performs the inspection.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Inspections can be programmed, random, due to an accident or a complaint, or even just an observation.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search warrant can be required for inspections on private property.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Compliance Off</w:t>
      </w:r>
      <w:r>
        <w:rPr>
          <w:rFonts w:ascii="Arial" w:hAnsi="Arial" w:cs="Arial"/>
        </w:rPr>
        <w:t>icer is required to show identification and the employer is allowed a “reasonable” amount of time to obtain the attendance of management.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Compliance Officer will interview employees without management being present. OSHA Compliance Officers will intim</w:t>
      </w:r>
      <w:r>
        <w:rPr>
          <w:rFonts w:ascii="Arial" w:hAnsi="Arial" w:cs="Arial"/>
        </w:rPr>
        <w:t>idate your employees, intentionally or otherwise.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Generally, no notice is required for an inspection.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Best Practices</w:t>
      </w:r>
      <w:r>
        <w:rPr>
          <w:rFonts w:ascii="Arial" w:hAnsi="Arial" w:cs="Arial"/>
        </w:rPr>
        <w:t>: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Cannot “obstruct” the inspection or misrepresent information, but </w:t>
      </w:r>
      <w:r>
        <w:rPr>
          <w:rFonts w:ascii="Arial" w:hAnsi="Arial" w:cs="Arial"/>
          <w:u w:val="single"/>
        </w:rPr>
        <w:t>can</w:t>
      </w:r>
      <w:r>
        <w:rPr>
          <w:rFonts w:ascii="Arial" w:hAnsi="Arial" w:cs="Arial"/>
        </w:rPr>
        <w:t xml:space="preserve"> control and guide the inspection as well as the information communicated to Compliance Officer.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Instruct employees to call for attendance of manager as soon as OSHA is on site.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Ask Compliance Officer: (1) the type of inspection; (2) the reason for the i</w:t>
      </w:r>
      <w:r>
        <w:rPr>
          <w:rFonts w:ascii="Arial" w:hAnsi="Arial" w:cs="Arial"/>
        </w:rPr>
        <w:t>nspection; and (3) the areas of the worksite to be inspected.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Ensure employer representative accompanies Compliance Officer at all times during inspection.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Like a deposition, answer questions truthfully, but don’t answer questions that are not asked. Be </w:t>
      </w:r>
      <w:r>
        <w:rPr>
          <w:rFonts w:ascii="Arial" w:hAnsi="Arial" w:cs="Arial"/>
        </w:rPr>
        <w:t xml:space="preserve">brief.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7B248E">
      <w:pPr>
        <w:jc w:val="center"/>
        <w:rPr>
          <w:rFonts w:ascii="Arial" w:hAnsi="Arial" w:cs="Arial"/>
        </w:rPr>
      </w:pPr>
    </w:p>
    <w:p w:rsidR="007B248E" w:rsidRDefault="009A053D">
      <w:pPr>
        <w:jc w:val="center"/>
        <w:rPr>
          <w:rFonts w:ascii="Arial" w:hAnsi="Arial" w:cs="Arial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-38735</wp:posOffset>
                </wp:positionV>
                <wp:extent cx="4143375" cy="8858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Practice Tip</w:t>
                            </w: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Train employees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in advance of an inspection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regarding what to expect, how to behave, and how to answer the Compliance Officer’s questions.</w:t>
                            </w:r>
                          </w:p>
                          <w:p w:rsidR="007B248E" w:rsidRDefault="007B2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75pt;margin-top:-3.05pt;width:326.2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" strokecolor="#c00000">
                <v:textbox>
                  <w:txbxContent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Practice Tip</w:t>
                      </w: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Train employees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>in advance of an inspection</w:t>
                      </w:r>
                      <w:r>
                        <w:rPr>
                          <w:rFonts w:ascii="Arial" w:hAnsi="Arial" w:cs="Arial"/>
                        </w:rPr>
                        <w:t xml:space="preserve"> regarding what to expect, how to behave, and how to answer the Compliance Officer’s questions.</w:t>
                      </w:r>
                    </w:p>
                    <w:p w:rsidR="007B248E" w:rsidRDefault="007B248E"/>
                  </w:txbxContent>
                </v:textbox>
              </v:shape>
            </w:pict>
          </mc:Fallback>
        </mc:AlternateContent>
      </w:r>
    </w:p>
    <w:p w:rsidR="007B248E" w:rsidRDefault="007B248E">
      <w:pPr>
        <w:jc w:val="center"/>
        <w:rPr>
          <w:rFonts w:ascii="Arial" w:hAnsi="Arial" w:cs="Arial"/>
        </w:rPr>
      </w:pPr>
    </w:p>
    <w:p w:rsidR="007B248E" w:rsidRDefault="007B248E">
      <w:pPr>
        <w:jc w:val="center"/>
        <w:rPr>
          <w:rFonts w:ascii="Arial" w:hAnsi="Arial" w:cs="Arial"/>
        </w:rPr>
      </w:pPr>
    </w:p>
    <w:p w:rsidR="007B248E" w:rsidRDefault="007B248E">
      <w:pPr>
        <w:jc w:val="center"/>
        <w:rPr>
          <w:rFonts w:ascii="Arial" w:hAnsi="Arial" w:cs="Arial"/>
        </w:rPr>
      </w:pPr>
    </w:p>
    <w:p w:rsidR="007B248E" w:rsidRDefault="007B248E">
      <w:pPr>
        <w:jc w:val="center"/>
        <w:rPr>
          <w:rFonts w:ascii="Arial" w:hAnsi="Arial" w:cs="Arial"/>
        </w:rPr>
      </w:pPr>
    </w:p>
    <w:p w:rsidR="007B248E" w:rsidRDefault="007B248E">
      <w:pPr>
        <w:jc w:val="center"/>
        <w:rPr>
          <w:rFonts w:ascii="Arial" w:hAnsi="Arial" w:cs="Arial"/>
        </w:rPr>
      </w:pP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Requests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Checking to see if you are compliant with reporting </w:t>
      </w:r>
      <w:r>
        <w:rPr>
          <w:rFonts w:ascii="Arial" w:hAnsi="Arial" w:cs="Arial"/>
        </w:rPr>
        <w:t>requirements.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Most employers with over 10 employees must keep record of “serious” work-related injuries.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Recordkeeping regulations – 29 CFR 1904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OSHA Form 301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Injury Incident Report</w:t>
      </w: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Must fill out within 7 calendar days of incident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OSHA Form 300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Log o</w:t>
      </w:r>
      <w:r>
        <w:rPr>
          <w:rFonts w:ascii="Arial" w:hAnsi="Arial" w:cs="Arial"/>
        </w:rPr>
        <w:t xml:space="preserve">f Work-Related Injuries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OSHA Form 300A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Summary of Work-Related Injuries</w:t>
      </w: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Yearly—provided electronically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Death must be reported within 8 hours; amputations must be reported within 24 hours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Records must be kept for 5 years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After inspections—or even aft</w:t>
      </w:r>
      <w:r>
        <w:rPr>
          <w:rFonts w:ascii="Arial" w:hAnsi="Arial" w:cs="Arial"/>
        </w:rPr>
        <w:t>er an informal observation of the work site—a Compliance Officer can demand a variety documents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documents requested include training materials, internal safety audits, disciplinary program materials, and related documents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Any documents turned over</w:t>
      </w:r>
      <w:r>
        <w:rPr>
          <w:rFonts w:ascii="Arial" w:hAnsi="Arial" w:cs="Arial"/>
        </w:rPr>
        <w:t xml:space="preserve"> to OSHA are subject to the Freedom of Information Act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Most important—be prompt and cooperate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Designate a single point of contact for the employer to manage document requests and ask that all document requests be in writing. </w:t>
      </w:r>
    </w:p>
    <w:p w:rsidR="007B248E" w:rsidRDefault="009A05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248E" w:rsidRDefault="009A053D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Citations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Violation o</w:t>
      </w:r>
      <w:r>
        <w:rPr>
          <w:rFonts w:ascii="Arial" w:hAnsi="Arial" w:cs="Arial"/>
        </w:rPr>
        <w:t>f safety regulations will be identified and a citation and penalty  will be issued within 6 months of inspection.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penalty categories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“Other than serious” or “</w:t>
      </w:r>
      <w:r>
        <w:rPr>
          <w:rFonts w:ascii="Arial" w:hAnsi="Arial" w:cs="Arial"/>
          <w:i/>
        </w:rPr>
        <w:t>de minimis”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Probability of death or serious physical injury resulting from the violative co</w:t>
      </w:r>
      <w:r>
        <w:rPr>
          <w:rFonts w:ascii="Arial" w:hAnsi="Arial" w:cs="Arial"/>
        </w:rPr>
        <w:t>ndition does not exist.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“Serious”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violation is serious if it is likely to cause death or serious physical harm.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“Repeat”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violation that may be serious or other-than-serious based on a previous violation of the same or a substantially similar </w:t>
      </w:r>
      <w:r>
        <w:rPr>
          <w:rFonts w:ascii="Arial" w:hAnsi="Arial" w:cs="Arial"/>
        </w:rPr>
        <w:t>standard and hazard. The previous citation must be a final order.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“Willful”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violation committed with intentional or reckless disregard or “plain indifference” to the safety and health of employees.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5"/>
        </w:numPr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Penalties (as of January 23, 2019)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“Willful”: 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maximum penalty for willful violations is $132,260</w:t>
      </w:r>
      <w:r>
        <w:rPr>
          <w:rFonts w:ascii="Arial" w:hAnsi="Arial" w:cs="Arial"/>
        </w:rPr>
        <w:t xml:space="preserve">. 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Willful violations carry a minimum penalty of $5,000 for small employers with fewer than 11 employees who have not been cited for a serious, willful, or repeat violation for the past three years and wi</w:t>
      </w:r>
      <w:r>
        <w:rPr>
          <w:rFonts w:ascii="Arial" w:hAnsi="Arial" w:cs="Arial"/>
        </w:rPr>
        <w:t xml:space="preserve">llful violations that are not serious.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“Repeat”: 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Employers with 250 employees or fewer with prior willful, serious, or other-than-serious penalty: 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Original penalty </w:t>
      </w:r>
      <w:r>
        <w:rPr>
          <w:rFonts w:ascii="Arial" w:hAnsi="Arial" w:cs="Arial"/>
          <w:b/>
        </w:rPr>
        <w:t>multiplied by two for first repeat</w:t>
      </w:r>
      <w:r>
        <w:rPr>
          <w:rFonts w:ascii="Arial" w:hAnsi="Arial" w:cs="Arial"/>
        </w:rPr>
        <w:t xml:space="preserve"> violation, </w:t>
      </w:r>
      <w:r>
        <w:rPr>
          <w:rFonts w:ascii="Arial" w:hAnsi="Arial" w:cs="Arial"/>
          <w:b/>
        </w:rPr>
        <w:t>five for second violation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 xml:space="preserve">up to 10 </w:t>
      </w:r>
      <w:r>
        <w:rPr>
          <w:rFonts w:ascii="Arial" w:hAnsi="Arial" w:cs="Arial"/>
          <w:b/>
        </w:rPr>
        <w:t>for third repeat</w:t>
      </w:r>
      <w:r>
        <w:rPr>
          <w:rFonts w:ascii="Arial" w:hAnsi="Arial" w:cs="Arial"/>
        </w:rPr>
        <w:t xml:space="preserve"> violation. 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Maximum of $132,260.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Reductions available.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Employers with 251 or more employees: 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Original penalty </w:t>
      </w:r>
      <w:r>
        <w:rPr>
          <w:rFonts w:ascii="Arial" w:hAnsi="Arial" w:cs="Arial"/>
          <w:b/>
        </w:rPr>
        <w:t>multiplied by five for first repeat violation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10 for second repeat violation</w:t>
      </w:r>
      <w:r>
        <w:rPr>
          <w:rFonts w:ascii="Arial" w:hAnsi="Arial" w:cs="Arial"/>
        </w:rPr>
        <w:t xml:space="preserve">. 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 reductions are available. Maximum for</w:t>
      </w:r>
      <w:r>
        <w:rPr>
          <w:rFonts w:ascii="Arial" w:hAnsi="Arial" w:cs="Arial"/>
        </w:rPr>
        <w:t xml:space="preserve"> either is $132,260.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“Other-than-serious” without previous penalty.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Generally, $200 for the first repeat violation, $500 for the second, and $1,000 for the third.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“Serious” or “Other-Than-Serious”: 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maximum allowable penalty for these types of ci</w:t>
      </w:r>
      <w:r>
        <w:rPr>
          <w:rFonts w:ascii="Arial" w:hAnsi="Arial" w:cs="Arial"/>
        </w:rPr>
        <w:t xml:space="preserve">tations is $13,260. 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serious citation must always be accompanied by a monetary penalty.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Penalties for other-than-serious violations are not mandatory. 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“Failure to Abate”: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$13,260 per day.</w:t>
      </w:r>
    </w:p>
    <w:p w:rsidR="007B248E" w:rsidRDefault="007B248E">
      <w:pPr>
        <w:rPr>
          <w:rFonts w:ascii="Arial" w:hAnsi="Arial" w:cs="Arial"/>
          <w:b/>
        </w:rPr>
      </w:pPr>
    </w:p>
    <w:p w:rsidR="007B248E" w:rsidRDefault="009A053D">
      <w:pPr>
        <w:pStyle w:val="ListParagraph"/>
        <w:numPr>
          <w:ilvl w:val="0"/>
          <w:numId w:val="5"/>
        </w:numPr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Willful + Death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= A Bad Day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  <w:b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an employer is convicted of a willful violation of a standard that has resulted in the death of an employee, </w:t>
      </w:r>
      <w:r>
        <w:rPr>
          <w:rFonts w:ascii="Arial" w:hAnsi="Arial" w:cs="Arial"/>
          <w:b/>
        </w:rPr>
        <w:t xml:space="preserve">the offense is punishable by a court-imposed fine or by imprisonment for up to six months, or both. A fine of up to $250,000 for an individual, </w:t>
      </w:r>
      <w:r>
        <w:rPr>
          <w:rFonts w:ascii="Arial" w:hAnsi="Arial" w:cs="Arial"/>
          <w:b/>
        </w:rPr>
        <w:t>or $500,000 for a corporation, may be imposed for a criminal conviction.</w:t>
      </w:r>
    </w:p>
    <w:p w:rsidR="007B248E" w:rsidRDefault="007B248E">
      <w:pPr>
        <w:pStyle w:val="ListParagraph"/>
        <w:jc w:val="both"/>
        <w:rPr>
          <w:rFonts w:ascii="Arial" w:hAnsi="Arial" w:cs="Arial"/>
          <w:b/>
        </w:rPr>
      </w:pPr>
    </w:p>
    <w:p w:rsidR="007B248E" w:rsidRDefault="009A053D">
      <w:pPr>
        <w:pStyle w:val="ListParagraph"/>
        <w:numPr>
          <w:ilvl w:val="0"/>
          <w:numId w:val="5"/>
        </w:numPr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Adjudication of Citations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Employer has 15 work days from receipt of citation to serve a Notice of Contest, or the citation and penalty are final.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OSHA encourages resolution at an I</w:t>
      </w:r>
      <w:r>
        <w:rPr>
          <w:rFonts w:ascii="Arial" w:hAnsi="Arial" w:cs="Arial"/>
        </w:rPr>
        <w:t>nformal Conference.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cavete vobis dico</w:t>
      </w:r>
      <w:r>
        <w:rPr>
          <w:rFonts w:ascii="Arial" w:hAnsi="Arial" w:cs="Arial"/>
        </w:rPr>
        <w:t>- a $7,000 penalty settled for $5,000 can easily be the basis for a $70,000 Repeat Citation.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59690</wp:posOffset>
                </wp:positionV>
                <wp:extent cx="4572000" cy="16478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Practice Tip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 not automatically accept the low-ball offer at the Informal Conference.</w:t>
                            </w:r>
                          </w:p>
                          <w:p w:rsidR="007B248E" w:rsidRDefault="007B24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Practice Tip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Settle those </w:t>
                            </w:r>
                            <w:r>
                              <w:rPr>
                                <w:rFonts w:ascii="Arial" w:hAnsi="Arial" w:cs="Arial"/>
                              </w:rPr>
                              <w:t>with low risk of repeats and those that can be managed through better practices. Fight if high risk of repeat, willful, or death.</w:t>
                            </w:r>
                          </w:p>
                          <w:p w:rsidR="007B248E" w:rsidRDefault="007B24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B248E" w:rsidRDefault="007B2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.75pt;margin-top:4.7pt;width:5in;height:1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" strokecolor="#c00000">
                <v:textbox>
                  <w:txbxContent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Practice Tip</w:t>
                      </w:r>
                      <w:r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 not automatically accept the low-ball offer at the Informal Conference.</w:t>
                      </w:r>
                    </w:p>
                    <w:p w:rsidR="007B248E" w:rsidRDefault="007B24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Practice Tip</w:t>
                      </w:r>
                      <w:r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Settle those </w:t>
                      </w:r>
                      <w:r>
                        <w:rPr>
                          <w:rFonts w:ascii="Arial" w:hAnsi="Arial" w:cs="Arial"/>
                        </w:rPr>
                        <w:t>with low risk of repeats and those that can be managed through better practices. Fight if high risk of repeat, willful, or death.</w:t>
                      </w:r>
                    </w:p>
                    <w:p w:rsidR="007B248E" w:rsidRDefault="007B24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B248E" w:rsidRDefault="007B248E"/>
                  </w:txbxContent>
                </v:textbox>
              </v:shape>
            </w:pict>
          </mc:Fallback>
        </mc:AlternateConten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employer contesting a citation is entitled to an evidentiary hearing before an Administrative Law Judge (“AL</w:t>
      </w:r>
      <w:r>
        <w:rPr>
          <w:rFonts w:ascii="Arial" w:hAnsi="Arial" w:cs="Arial"/>
        </w:rPr>
        <w:t xml:space="preserve">J”), at which the Secretary bears the burden of proof. </w:t>
      </w:r>
      <w:r>
        <w:rPr>
          <w:rFonts w:ascii="Arial" w:hAnsi="Arial" w:cs="Arial"/>
          <w:i/>
        </w:rPr>
        <w:t>See</w:t>
      </w:r>
      <w:r>
        <w:rPr>
          <w:rFonts w:ascii="Arial" w:hAnsi="Arial" w:cs="Arial"/>
        </w:rPr>
        <w:t xml:space="preserve"> 29 U.S.C. § 659(c); </w:t>
      </w:r>
      <w:r>
        <w:rPr>
          <w:rFonts w:ascii="Arial" w:hAnsi="Arial" w:cs="Arial"/>
          <w:i/>
        </w:rPr>
        <w:t>Atlas Roofing Co., Inc. v. Occupational Safety &amp; Health Review Comm’n</w:t>
      </w:r>
      <w:r>
        <w:rPr>
          <w:rFonts w:ascii="Arial" w:hAnsi="Arial" w:cs="Arial"/>
        </w:rPr>
        <w:t xml:space="preserve">, 430 U.S. 442, 446, 97 S.Ct. 1261, 1264, 51 L. Ed .2d 464 (1977).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191136</wp:posOffset>
                </wp:positionV>
                <wp:extent cx="4572000" cy="9715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8E" w:rsidRDefault="007B24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Practice Tip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Most ALJ’s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former OSHA Prosecutors and the deck is stacked in OSHA’s favor.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15.05pt;width:5in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" strokecolor="#c00000">
                <v:textbox>
                  <w:txbxContent>
                    <w:p w:rsidR="007B248E" w:rsidRDefault="007B24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Practice Tip</w:t>
                      </w:r>
                      <w:r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Most ALJ’s are </w:t>
                      </w:r>
                      <w:r>
                        <w:rPr>
                          <w:rFonts w:ascii="Arial" w:hAnsi="Arial" w:cs="Arial"/>
                        </w:rPr>
                        <w:t>former OSHA Prosecutors and the deck is stacked in OSHA’s favor.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Secretary must make out prima facie case by showing:</w:t>
      </w:r>
    </w:p>
    <w:p w:rsidR="007B248E" w:rsidRDefault="007B248E">
      <w:pPr>
        <w:pStyle w:val="ListParagraph"/>
        <w:ind w:left="144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the regulation applied; 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it was violated;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an employee was exposed to the hazard that was created; and </w:t>
      </w:r>
    </w:p>
    <w:p w:rsidR="007B248E" w:rsidRDefault="007B248E">
      <w:pPr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that the emp</w:t>
      </w:r>
      <w:r>
        <w:rPr>
          <w:rFonts w:ascii="Arial" w:hAnsi="Arial" w:cs="Arial"/>
        </w:rPr>
        <w:t xml:space="preserve">loyer “knowingly disregarded” the Act’s requirements. </w:t>
      </w:r>
      <w:r>
        <w:rPr>
          <w:rFonts w:ascii="Arial" w:hAnsi="Arial" w:cs="Arial"/>
          <w:i/>
        </w:rPr>
        <w:t>See Cleveland Consolidated, Inc. v. Occupational Safety &amp; Health Review Comm’n</w:t>
      </w:r>
      <w:r>
        <w:rPr>
          <w:rFonts w:ascii="Arial" w:hAnsi="Arial" w:cs="Arial"/>
        </w:rPr>
        <w:t>, 649 F.2d 1160, 1165 (5th Cir. 1981).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ALJ will make findings of fact and conclusions of law, and issue an order affirm</w:t>
      </w:r>
      <w:r>
        <w:rPr>
          <w:rFonts w:ascii="Arial" w:hAnsi="Arial" w:cs="Arial"/>
        </w:rPr>
        <w:t xml:space="preserve">ing, modifying, or vacating the citation. </w:t>
      </w:r>
      <w:r>
        <w:rPr>
          <w:rFonts w:ascii="Arial" w:hAnsi="Arial" w:cs="Arial"/>
          <w:i/>
        </w:rPr>
        <w:t>See New York State Elec. &amp; Gas Corp.</w:t>
      </w:r>
      <w:r>
        <w:rPr>
          <w:rFonts w:ascii="Arial" w:hAnsi="Arial" w:cs="Arial"/>
        </w:rPr>
        <w:t>, 88 F.3d at 103 (citing 29 U.S.C. § 659(c)).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party affected or aggrieved by the ALJ’s decision petitions the Commission for discretionary review, 29 C.F.R. § 2200.91, and a C</w:t>
      </w:r>
      <w:r>
        <w:rPr>
          <w:rFonts w:ascii="Arial" w:hAnsi="Arial" w:cs="Arial"/>
        </w:rPr>
        <w:t xml:space="preserve">ommission member requests that the case be reviewed by the full Commission. </w:t>
      </w:r>
      <w:r>
        <w:rPr>
          <w:rFonts w:ascii="Arial" w:hAnsi="Arial" w:cs="Arial"/>
          <w:i/>
        </w:rPr>
        <w:t>See</w:t>
      </w:r>
      <w:r>
        <w:rPr>
          <w:rFonts w:ascii="Arial" w:hAnsi="Arial" w:cs="Arial"/>
        </w:rPr>
        <w:t xml:space="preserve"> 29 U.S.C. § 661(j).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Appeals from final decisions of the Commission are reviewed directly by the Courts of Appeals. </w:t>
      </w:r>
      <w:r>
        <w:rPr>
          <w:rFonts w:ascii="Arial" w:hAnsi="Arial" w:cs="Arial"/>
          <w:i/>
        </w:rPr>
        <w:t>See</w:t>
      </w:r>
      <w:r>
        <w:rPr>
          <w:rFonts w:ascii="Arial" w:hAnsi="Arial" w:cs="Arial"/>
        </w:rPr>
        <w:t xml:space="preserve"> 29 U.S.C. § 660(a).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Commission and its ALJs are bou</w:t>
      </w:r>
      <w:r>
        <w:rPr>
          <w:rFonts w:ascii="Arial" w:hAnsi="Arial" w:cs="Arial"/>
        </w:rPr>
        <w:t xml:space="preserve">nd to follow the law of the circuit to which the case would most likely be appealed. </w:t>
      </w:r>
      <w:r>
        <w:rPr>
          <w:rFonts w:ascii="Arial" w:hAnsi="Arial" w:cs="Arial"/>
          <w:i/>
        </w:rPr>
        <w:t>See, e.g., Secretary of Labor v. Interstate Brands Corp.</w:t>
      </w:r>
      <w:r>
        <w:rPr>
          <w:rFonts w:ascii="Arial" w:hAnsi="Arial" w:cs="Arial"/>
        </w:rPr>
        <w:t>, 20 O.S.H. Cas. (BNA) 1102, at *2 n. 7 (2003).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0"/>
          <w:numId w:val="5"/>
        </w:numPr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Defenses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Affirmative defenses normally fall into three categories: coverage, substantive, and procedural.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Coverage refers to those businesses that are included in OSHA’s jurisdiction by the Act and regulations. Defenses arise when the Secretary of Labor cites a b</w:t>
      </w:r>
      <w:r>
        <w:rPr>
          <w:rFonts w:ascii="Arial" w:hAnsi="Arial" w:cs="Arial"/>
        </w:rPr>
        <w:t xml:space="preserve">usiness on which OSHA imposes no duties, such as a citation to an engineering firm that participated in the design of the project but has no actual on-site supervisory authority.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Substantive defenses deal with the merits of the Secretary of Labor charge.</w:t>
      </w:r>
      <w:r>
        <w:rPr>
          <w:rFonts w:ascii="Arial" w:hAnsi="Arial" w:cs="Arial"/>
        </w:rPr>
        <w:t xml:space="preserve"> For example, by claiming it could not feasibly comply with a specific standard, an employer would be raising a substantive defense.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Employers can raise procedural defenses when the Secretary failed to follow the requirements in conducting an inspection </w:t>
      </w:r>
      <w:r>
        <w:rPr>
          <w:rFonts w:ascii="Arial" w:hAnsi="Arial" w:cs="Arial"/>
        </w:rPr>
        <w:t>or issuing a citation.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Common Defenses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Lack of employer knowledge 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Secretary can prove employer knowledge of the violation in one of two ways. 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4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First, where the Secretary shows that a supervisor had either actual or constructive knowledge. </w:t>
      </w:r>
      <w:r>
        <w:rPr>
          <w:rFonts w:ascii="Arial" w:hAnsi="Arial" w:cs="Arial"/>
          <w:i/>
        </w:rPr>
        <w:t>See Geor</w:t>
      </w:r>
      <w:r>
        <w:rPr>
          <w:rFonts w:ascii="Arial" w:hAnsi="Arial" w:cs="Arial"/>
          <w:i/>
        </w:rPr>
        <w:t>gia Elec. Co. v. Marshall</w:t>
      </w:r>
      <w:r>
        <w:rPr>
          <w:rFonts w:ascii="Arial" w:hAnsi="Arial" w:cs="Arial"/>
        </w:rPr>
        <w:t xml:space="preserve">, 595 F.2d 309, 321 (5th Cir. 1979); </w:t>
      </w:r>
      <w:r>
        <w:rPr>
          <w:rFonts w:ascii="Arial" w:hAnsi="Arial" w:cs="Arial"/>
          <w:i/>
        </w:rPr>
        <w:t>New York State Elec. &amp; Gas Corp</w:t>
      </w:r>
      <w:r>
        <w:rPr>
          <w:rFonts w:ascii="Arial" w:hAnsi="Arial" w:cs="Arial"/>
        </w:rPr>
        <w:t xml:space="preserve">., 88 F.3d at 105; </w:t>
      </w:r>
      <w:r>
        <w:rPr>
          <w:rFonts w:ascii="Arial" w:hAnsi="Arial" w:cs="Arial"/>
          <w:i/>
        </w:rPr>
        <w:t>see also Secretary of Labor v. Access Equip. Sys., Inc.</w:t>
      </w:r>
      <w:r>
        <w:rPr>
          <w:rFonts w:ascii="Arial" w:hAnsi="Arial" w:cs="Arial"/>
        </w:rPr>
        <w:t>, 18 O.S.H. Cas. (BNA) 1718, at *9 (1999).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4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the alternative, the Secretary can show kn</w:t>
      </w:r>
      <w:r>
        <w:rPr>
          <w:rFonts w:ascii="Arial" w:hAnsi="Arial" w:cs="Arial"/>
        </w:rPr>
        <w:t>owledge based upon the employer’s failure to implement an adequate safety program, with the rationale being that—in the absence of such a program—the misconduct was reasonably foreseeable.</w: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2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affirmative defense of unpreventable or unforeseeable employee</w:t>
      </w:r>
      <w:r>
        <w:rPr>
          <w:rFonts w:ascii="Arial" w:hAnsi="Arial" w:cs="Arial"/>
        </w:rPr>
        <w:t xml:space="preserve"> misconduct.</w:t>
      </w:r>
    </w:p>
    <w:p w:rsidR="007B248E" w:rsidRDefault="007B248E">
      <w:pPr>
        <w:pStyle w:val="ListParagraph"/>
        <w:ind w:left="216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3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defense requires the employer to show that it: </w:t>
      </w:r>
    </w:p>
    <w:p w:rsidR="007B248E" w:rsidRDefault="007B248E">
      <w:pPr>
        <w:pStyle w:val="ListParagraph"/>
        <w:ind w:left="288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4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created a work rule to prevent the violation at issue; </w:t>
      </w:r>
    </w:p>
    <w:p w:rsidR="007B248E" w:rsidRDefault="007B248E">
      <w:pPr>
        <w:pStyle w:val="ListParagraph"/>
        <w:ind w:left="360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4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adequately communicated that rule to its employees; </w:t>
      </w:r>
    </w:p>
    <w:p w:rsidR="007B248E" w:rsidRDefault="009A05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B248E" w:rsidRDefault="007B248E">
      <w:pPr>
        <w:pStyle w:val="ListParagraph"/>
        <w:ind w:left="360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4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took all reasonable steps to discover noncompliance; and </w:t>
      </w:r>
    </w:p>
    <w:p w:rsidR="007B248E" w:rsidRDefault="007B248E">
      <w:pPr>
        <w:pStyle w:val="ListParagraph"/>
        <w:ind w:left="360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numPr>
          <w:ilvl w:val="4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enforced the </w:t>
      </w:r>
      <w:r>
        <w:rPr>
          <w:rFonts w:ascii="Arial" w:hAnsi="Arial" w:cs="Arial"/>
        </w:rPr>
        <w:t>rule against employees when violations were discovered.</w:t>
      </w:r>
    </w:p>
    <w:p w:rsidR="007B248E" w:rsidRDefault="007B248E">
      <w:pPr>
        <w:pStyle w:val="ListParagraph"/>
        <w:ind w:left="3600"/>
        <w:jc w:val="both"/>
        <w:rPr>
          <w:rFonts w:ascii="Arial" w:hAnsi="Arial" w:cs="Arial"/>
        </w:rPr>
      </w:pPr>
    </w:p>
    <w:p w:rsidR="007B248E" w:rsidRDefault="009A053D">
      <w:pPr>
        <w:pStyle w:val="ListParagraph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97790</wp:posOffset>
                </wp:positionV>
                <wp:extent cx="5295900" cy="10096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Practice Tip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  <w:p w:rsidR="007B248E" w:rsidRDefault="007B248E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:rsidR="007B248E" w:rsidRDefault="009A05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Educate your employers on the “Hot Topics” for rules, training, communication, and disciplinary actions.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I.e.</w:t>
                            </w:r>
                            <w:r>
                              <w:rPr>
                                <w:rFonts w:ascii="Arial" w:hAnsi="Arial" w:cs="Arial"/>
                              </w:rPr>
                              <w:t>,  a roofer need not spend time on trench safety and no one ever gets ci</w:t>
                            </w:r>
                            <w:r>
                              <w:rPr>
                                <w:rFonts w:ascii="Arial" w:hAnsi="Arial" w:cs="Arial"/>
                              </w:rPr>
                              <w:t>ted for a bee sting.</w:t>
                            </w:r>
                          </w:p>
                          <w:p w:rsidR="007B248E" w:rsidRDefault="007B248E">
                            <w:pPr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B248E" w:rsidRDefault="007B2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.25pt;margin-top:7.7pt;width:417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3CJwIAAEw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" strokecolor="#c00000">
                <v:textbox>
                  <w:txbxContent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Practice Tip</w:t>
                      </w:r>
                      <w:r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  <w:p w:rsidR="007B248E" w:rsidRDefault="007B248E">
                      <w:pPr>
                        <w:jc w:val="center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:rsidR="007B248E" w:rsidRDefault="009A05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Educate your employers on the “Hot Topics” for rules, training, communication, and disciplinary actions. </w:t>
                      </w:r>
                      <w:r>
                        <w:rPr>
                          <w:rFonts w:ascii="Arial" w:hAnsi="Arial" w:cs="Arial"/>
                          <w:i/>
                        </w:rPr>
                        <w:t>I.e.</w:t>
                      </w:r>
                      <w:r>
                        <w:rPr>
                          <w:rFonts w:ascii="Arial" w:hAnsi="Arial" w:cs="Arial"/>
                        </w:rPr>
                        <w:t>,  a roofer need not spend time on trench safety and no one ever gets ci</w:t>
                      </w:r>
                      <w:r>
                        <w:rPr>
                          <w:rFonts w:ascii="Arial" w:hAnsi="Arial" w:cs="Arial"/>
                        </w:rPr>
                        <w:t>ted for a bee sting.</w:t>
                      </w:r>
                    </w:p>
                    <w:p w:rsidR="007B248E" w:rsidRDefault="007B248E">
                      <w:pPr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7B248E" w:rsidRDefault="007B248E"/>
                  </w:txbxContent>
                </v:textbox>
              </v:shape>
            </w:pict>
          </mc:Fallback>
        </mc:AlternateContent>
      </w:r>
    </w:p>
    <w:p w:rsidR="007B248E" w:rsidRDefault="007B248E">
      <w:pPr>
        <w:pStyle w:val="ListParagraph"/>
        <w:jc w:val="both"/>
        <w:rPr>
          <w:rFonts w:ascii="Arial" w:hAnsi="Arial" w:cs="Arial"/>
        </w:rPr>
      </w:pPr>
    </w:p>
    <w:p w:rsidR="007B248E" w:rsidRDefault="007B248E">
      <w:pPr>
        <w:ind w:left="720"/>
        <w:jc w:val="both"/>
        <w:rPr>
          <w:rFonts w:ascii="Arial" w:hAnsi="Arial" w:cs="Arial"/>
          <w:highlight w:val="yellow"/>
        </w:rPr>
      </w:pPr>
    </w:p>
    <w:p w:rsidR="007B248E" w:rsidRDefault="007B248E">
      <w:pPr>
        <w:ind w:left="720"/>
        <w:jc w:val="both"/>
        <w:rPr>
          <w:rFonts w:ascii="Arial" w:hAnsi="Arial" w:cs="Arial"/>
          <w:highlight w:val="yellow"/>
        </w:rPr>
      </w:pPr>
    </w:p>
    <w:p w:rsidR="007B248E" w:rsidRDefault="007B248E">
      <w:pPr>
        <w:ind w:left="720"/>
        <w:jc w:val="both"/>
        <w:rPr>
          <w:rFonts w:ascii="Arial" w:hAnsi="Arial" w:cs="Arial"/>
          <w:highlight w:val="yellow"/>
        </w:rPr>
      </w:pPr>
    </w:p>
    <w:p w:rsidR="007B248E" w:rsidRDefault="009A053D">
      <w:pPr>
        <w:spacing w:line="200" w:lineRule="exact"/>
      </w:pPr>
      <w:r>
        <w:t xml:space="preserve"> </w:t>
      </w:r>
    </w:p>
    <w:sectPr w:rsidR="007B2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8E" w:rsidRDefault="009A053D">
      <w:r>
        <w:separator/>
      </w:r>
    </w:p>
  </w:endnote>
  <w:endnote w:type="continuationSeparator" w:id="0">
    <w:p w:rsidR="007B248E" w:rsidRDefault="009A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53D" w:rsidRDefault="009A0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772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248E" w:rsidRDefault="007B248E">
        <w:pPr>
          <w:pStyle w:val="Footer"/>
          <w:jc w:val="center"/>
          <w:rPr>
            <w:noProof/>
          </w:rPr>
        </w:pPr>
      </w:p>
      <w:p w:rsidR="007B248E" w:rsidRDefault="009A053D">
        <w:pPr>
          <w:jc w:val="both"/>
          <w:rPr>
            <w:rFonts w:ascii="Arial" w:eastAsia="Times" w:hAnsi="Arial" w:cs="Arial"/>
            <w:szCs w:val="18"/>
          </w:rPr>
        </w:pPr>
        <w:r>
          <w:rPr>
            <w:rFonts w:ascii="Arial" w:eastAsia="Times" w:hAnsi="Arial" w:cs="Arial"/>
            <w:noProof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6423660" cy="0"/>
                  <wp:effectExtent l="9525" t="9525" r="5715" b="9525"/>
                  <wp:wrapSquare wrapText="bothSides"/>
                  <wp:docPr id="5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236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505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" strokecolor="gray" strokeweight=".25pt">
                  <w10:wrap type="square"/>
                </v:line>
              </w:pict>
            </mc:Fallback>
          </mc:AlternateConten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733"/>
          <w:gridCol w:w="2184"/>
          <w:gridCol w:w="659"/>
        </w:tblGrid>
        <w:tr w:rsidR="007B248E">
          <w:tc>
            <w:tcPr>
              <w:tcW w:w="7218" w:type="dxa"/>
              <w:shd w:val="clear" w:color="auto" w:fill="auto"/>
            </w:tcPr>
            <w:p w:rsidR="007B248E" w:rsidRDefault="009A053D">
              <w:pPr>
                <w:jc w:val="both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p>
          </w:tc>
          <w:tc>
            <w:tcPr>
              <w:tcW w:w="2250" w:type="dxa"/>
              <w:shd w:val="clear" w:color="auto" w:fill="auto"/>
            </w:tcPr>
            <w:p w:rsidR="007B248E" w:rsidRDefault="009A053D">
              <w:pPr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color w:val="A90533"/>
                  <w:sz w:val="18"/>
                  <w:szCs w:val="18"/>
                </w:rPr>
                <w:t>www.gray-robinson.com</w:t>
              </w:r>
            </w:p>
          </w:tc>
          <w:tc>
            <w:tcPr>
              <w:tcW w:w="684" w:type="dxa"/>
              <w:shd w:val="clear" w:color="auto" w:fill="auto"/>
            </w:tcPr>
            <w:p w:rsidR="007B248E" w:rsidRDefault="009A053D">
              <w:pPr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tc>
        </w:tr>
      </w:tbl>
      <w:p w:rsidR="007B248E" w:rsidRDefault="007B248E">
        <w:pPr>
          <w:pStyle w:val="Footer"/>
          <w:spacing w:line="200" w:lineRule="exact"/>
        </w:pPr>
      </w:p>
      <w:p w:rsidR="007B248E" w:rsidRDefault="009A053D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8E" w:rsidRDefault="009A053D">
    <w:pPr>
      <w:pStyle w:val="PAWebisteAddress"/>
      <w:spacing w:before="0" w:after="0" w:line="240" w:lineRule="auto"/>
      <w:ind w:left="5040" w:right="216" w:hanging="5040"/>
      <w:rPr>
        <w:b/>
        <w:i w:val="0"/>
        <w:color w:val="A90533"/>
      </w:rPr>
    </w:pPr>
    <w:r>
      <w:rPr>
        <w:b/>
        <w:i w:val="0"/>
        <w:color w:val="A90533"/>
      </w:rPr>
      <w:t>www.gray-robinson.com</w:t>
    </w:r>
  </w:p>
  <w:p w:rsidR="007B248E" w:rsidRDefault="009A053D">
    <w:pPr>
      <w:pStyle w:val="PAWebisteAddress"/>
      <w:spacing w:before="0" w:after="0" w:line="240" w:lineRule="auto"/>
      <w:ind w:left="5040" w:right="216"/>
      <w:jc w:val="right"/>
      <w:rPr>
        <w:b/>
        <w:i w:val="0"/>
        <w:color w:val="013C59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172200" cy="0"/>
              <wp:effectExtent l="9525" t="12700" r="9525" b="6350"/>
              <wp:wrapSquare wrapText="bothSides"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8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" strokecolor="gray" strokeweight=".25pt">
              <w10:wrap type="square"/>
            </v:line>
          </w:pict>
        </mc:Fallback>
      </mc:AlternateContent>
    </w:r>
  </w:p>
  <w:p w:rsidR="007B248E" w:rsidRDefault="009A053D">
    <w:pPr>
      <w:ind w:left="-720"/>
      <w:jc w:val="center"/>
      <w:rPr>
        <w:rFonts w:cs="Arial"/>
        <w:color w:val="808080"/>
        <w:sz w:val="18"/>
        <w:szCs w:val="16"/>
      </w:rPr>
    </w:pPr>
    <w:r>
      <w:rPr>
        <w:rFonts w:cs="Arial"/>
        <w:color w:val="808080"/>
        <w:sz w:val="18"/>
        <w:szCs w:val="16"/>
      </w:rPr>
      <w:t xml:space="preserve">Boca Raton | Fort Lauderdale </w:t>
    </w:r>
    <w:r>
      <w:rPr>
        <w:color w:val="808080"/>
        <w:sz w:val="18"/>
        <w:szCs w:val="16"/>
      </w:rPr>
      <w:t>│</w:t>
    </w:r>
    <w:r>
      <w:rPr>
        <w:rFonts w:cs="Arial"/>
        <w:color w:val="808080"/>
        <w:sz w:val="18"/>
        <w:szCs w:val="16"/>
      </w:rPr>
      <w:t xml:space="preserve">Gainesville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Jacksonville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Key West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Lakeland</w:t>
      </w:r>
    </w:smartTag>
    <w:r>
      <w:rPr>
        <w:rFonts w:cs="Arial"/>
        <w:color w:val="808080"/>
        <w:sz w:val="18"/>
        <w:szCs w:val="16"/>
      </w:rPr>
      <w:t xml:space="preserve">  </w:t>
    </w:r>
  </w:p>
  <w:p w:rsidR="007B248E" w:rsidRDefault="009A053D">
    <w:pPr>
      <w:ind w:left="-720"/>
      <w:jc w:val="center"/>
      <w:rPr>
        <w:rFonts w:cs="Arial"/>
        <w:color w:val="808080"/>
        <w:sz w:val="18"/>
        <w:szCs w:val="16"/>
      </w:rPr>
    </w:pPr>
    <w:smartTag w:uri="urn:schemas-microsoft-com:office:smarttags" w:element="City">
      <w:r>
        <w:rPr>
          <w:rFonts w:cs="Arial"/>
          <w:color w:val="808080"/>
          <w:sz w:val="18"/>
          <w:szCs w:val="16"/>
        </w:rPr>
        <w:t>Melbourne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Miami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Naples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Orlando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r>
        <w:rPr>
          <w:rFonts w:cs="Arial"/>
          <w:color w:val="808080"/>
          <w:sz w:val="18"/>
          <w:szCs w:val="16"/>
        </w:rPr>
        <w:t>Tallahassee</w:t>
      </w:r>
    </w:smartTag>
    <w:r>
      <w:rPr>
        <w:rFonts w:cs="Arial"/>
        <w:color w:val="808080"/>
        <w:sz w:val="18"/>
        <w:szCs w:val="16"/>
      </w:rPr>
      <w:t xml:space="preserve"> | </w:t>
    </w:r>
    <w:smartTag w:uri="urn:schemas-microsoft-com:office:smarttags" w:element="City">
      <w:smartTag w:uri="urn:schemas-microsoft-com:office:smarttags" w:element="place">
        <w:r>
          <w:rPr>
            <w:rFonts w:cs="Arial"/>
            <w:color w:val="808080"/>
            <w:sz w:val="18"/>
            <w:szCs w:val="16"/>
          </w:rPr>
          <w:t>Tampa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8E" w:rsidRDefault="009A053D">
      <w:r>
        <w:separator/>
      </w:r>
    </w:p>
  </w:footnote>
  <w:footnote w:type="continuationSeparator" w:id="0">
    <w:p w:rsidR="007B248E" w:rsidRDefault="009A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53D" w:rsidRDefault="009A0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8E" w:rsidRDefault="009A053D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533400</wp:posOffset>
              </wp:positionV>
              <wp:extent cx="6423660" cy="0"/>
              <wp:effectExtent l="9525" t="9525" r="5715" b="9525"/>
              <wp:wrapSquare wrapText="bothSides"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3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2pt" to="502.8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" strokecolor="gray" strokeweight=".25pt"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2468880" cy="382905"/>
          <wp:effectExtent l="0" t="0" r="7620" b="0"/>
          <wp:wrapTight wrapText="bothSides">
            <wp:wrapPolygon edited="0">
              <wp:start x="6833" y="0"/>
              <wp:lineTo x="0" y="3224"/>
              <wp:lineTo x="0" y="13970"/>
              <wp:lineTo x="10333" y="20418"/>
              <wp:lineTo x="21500" y="20418"/>
              <wp:lineTo x="21500" y="3224"/>
              <wp:lineTo x="7500" y="0"/>
              <wp:lineTo x="6833" y="0"/>
            </wp:wrapPolygon>
          </wp:wrapTight>
          <wp:docPr id="1" name="Picture 1" descr="Grayrobinson_4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yrobinson_4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248E" w:rsidRDefault="007B248E">
    <w:pPr>
      <w:pStyle w:val="Header"/>
    </w:pPr>
  </w:p>
  <w:p w:rsidR="007B248E" w:rsidRDefault="007B248E">
    <w:pPr>
      <w:pStyle w:val="Header"/>
    </w:pPr>
  </w:p>
  <w:p w:rsidR="007B248E" w:rsidRDefault="007B248E">
    <w:pPr>
      <w:pStyle w:val="Header"/>
    </w:pPr>
  </w:p>
  <w:p w:rsidR="007B248E" w:rsidRDefault="007B2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8E" w:rsidRDefault="009A053D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2468880" cy="382905"/>
          <wp:effectExtent l="0" t="0" r="7620" b="0"/>
          <wp:wrapTight wrapText="bothSides">
            <wp:wrapPolygon edited="0">
              <wp:start x="6833" y="0"/>
              <wp:lineTo x="0" y="3224"/>
              <wp:lineTo x="0" y="13970"/>
              <wp:lineTo x="10333" y="20418"/>
              <wp:lineTo x="21500" y="20418"/>
              <wp:lineTo x="21500" y="3224"/>
              <wp:lineTo x="7500" y="0"/>
              <wp:lineTo x="6833" y="0"/>
            </wp:wrapPolygon>
          </wp:wrapTight>
          <wp:docPr id="11" name="Picture 11" descr="Grayrobinson_4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yrobinson_4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248E" w:rsidRDefault="007B248E">
    <w:pPr>
      <w:pStyle w:val="Header"/>
    </w:pPr>
  </w:p>
  <w:p w:rsidR="007B248E" w:rsidRDefault="007B248E">
    <w:pPr>
      <w:pStyle w:val="Header"/>
    </w:pPr>
  </w:p>
  <w:p w:rsidR="007B248E" w:rsidRDefault="007B2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385"/>
    <w:multiLevelType w:val="hybridMultilevel"/>
    <w:tmpl w:val="1D90A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262C"/>
    <w:multiLevelType w:val="hybridMultilevel"/>
    <w:tmpl w:val="22986D16"/>
    <w:lvl w:ilvl="0" w:tplc="76200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B6C29A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628F"/>
    <w:multiLevelType w:val="hybridMultilevel"/>
    <w:tmpl w:val="C76A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C4F60"/>
    <w:multiLevelType w:val="hybridMultilevel"/>
    <w:tmpl w:val="CD42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B57F8"/>
    <w:multiLevelType w:val="hybridMultilevel"/>
    <w:tmpl w:val="413C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4B7B"/>
    <w:multiLevelType w:val="hybridMultilevel"/>
    <w:tmpl w:val="D2C6847E"/>
    <w:lvl w:ilvl="0" w:tplc="2B6C29A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87B"/>
    <w:multiLevelType w:val="hybridMultilevel"/>
    <w:tmpl w:val="B63A6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E4932"/>
    <w:multiLevelType w:val="hybridMultilevel"/>
    <w:tmpl w:val="6C7E8400"/>
    <w:lvl w:ilvl="0" w:tplc="8AFED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5E843C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6B7F5A"/>
    <w:multiLevelType w:val="hybridMultilevel"/>
    <w:tmpl w:val="D028294C"/>
    <w:lvl w:ilvl="0" w:tplc="45D6B0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" w15:restartNumberingAfterBreak="0">
    <w:nsid w:val="6A675171"/>
    <w:multiLevelType w:val="hybridMultilevel"/>
    <w:tmpl w:val="4BE02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AuthorID" w:val="0"/>
    <w:docVar w:name="85ClientMatter" w:val="1"/>
    <w:docVar w:name="85TrailerDate" w:val="0"/>
    <w:docVar w:name="85TrailerDateField" w:val="1"/>
    <w:docVar w:name="85TrailerDraft" w:val="0"/>
    <w:docVar w:name="85TrailerTime" w:val="0"/>
    <w:docVar w:name="MPDocID" w:val="\980026\1 - # 11790486 v1"/>
    <w:docVar w:name="MPDocIDTemplate" w:val="|\%c|\%m - |%u - |%d - |# %n |v%v"/>
    <w:docVar w:name="MPDocIDTemplateDefault" w:val="|\%c|\%m - |%u - |%d - |# %n |v%v"/>
    <w:docVar w:name="NewDocStampType" w:val="2"/>
    <w:docVar w:name="zzmp10NoTrailerPromptID" w:val="JACKSON1.1836588.1"/>
  </w:docVars>
  <w:rsids>
    <w:rsidRoot w:val="007B248E"/>
    <w:rsid w:val="007B248E"/>
    <w:rsid w:val="009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5:docId w15:val="{6F1F7A5A-9B7D-4ED5-9C96-7A04735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sz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PAWebisteAddress">
    <w:name w:val="PA Webiste Address"/>
    <w:basedOn w:val="Normal"/>
    <w:semiHidden/>
    <w:pPr>
      <w:tabs>
        <w:tab w:val="left" w:pos="-1440"/>
        <w:tab w:val="left" w:pos="-720"/>
      </w:tabs>
      <w:suppressAutoHyphens/>
      <w:spacing w:before="240" w:after="240" w:line="276" w:lineRule="auto"/>
      <w:jc w:val="center"/>
    </w:pPr>
    <w:rPr>
      <w:rFonts w:ascii="Arial" w:hAnsi="Arial" w:cs="Arial"/>
      <w:i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BEEE-7D9E-4A29-B607-9CC1136B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1577</Words>
  <Characters>8989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GrayRobinson, P.A.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2</cp:revision>
  <cp:lastPrinted>2014-09-08T13:39:00Z</cp:lastPrinted>
  <dcterms:created xsi:type="dcterms:W3CDTF">2019-08-08T21:03:00Z</dcterms:created>
  <dcterms:modified xsi:type="dcterms:W3CDTF">2019-08-08T21:03:00Z</dcterms:modified>
</cp:coreProperties>
</file>