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36"/>
                <w:szCs w:val="36"/>
              </w:rPr>
            </w:pPr>
            <w:bookmarkStart w:id="0" w:name="AgendaTitle"/>
            <w:bookmarkEnd w:id="0"/>
            <w:r>
              <w:rPr>
                <w:b/>
                <w:sz w:val="36"/>
                <w:szCs w:val="36"/>
              </w:rPr>
              <w:t>Florida Bar - RPPTL Section Construction Law Committee / Insurance &amp; Surety Law Committee Joint Telephone Conference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July 25, 2019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10:30 AM -12:00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Participant Code: 3532412014#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[Moderator Code: 65415.  To start and end recording of meeting, press #7.  To mute and unmute lines, press *7]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Sanjay Kurian</w:t>
            </w: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/ Insurance &amp; Surety Law Committee Joint Telephone Conference (Breakers Meeting)</w:t>
            </w:r>
          </w:p>
        </w:tc>
      </w:tr>
      <w:bookmarkEnd w:id="1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Introductions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– Vice Chair of </w:t>
            </w:r>
            <w:proofErr w:type="spellStart"/>
            <w:r>
              <w:rPr>
                <w:bCs/>
                <w:color w:val="000000" w:themeColor="text1"/>
                <w:sz w:val="20"/>
              </w:rPr>
              <w:t>CLC</w:t>
            </w:r>
            <w:proofErr w:type="spellEnd"/>
          </w:p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Michael Meyer – Chair of </w:t>
            </w:r>
            <w:proofErr w:type="spellStart"/>
            <w:r>
              <w:rPr>
                <w:bCs/>
                <w:color w:val="000000" w:themeColor="text1"/>
                <w:sz w:val="20"/>
              </w:rPr>
              <w:t>ISLC</w:t>
            </w:r>
            <w:proofErr w:type="spellEnd"/>
          </w:p>
        </w:tc>
      </w:tr>
      <w:t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  <w:u w:val="single"/>
              </w:rPr>
              <w:t>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Insurance &amp; Surety Law Committee New Business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Katie Heckert</w:t>
            </w: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CLC</w:t>
            </w:r>
            <w:proofErr w:type="spellEnd"/>
            <w:r>
              <w:rPr>
                <w:bCs/>
                <w:color w:val="000000" w:themeColor="text1"/>
              </w:rPr>
              <w:t xml:space="preserve"> Legislative Subcommittee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Sean </w:t>
            </w:r>
            <w:proofErr w:type="spellStart"/>
            <w:r>
              <w:rPr>
                <w:bCs/>
                <w:color w:val="000000"/>
                <w:sz w:val="20"/>
              </w:rPr>
              <w:t>Mickley</w:t>
            </w:r>
            <w:proofErr w:type="spellEnd"/>
            <w:r>
              <w:rPr>
                <w:bCs/>
                <w:color w:val="000000"/>
                <w:sz w:val="20"/>
              </w:rPr>
              <w:t xml:space="preserve"> / Sanjay Kurian</w:t>
            </w:r>
            <w:bookmarkStart w:id="3" w:name="_GoBack"/>
            <w:bookmarkEnd w:id="3"/>
          </w:p>
        </w:tc>
      </w:tr>
      <w:tr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CLC</w:t>
            </w:r>
            <w:proofErr w:type="spellEnd"/>
            <w:r>
              <w:rPr>
                <w:bCs/>
                <w:color w:val="000000" w:themeColor="text1"/>
              </w:rPr>
              <w:t xml:space="preserve"> Newsletter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Lindy </w:t>
            </w:r>
            <w:proofErr w:type="spellStart"/>
            <w:r>
              <w:rPr>
                <w:bCs/>
                <w:color w:val="000000" w:themeColor="text1"/>
                <w:sz w:val="20"/>
              </w:rPr>
              <w:t>Keown</w:t>
            </w:r>
            <w:proofErr w:type="spellEnd"/>
          </w:p>
        </w:tc>
      </w:tr>
      <w:tr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CLC</w:t>
            </w:r>
            <w:proofErr w:type="spellEnd"/>
            <w:r>
              <w:rPr>
                <w:bCs/>
                <w:color w:val="000000" w:themeColor="text1"/>
              </w:rPr>
              <w:t xml:space="preserve"> 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Kellie Humphries and Brett Moritz</w:t>
            </w:r>
          </w:p>
        </w:tc>
      </w:tr>
      <w:tr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Lehman and Katie Heckert</w:t>
            </w: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rPr>
                <w:bCs/>
                <w:color w:val="000000" w:themeColor="text1"/>
                <w:highlight w:val="yellow"/>
              </w:rPr>
            </w:pPr>
            <w:r>
              <w:rPr>
                <w:bCs/>
                <w:color w:val="000000" w:themeColor="text1"/>
              </w:rPr>
              <w:t>CLE Presentation – “</w:t>
            </w:r>
            <w:r>
              <w:rPr>
                <w:b/>
                <w:bCs/>
                <w:color w:val="000000" w:themeColor="text1"/>
              </w:rPr>
              <w:t>Case Law Update</w:t>
            </w:r>
            <w:r>
              <w:rPr>
                <w:bCs/>
                <w:color w:val="000000" w:themeColor="text1"/>
              </w:rPr>
              <w:t>”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Sanjay Kurian </w:t>
            </w: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</w:p>
        </w:tc>
      </w:tr>
      <w:t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  <w:highlight w:val="yellow"/>
              </w:rPr>
            </w:pPr>
          </w:p>
        </w:tc>
        <w:tc>
          <w:tcPr>
            <w:tcW w:w="378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</w:tbl>
    <w:p>
      <w:pPr>
        <w:rPr>
          <w:lang w:val="en-GB"/>
        </w:rPr>
      </w:pPr>
    </w:p>
    <w:sectPr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7470 v1"/>
    <w:docVar w:name="MPDocIDTemplate" w:val="|\%c|\%m - |%u - |%d - |# %n |v%v"/>
    <w:docVar w:name="MPDocIDTemplateDefault" w:val="|\%c|\%m - |%u - |%d - |# %n |v%v"/>
    <w:docVar w:name="NewDocStampType" w:val="7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134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2019-07-15T19:40:00Z</dcterms:created>
  <dcterms:modified xsi:type="dcterms:W3CDTF">2019-07-23T22:00:00Z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