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9A3" w:rsidRDefault="00842E4B" w:rsidP="00842E4B">
      <w:pPr>
        <w:jc w:val="center"/>
        <w:rPr>
          <w:rFonts w:ascii="Arial Rounded MT Bold" w:hAnsi="Arial Rounded MT Bold"/>
          <w:sz w:val="28"/>
          <w:szCs w:val="28"/>
        </w:rPr>
      </w:pPr>
      <w:r>
        <w:rPr>
          <w:rFonts w:ascii="Arial Rounded MT Bold" w:hAnsi="Arial Rounded MT Bold"/>
          <w:sz w:val="28"/>
          <w:szCs w:val="28"/>
        </w:rPr>
        <w:t>Florida Construction Law Manual 2018-19</w:t>
      </w:r>
    </w:p>
    <w:p w:rsidR="00842E4B" w:rsidRDefault="00842E4B" w:rsidP="00842E4B">
      <w:pPr>
        <w:jc w:val="center"/>
        <w:rPr>
          <w:rFonts w:ascii="Arial Rounded MT Bold" w:hAnsi="Arial Rounded MT Bold"/>
          <w:sz w:val="28"/>
          <w:szCs w:val="28"/>
        </w:rPr>
      </w:pPr>
      <w:r>
        <w:rPr>
          <w:rFonts w:ascii="Arial Rounded MT Bold" w:hAnsi="Arial Rounded MT Bold"/>
          <w:sz w:val="28"/>
          <w:szCs w:val="28"/>
        </w:rPr>
        <w:t>What’s New in this Edition</w:t>
      </w:r>
    </w:p>
    <w:p w:rsidR="00842E4B" w:rsidRDefault="00842E4B" w:rsidP="00842E4B">
      <w:pPr>
        <w:rPr>
          <w:rFonts w:ascii="Arial" w:hAnsi="Arial" w:cs="Arial"/>
          <w:sz w:val="24"/>
          <w:szCs w:val="28"/>
        </w:rPr>
      </w:pPr>
      <w:r>
        <w:rPr>
          <w:rFonts w:ascii="Arial" w:hAnsi="Arial" w:cs="Arial"/>
          <w:sz w:val="24"/>
          <w:szCs w:val="28"/>
        </w:rPr>
        <w:t>New case confirming that a</w:t>
      </w:r>
      <w:r w:rsidRPr="00842E4B">
        <w:rPr>
          <w:rFonts w:ascii="Arial" w:hAnsi="Arial" w:cs="Arial"/>
          <w:sz w:val="24"/>
          <w:szCs w:val="28"/>
        </w:rPr>
        <w:t xml:space="preserve"> member of </w:t>
      </w:r>
      <w:r>
        <w:rPr>
          <w:rFonts w:ascii="Arial" w:hAnsi="Arial" w:cs="Arial"/>
          <w:sz w:val="24"/>
          <w:szCs w:val="28"/>
        </w:rPr>
        <w:t>a</w:t>
      </w:r>
      <w:r w:rsidRPr="00842E4B">
        <w:rPr>
          <w:rFonts w:ascii="Arial" w:hAnsi="Arial" w:cs="Arial"/>
          <w:sz w:val="24"/>
          <w:szCs w:val="28"/>
        </w:rPr>
        <w:t xml:space="preserve"> limited liability company is not personally liable for obligations of the company beyond its membership interest</w:t>
      </w:r>
      <w:r>
        <w:rPr>
          <w:rFonts w:ascii="Arial" w:hAnsi="Arial" w:cs="Arial"/>
          <w:sz w:val="24"/>
          <w:szCs w:val="28"/>
        </w:rPr>
        <w:t>.</w:t>
      </w:r>
    </w:p>
    <w:p w:rsidR="00842E4B" w:rsidRDefault="00842E4B" w:rsidP="00842E4B">
      <w:pPr>
        <w:rPr>
          <w:rFonts w:ascii="Arial" w:hAnsi="Arial" w:cs="Arial"/>
          <w:sz w:val="24"/>
          <w:szCs w:val="28"/>
        </w:rPr>
      </w:pPr>
      <w:r>
        <w:rPr>
          <w:rFonts w:ascii="Arial" w:hAnsi="Arial" w:cs="Arial"/>
          <w:sz w:val="24"/>
          <w:szCs w:val="28"/>
        </w:rPr>
        <w:t>New case clarifying the effect of a corporation’s f</w:t>
      </w:r>
      <w:r w:rsidRPr="00842E4B">
        <w:rPr>
          <w:rFonts w:ascii="Arial" w:hAnsi="Arial" w:cs="Arial"/>
          <w:sz w:val="24"/>
          <w:szCs w:val="28"/>
        </w:rPr>
        <w:t>ailure to hold an annual meeting</w:t>
      </w:r>
      <w:r>
        <w:rPr>
          <w:rFonts w:ascii="Arial" w:hAnsi="Arial" w:cs="Arial"/>
          <w:sz w:val="24"/>
          <w:szCs w:val="28"/>
        </w:rPr>
        <w:t>.</w:t>
      </w:r>
    </w:p>
    <w:p w:rsidR="00842E4B" w:rsidRDefault="00842E4B" w:rsidP="00842E4B">
      <w:pPr>
        <w:rPr>
          <w:rFonts w:ascii="Arial" w:hAnsi="Arial" w:cs="Arial"/>
          <w:sz w:val="24"/>
          <w:szCs w:val="28"/>
        </w:rPr>
      </w:pPr>
      <w:r>
        <w:rPr>
          <w:rFonts w:ascii="Arial" w:hAnsi="Arial" w:cs="Arial"/>
          <w:sz w:val="24"/>
          <w:szCs w:val="28"/>
        </w:rPr>
        <w:t>New case confirming that a</w:t>
      </w:r>
      <w:r w:rsidRPr="00842E4B">
        <w:rPr>
          <w:rFonts w:ascii="Arial" w:hAnsi="Arial" w:cs="Arial"/>
          <w:sz w:val="24"/>
          <w:szCs w:val="28"/>
        </w:rPr>
        <w:t xml:space="preserve"> municipality may not become a certified general contractor</w:t>
      </w:r>
      <w:r>
        <w:rPr>
          <w:rFonts w:ascii="Arial" w:hAnsi="Arial" w:cs="Arial"/>
          <w:sz w:val="24"/>
          <w:szCs w:val="28"/>
        </w:rPr>
        <w:t>.</w:t>
      </w:r>
    </w:p>
    <w:p w:rsidR="00842E4B" w:rsidRDefault="004516FD" w:rsidP="00842E4B">
      <w:pPr>
        <w:rPr>
          <w:rFonts w:ascii="Arial" w:hAnsi="Arial" w:cs="Arial"/>
          <w:sz w:val="24"/>
          <w:szCs w:val="28"/>
        </w:rPr>
      </w:pPr>
      <w:r>
        <w:rPr>
          <w:rFonts w:ascii="Arial" w:hAnsi="Arial" w:cs="Arial"/>
          <w:sz w:val="24"/>
          <w:szCs w:val="28"/>
        </w:rPr>
        <w:t xml:space="preserve">New amendment to F. S. 553.791 saying that </w:t>
      </w:r>
      <w:r w:rsidRPr="004516FD">
        <w:rPr>
          <w:rFonts w:ascii="Arial" w:hAnsi="Arial" w:cs="Arial"/>
          <w:sz w:val="24"/>
          <w:szCs w:val="28"/>
        </w:rPr>
        <w:t>It is the intent of the Legislature that owners and contractors not be required to pay extra costs related to building permitting requirements when hiring a private provider for plans review and building inspections.</w:t>
      </w:r>
    </w:p>
    <w:p w:rsidR="004516FD" w:rsidRDefault="00C12B1B" w:rsidP="00842E4B">
      <w:pPr>
        <w:rPr>
          <w:rFonts w:ascii="Arial" w:hAnsi="Arial" w:cs="Arial"/>
          <w:sz w:val="24"/>
          <w:szCs w:val="28"/>
        </w:rPr>
      </w:pPr>
      <w:r>
        <w:rPr>
          <w:rFonts w:ascii="Arial" w:hAnsi="Arial" w:cs="Arial"/>
          <w:sz w:val="24"/>
          <w:szCs w:val="28"/>
        </w:rPr>
        <w:t>New Florida Supreme Court case clarifying when an insurer must respond to a Chapter 558 notice.</w:t>
      </w:r>
    </w:p>
    <w:p w:rsidR="00C12B1B" w:rsidRDefault="00C12B1B" w:rsidP="00842E4B">
      <w:pPr>
        <w:rPr>
          <w:rFonts w:ascii="Arial" w:hAnsi="Arial" w:cs="Arial"/>
          <w:sz w:val="24"/>
          <w:szCs w:val="28"/>
        </w:rPr>
      </w:pPr>
      <w:r>
        <w:rPr>
          <w:rFonts w:ascii="Arial" w:hAnsi="Arial" w:cs="Arial"/>
          <w:sz w:val="24"/>
          <w:szCs w:val="28"/>
        </w:rPr>
        <w:t>New section on use and regulation of drones in construction.</w:t>
      </w:r>
    </w:p>
    <w:p w:rsidR="00C12B1B" w:rsidRDefault="00C12B1B" w:rsidP="00842E4B">
      <w:pPr>
        <w:rPr>
          <w:rFonts w:ascii="Arial" w:hAnsi="Arial" w:cs="Arial"/>
          <w:sz w:val="24"/>
          <w:szCs w:val="28"/>
        </w:rPr>
      </w:pPr>
      <w:r>
        <w:rPr>
          <w:rFonts w:ascii="Arial" w:hAnsi="Arial" w:cs="Arial"/>
          <w:sz w:val="24"/>
          <w:szCs w:val="28"/>
        </w:rPr>
        <w:t>New cases addressing when contract clauses are severable.</w:t>
      </w:r>
    </w:p>
    <w:p w:rsidR="00C12B1B" w:rsidRDefault="000154B5" w:rsidP="00842E4B">
      <w:pPr>
        <w:rPr>
          <w:rFonts w:ascii="Arial" w:hAnsi="Arial" w:cs="Arial"/>
          <w:sz w:val="24"/>
          <w:szCs w:val="28"/>
        </w:rPr>
      </w:pPr>
      <w:r>
        <w:rPr>
          <w:rFonts w:ascii="Arial" w:hAnsi="Arial" w:cs="Arial"/>
          <w:sz w:val="24"/>
          <w:szCs w:val="28"/>
        </w:rPr>
        <w:t>New case holding that w</w:t>
      </w:r>
      <w:r w:rsidRPr="000154B5">
        <w:rPr>
          <w:rFonts w:ascii="Arial" w:hAnsi="Arial" w:cs="Arial"/>
          <w:sz w:val="24"/>
          <w:szCs w:val="28"/>
        </w:rPr>
        <w:t>he</w:t>
      </w:r>
      <w:r>
        <w:rPr>
          <w:rFonts w:ascii="Arial" w:hAnsi="Arial" w:cs="Arial"/>
          <w:sz w:val="24"/>
          <w:szCs w:val="28"/>
        </w:rPr>
        <w:t>n</w:t>
      </w:r>
      <w:r w:rsidRPr="000154B5">
        <w:rPr>
          <w:rFonts w:ascii="Arial" w:hAnsi="Arial" w:cs="Arial"/>
          <w:sz w:val="24"/>
          <w:szCs w:val="28"/>
        </w:rPr>
        <w:t xml:space="preserve"> the underlying wrongdoer is exonerated, there is no remaining claim for indemnity</w:t>
      </w:r>
      <w:r>
        <w:rPr>
          <w:rFonts w:ascii="Arial" w:hAnsi="Arial" w:cs="Arial"/>
          <w:sz w:val="24"/>
          <w:szCs w:val="28"/>
        </w:rPr>
        <w:t>.</w:t>
      </w:r>
    </w:p>
    <w:p w:rsidR="000154B5" w:rsidRDefault="000154B5" w:rsidP="00842E4B">
      <w:pPr>
        <w:rPr>
          <w:rFonts w:ascii="Arial" w:hAnsi="Arial" w:cs="Arial"/>
          <w:sz w:val="24"/>
          <w:szCs w:val="28"/>
        </w:rPr>
      </w:pPr>
      <w:r>
        <w:rPr>
          <w:rFonts w:ascii="Arial" w:hAnsi="Arial" w:cs="Arial"/>
          <w:sz w:val="24"/>
          <w:szCs w:val="28"/>
        </w:rPr>
        <w:t>New case strictly interpreting Fla. Stat. 725.06 as not being applicable to a project for underground lines.</w:t>
      </w:r>
    </w:p>
    <w:p w:rsidR="000154B5" w:rsidRDefault="000154B5" w:rsidP="00842E4B">
      <w:pPr>
        <w:rPr>
          <w:rFonts w:ascii="Arial" w:hAnsi="Arial" w:cs="Arial"/>
          <w:sz w:val="24"/>
          <w:szCs w:val="28"/>
        </w:rPr>
      </w:pPr>
      <w:r>
        <w:rPr>
          <w:rFonts w:ascii="Arial" w:hAnsi="Arial" w:cs="Arial"/>
          <w:sz w:val="24"/>
          <w:szCs w:val="28"/>
        </w:rPr>
        <w:t>New cases addressing the authority of an indemnitee to settle where the indemnitor does not step up to honor the indemnity.</w:t>
      </w:r>
    </w:p>
    <w:p w:rsidR="000154B5" w:rsidRDefault="000154B5" w:rsidP="00842E4B">
      <w:pPr>
        <w:rPr>
          <w:rFonts w:ascii="Arial" w:hAnsi="Arial" w:cs="Arial"/>
          <w:sz w:val="24"/>
          <w:szCs w:val="28"/>
        </w:rPr>
      </w:pPr>
      <w:r>
        <w:rPr>
          <w:rFonts w:ascii="Arial" w:hAnsi="Arial" w:cs="Arial"/>
          <w:sz w:val="24"/>
          <w:szCs w:val="28"/>
        </w:rPr>
        <w:t>New case confirming that a</w:t>
      </w:r>
      <w:r w:rsidRPr="000154B5">
        <w:rPr>
          <w:rFonts w:ascii="Arial" w:hAnsi="Arial" w:cs="Arial"/>
          <w:sz w:val="24"/>
          <w:szCs w:val="28"/>
        </w:rPr>
        <w:t xml:space="preserve"> venue clause placing </w:t>
      </w:r>
      <w:r>
        <w:rPr>
          <w:rFonts w:ascii="Arial" w:hAnsi="Arial" w:cs="Arial"/>
          <w:sz w:val="24"/>
          <w:szCs w:val="28"/>
        </w:rPr>
        <w:t>venue</w:t>
      </w:r>
      <w:r w:rsidRPr="000154B5">
        <w:rPr>
          <w:rFonts w:ascii="Arial" w:hAnsi="Arial" w:cs="Arial"/>
          <w:sz w:val="24"/>
          <w:szCs w:val="28"/>
        </w:rPr>
        <w:t xml:space="preserve"> does not establish jurisdiction over the person.</w:t>
      </w:r>
    </w:p>
    <w:p w:rsidR="000154B5" w:rsidRDefault="000154B5" w:rsidP="00842E4B">
      <w:pPr>
        <w:rPr>
          <w:rFonts w:ascii="Arial" w:hAnsi="Arial" w:cs="Arial"/>
          <w:sz w:val="24"/>
          <w:szCs w:val="28"/>
        </w:rPr>
      </w:pPr>
      <w:r>
        <w:rPr>
          <w:rFonts w:ascii="Arial" w:hAnsi="Arial" w:cs="Arial"/>
          <w:sz w:val="24"/>
          <w:szCs w:val="28"/>
        </w:rPr>
        <w:t xml:space="preserve">New case holding </w:t>
      </w:r>
      <w:r w:rsidRPr="000154B5">
        <w:rPr>
          <w:rFonts w:ascii="Arial" w:hAnsi="Arial" w:cs="Arial"/>
          <w:sz w:val="24"/>
          <w:szCs w:val="28"/>
        </w:rPr>
        <w:t xml:space="preserve">that reduction of the sums claimed by </w:t>
      </w:r>
      <w:r>
        <w:rPr>
          <w:rFonts w:ascii="Arial" w:hAnsi="Arial" w:cs="Arial"/>
          <w:sz w:val="24"/>
          <w:szCs w:val="28"/>
        </w:rPr>
        <w:t>a</w:t>
      </w:r>
      <w:r w:rsidRPr="000154B5">
        <w:rPr>
          <w:rFonts w:ascii="Arial" w:hAnsi="Arial" w:cs="Arial"/>
          <w:sz w:val="24"/>
          <w:szCs w:val="28"/>
        </w:rPr>
        <w:t xml:space="preserve"> sub from the amounts recoverable by the contractor against the owner was error in that it deprived the contractor of legal interest on the full balance due.</w:t>
      </w:r>
    </w:p>
    <w:p w:rsidR="00EB324B" w:rsidRDefault="00EB324B" w:rsidP="00842E4B">
      <w:pPr>
        <w:rPr>
          <w:rFonts w:ascii="Arial" w:hAnsi="Arial" w:cs="Arial"/>
          <w:sz w:val="24"/>
          <w:szCs w:val="28"/>
        </w:rPr>
      </w:pPr>
      <w:r>
        <w:rPr>
          <w:rFonts w:ascii="Arial" w:hAnsi="Arial" w:cs="Arial"/>
          <w:sz w:val="24"/>
          <w:szCs w:val="28"/>
        </w:rPr>
        <w:t xml:space="preserve">New case holding that a Florida </w:t>
      </w:r>
      <w:r w:rsidRPr="00EB324B">
        <w:rPr>
          <w:rFonts w:ascii="Arial" w:hAnsi="Arial" w:cs="Arial"/>
          <w:sz w:val="24"/>
          <w:szCs w:val="28"/>
        </w:rPr>
        <w:t>arbitration agreement requiring Alabama Rules of Evidence to control admission of evidence, the problematic clause may be severed and the agreement otherwise enforced</w:t>
      </w:r>
      <w:r>
        <w:rPr>
          <w:rFonts w:ascii="Arial" w:hAnsi="Arial" w:cs="Arial"/>
          <w:sz w:val="24"/>
          <w:szCs w:val="28"/>
        </w:rPr>
        <w:t>.</w:t>
      </w:r>
    </w:p>
    <w:p w:rsidR="00EB324B" w:rsidRDefault="00EB324B" w:rsidP="00842E4B">
      <w:pPr>
        <w:rPr>
          <w:rFonts w:ascii="Arial" w:hAnsi="Arial" w:cs="Arial"/>
          <w:sz w:val="24"/>
          <w:szCs w:val="28"/>
        </w:rPr>
      </w:pPr>
      <w:r>
        <w:rPr>
          <w:rFonts w:ascii="Arial" w:hAnsi="Arial" w:cs="Arial"/>
          <w:sz w:val="24"/>
          <w:szCs w:val="28"/>
        </w:rPr>
        <w:t xml:space="preserve">New case holding that </w:t>
      </w:r>
      <w:r w:rsidRPr="00EB324B">
        <w:rPr>
          <w:rFonts w:ascii="Arial" w:hAnsi="Arial" w:cs="Arial"/>
          <w:sz w:val="24"/>
          <w:szCs w:val="28"/>
        </w:rPr>
        <w:t>Florida Bar Rule 4–1.5(</w:t>
      </w:r>
      <w:proofErr w:type="spellStart"/>
      <w:r w:rsidRPr="00EB324B">
        <w:rPr>
          <w:rFonts w:ascii="Arial" w:hAnsi="Arial" w:cs="Arial"/>
          <w:sz w:val="24"/>
          <w:szCs w:val="28"/>
        </w:rPr>
        <w:t>i</w:t>
      </w:r>
      <w:proofErr w:type="spellEnd"/>
      <w:r w:rsidRPr="00EB324B">
        <w:rPr>
          <w:rFonts w:ascii="Arial" w:hAnsi="Arial" w:cs="Arial"/>
          <w:sz w:val="24"/>
          <w:szCs w:val="28"/>
        </w:rPr>
        <w:t>)</w:t>
      </w:r>
      <w:r>
        <w:rPr>
          <w:rFonts w:ascii="Arial" w:hAnsi="Arial" w:cs="Arial"/>
          <w:sz w:val="24"/>
          <w:szCs w:val="28"/>
        </w:rPr>
        <w:t>, which</w:t>
      </w:r>
      <w:r w:rsidRPr="00EB324B">
        <w:rPr>
          <w:rFonts w:ascii="Arial" w:hAnsi="Arial" w:cs="Arial"/>
          <w:sz w:val="24"/>
          <w:szCs w:val="28"/>
        </w:rPr>
        <w:t xml:space="preserve"> prohibits lawyers from making an agreement with a client prospectively providing for mandatory arbitration of fee disputes without advising the client in writing that the client should consider obtaining independent legal advice</w:t>
      </w:r>
      <w:r>
        <w:rPr>
          <w:rFonts w:ascii="Arial" w:hAnsi="Arial" w:cs="Arial"/>
          <w:sz w:val="24"/>
          <w:szCs w:val="28"/>
        </w:rPr>
        <w:t xml:space="preserve">, (which </w:t>
      </w:r>
      <w:r w:rsidRPr="00EB324B">
        <w:rPr>
          <w:rFonts w:ascii="Arial" w:hAnsi="Arial" w:cs="Arial"/>
          <w:sz w:val="24"/>
          <w:szCs w:val="28"/>
        </w:rPr>
        <w:t>clearly says that it applies only to fee disputes</w:t>
      </w:r>
      <w:r>
        <w:rPr>
          <w:rFonts w:ascii="Arial" w:hAnsi="Arial" w:cs="Arial"/>
          <w:sz w:val="24"/>
          <w:szCs w:val="28"/>
        </w:rPr>
        <w:t>)</w:t>
      </w:r>
      <w:r w:rsidRPr="00EB324B">
        <w:rPr>
          <w:rFonts w:ascii="Arial" w:hAnsi="Arial" w:cs="Arial"/>
          <w:sz w:val="24"/>
          <w:szCs w:val="28"/>
        </w:rPr>
        <w:t xml:space="preserve">, held that </w:t>
      </w:r>
      <w:r>
        <w:rPr>
          <w:rFonts w:ascii="Arial" w:hAnsi="Arial" w:cs="Arial"/>
          <w:sz w:val="24"/>
          <w:szCs w:val="28"/>
        </w:rPr>
        <w:t>the rule</w:t>
      </w:r>
      <w:r w:rsidRPr="00EB324B">
        <w:rPr>
          <w:rFonts w:ascii="Arial" w:hAnsi="Arial" w:cs="Arial"/>
          <w:sz w:val="24"/>
          <w:szCs w:val="28"/>
        </w:rPr>
        <w:t xml:space="preserve"> applies to </w:t>
      </w:r>
      <w:r>
        <w:rPr>
          <w:rFonts w:ascii="Arial" w:hAnsi="Arial" w:cs="Arial"/>
          <w:sz w:val="24"/>
          <w:szCs w:val="28"/>
        </w:rPr>
        <w:t xml:space="preserve">arbitration of </w:t>
      </w:r>
      <w:r w:rsidRPr="00EB324B">
        <w:rPr>
          <w:rFonts w:ascii="Arial" w:hAnsi="Arial" w:cs="Arial"/>
          <w:sz w:val="24"/>
          <w:szCs w:val="28"/>
        </w:rPr>
        <w:t>claims of malpractice between the attorney and the client as well</w:t>
      </w:r>
      <w:r>
        <w:rPr>
          <w:rFonts w:ascii="Arial" w:hAnsi="Arial" w:cs="Arial"/>
          <w:sz w:val="24"/>
          <w:szCs w:val="28"/>
        </w:rPr>
        <w:t>.</w:t>
      </w:r>
    </w:p>
    <w:p w:rsidR="00EB324B" w:rsidRDefault="00EB324B" w:rsidP="00842E4B">
      <w:pPr>
        <w:rPr>
          <w:rFonts w:ascii="Arial" w:hAnsi="Arial" w:cs="Arial"/>
          <w:sz w:val="24"/>
          <w:szCs w:val="28"/>
        </w:rPr>
      </w:pPr>
      <w:r>
        <w:rPr>
          <w:rFonts w:ascii="Arial" w:hAnsi="Arial" w:cs="Arial"/>
          <w:sz w:val="24"/>
          <w:szCs w:val="28"/>
        </w:rPr>
        <w:lastRenderedPageBreak/>
        <w:t xml:space="preserve">New Florida Fifth DCA opinion, aligning with two other districts, holding that </w:t>
      </w:r>
      <w:r w:rsidRPr="00EB324B">
        <w:rPr>
          <w:rFonts w:ascii="Arial" w:hAnsi="Arial" w:cs="Arial"/>
          <w:sz w:val="24"/>
          <w:szCs w:val="28"/>
        </w:rPr>
        <w:t>a clause prohibiting assignment of one's rights under a contract does not prohibit the assignment of an accrued claim for damages on account of breach of the contract.</w:t>
      </w:r>
    </w:p>
    <w:p w:rsidR="00EB324B" w:rsidRDefault="00EB324B" w:rsidP="00842E4B">
      <w:pPr>
        <w:rPr>
          <w:rFonts w:ascii="Arial" w:hAnsi="Arial" w:cs="Arial"/>
          <w:sz w:val="24"/>
          <w:szCs w:val="28"/>
        </w:rPr>
      </w:pPr>
      <w:r>
        <w:rPr>
          <w:rFonts w:ascii="Arial" w:hAnsi="Arial" w:cs="Arial"/>
          <w:sz w:val="24"/>
          <w:szCs w:val="28"/>
        </w:rPr>
        <w:t>Expanded coverage of the Davis Bacon Act.</w:t>
      </w:r>
    </w:p>
    <w:p w:rsidR="00EB324B" w:rsidRDefault="00600A49" w:rsidP="00842E4B">
      <w:pPr>
        <w:rPr>
          <w:rFonts w:ascii="Arial" w:hAnsi="Arial" w:cs="Arial"/>
          <w:sz w:val="24"/>
          <w:szCs w:val="28"/>
        </w:rPr>
      </w:pPr>
      <w:r>
        <w:rPr>
          <w:rFonts w:ascii="Arial" w:hAnsi="Arial" w:cs="Arial"/>
          <w:sz w:val="24"/>
          <w:szCs w:val="28"/>
        </w:rPr>
        <w:t xml:space="preserve">New case holding that </w:t>
      </w:r>
      <w:r w:rsidRPr="00600A49">
        <w:rPr>
          <w:rFonts w:ascii="Arial" w:hAnsi="Arial" w:cs="Arial"/>
          <w:sz w:val="24"/>
          <w:szCs w:val="28"/>
        </w:rPr>
        <w:t xml:space="preserve">the last date of furnishing </w:t>
      </w:r>
      <w:r>
        <w:rPr>
          <w:rFonts w:ascii="Arial" w:hAnsi="Arial" w:cs="Arial"/>
          <w:sz w:val="24"/>
          <w:szCs w:val="28"/>
        </w:rPr>
        <w:t xml:space="preserve">(with respect to a claim of lien) </w:t>
      </w:r>
      <w:r w:rsidRPr="00600A49">
        <w:rPr>
          <w:rFonts w:ascii="Arial" w:hAnsi="Arial" w:cs="Arial"/>
          <w:sz w:val="24"/>
          <w:szCs w:val="28"/>
        </w:rPr>
        <w:t>includes the</w:t>
      </w:r>
      <w:r>
        <w:rPr>
          <w:rFonts w:ascii="Arial" w:hAnsi="Arial" w:cs="Arial"/>
          <w:sz w:val="24"/>
          <w:szCs w:val="28"/>
        </w:rPr>
        <w:t xml:space="preserve"> date of</w:t>
      </w:r>
      <w:r w:rsidRPr="00600A49">
        <w:rPr>
          <w:rFonts w:ascii="Arial" w:hAnsi="Arial" w:cs="Arial"/>
          <w:sz w:val="24"/>
          <w:szCs w:val="28"/>
        </w:rPr>
        <w:t xml:space="preserve"> submission of contractually required documentation by the permitting authority issuing the permit.  </w:t>
      </w:r>
    </w:p>
    <w:p w:rsidR="00600A49" w:rsidRDefault="00600A49" w:rsidP="00842E4B">
      <w:pPr>
        <w:rPr>
          <w:rFonts w:ascii="Arial" w:hAnsi="Arial" w:cs="Arial"/>
          <w:sz w:val="24"/>
          <w:szCs w:val="28"/>
        </w:rPr>
      </w:pPr>
      <w:r>
        <w:rPr>
          <w:rFonts w:ascii="Arial" w:hAnsi="Arial" w:cs="Arial"/>
          <w:sz w:val="24"/>
          <w:szCs w:val="28"/>
        </w:rPr>
        <w:t>New case holding that a</w:t>
      </w:r>
      <w:r w:rsidRPr="00600A49">
        <w:rPr>
          <w:rFonts w:ascii="Arial" w:hAnsi="Arial" w:cs="Arial"/>
          <w:sz w:val="24"/>
          <w:szCs w:val="28"/>
        </w:rPr>
        <w:t xml:space="preserve"> contract clause </w:t>
      </w:r>
      <w:r>
        <w:rPr>
          <w:rFonts w:ascii="Arial" w:hAnsi="Arial" w:cs="Arial"/>
          <w:sz w:val="24"/>
          <w:szCs w:val="28"/>
        </w:rPr>
        <w:t>saying</w:t>
      </w:r>
      <w:r w:rsidRPr="00600A49">
        <w:rPr>
          <w:rFonts w:ascii="Arial" w:hAnsi="Arial" w:cs="Arial"/>
          <w:sz w:val="24"/>
          <w:szCs w:val="28"/>
        </w:rPr>
        <w:t xml:space="preserve"> that delay damages were waived by the contractor against the owner did not act as a waiver of delay damages caused by the architect.</w:t>
      </w:r>
    </w:p>
    <w:p w:rsidR="004C37AA" w:rsidRDefault="004C37AA" w:rsidP="00842E4B">
      <w:pPr>
        <w:rPr>
          <w:rFonts w:ascii="Arial" w:hAnsi="Arial" w:cs="Arial"/>
          <w:sz w:val="24"/>
          <w:szCs w:val="28"/>
        </w:rPr>
      </w:pPr>
      <w:r>
        <w:rPr>
          <w:rFonts w:ascii="Arial" w:hAnsi="Arial" w:cs="Arial"/>
          <w:sz w:val="24"/>
          <w:szCs w:val="28"/>
        </w:rPr>
        <w:t xml:space="preserve">New case holding that </w:t>
      </w:r>
      <w:r w:rsidRPr="004C37AA">
        <w:rPr>
          <w:rFonts w:ascii="Arial" w:hAnsi="Arial" w:cs="Arial"/>
          <w:sz w:val="24"/>
          <w:szCs w:val="28"/>
        </w:rPr>
        <w:t>where there is inadequate proof of lost profit</w:t>
      </w:r>
      <w:r>
        <w:rPr>
          <w:rFonts w:ascii="Arial" w:hAnsi="Arial" w:cs="Arial"/>
          <w:sz w:val="24"/>
          <w:szCs w:val="28"/>
        </w:rPr>
        <w:t xml:space="preserve"> at trial</w:t>
      </w:r>
      <w:r w:rsidRPr="004C37AA">
        <w:rPr>
          <w:rFonts w:ascii="Arial" w:hAnsi="Arial" w:cs="Arial"/>
          <w:sz w:val="24"/>
          <w:szCs w:val="28"/>
        </w:rPr>
        <w:t>, the appellate court may simply reverse the case rather than remand to let the claimant have a second bite at the apple</w:t>
      </w:r>
      <w:r>
        <w:rPr>
          <w:rFonts w:ascii="Arial" w:hAnsi="Arial" w:cs="Arial"/>
          <w:sz w:val="24"/>
          <w:szCs w:val="28"/>
        </w:rPr>
        <w:t>.</w:t>
      </w:r>
    </w:p>
    <w:p w:rsidR="004C37AA" w:rsidRDefault="004C37AA" w:rsidP="00842E4B">
      <w:pPr>
        <w:rPr>
          <w:rFonts w:ascii="Arial" w:hAnsi="Arial" w:cs="Arial"/>
          <w:sz w:val="24"/>
          <w:szCs w:val="28"/>
        </w:rPr>
      </w:pPr>
      <w:r>
        <w:rPr>
          <w:rFonts w:ascii="Arial" w:hAnsi="Arial" w:cs="Arial"/>
          <w:sz w:val="24"/>
          <w:szCs w:val="28"/>
        </w:rPr>
        <w:t>New cases addressing prior breach as an excuse for performance.</w:t>
      </w:r>
    </w:p>
    <w:p w:rsidR="004C37AA" w:rsidRDefault="004C37AA" w:rsidP="00842E4B">
      <w:pPr>
        <w:rPr>
          <w:rFonts w:ascii="Arial" w:hAnsi="Arial" w:cs="Arial"/>
          <w:sz w:val="24"/>
          <w:szCs w:val="28"/>
        </w:rPr>
      </w:pPr>
      <w:r>
        <w:rPr>
          <w:rFonts w:ascii="Arial" w:hAnsi="Arial" w:cs="Arial"/>
          <w:sz w:val="24"/>
          <w:szCs w:val="28"/>
        </w:rPr>
        <w:t>New discussion of the defense of avoidable consequences.</w:t>
      </w:r>
    </w:p>
    <w:p w:rsidR="004C37AA" w:rsidRDefault="004C37AA" w:rsidP="00842E4B">
      <w:pPr>
        <w:rPr>
          <w:rFonts w:ascii="Arial" w:hAnsi="Arial" w:cs="Arial"/>
          <w:sz w:val="24"/>
          <w:szCs w:val="28"/>
        </w:rPr>
      </w:pPr>
      <w:r>
        <w:rPr>
          <w:rFonts w:ascii="Arial" w:hAnsi="Arial" w:cs="Arial"/>
          <w:sz w:val="24"/>
          <w:szCs w:val="28"/>
        </w:rPr>
        <w:t xml:space="preserve">New case holding that </w:t>
      </w:r>
      <w:r w:rsidRPr="004C37AA">
        <w:rPr>
          <w:rFonts w:ascii="Arial" w:hAnsi="Arial" w:cs="Arial"/>
          <w:sz w:val="24"/>
          <w:szCs w:val="28"/>
        </w:rPr>
        <w:t>an order denying a motion to dismiss without prejudice (grounded on sovereign immunity) was not appealable where the order recited that the sovereign immunity was not self-evident under the facts pled.</w:t>
      </w:r>
    </w:p>
    <w:p w:rsidR="004C37AA" w:rsidRDefault="004C37AA" w:rsidP="00842E4B">
      <w:pPr>
        <w:rPr>
          <w:rFonts w:ascii="Arial" w:hAnsi="Arial" w:cs="Arial"/>
          <w:sz w:val="24"/>
          <w:szCs w:val="28"/>
        </w:rPr>
      </w:pPr>
      <w:r>
        <w:rPr>
          <w:rFonts w:ascii="Arial" w:hAnsi="Arial" w:cs="Arial"/>
          <w:sz w:val="24"/>
          <w:szCs w:val="28"/>
        </w:rPr>
        <w:t>New bankruptcy court case defining the elements of unjust enrichment.</w:t>
      </w:r>
    </w:p>
    <w:p w:rsidR="008012B3" w:rsidRDefault="008012B3" w:rsidP="00842E4B">
      <w:pPr>
        <w:rPr>
          <w:rFonts w:ascii="Arial" w:hAnsi="Arial" w:cs="Arial"/>
          <w:sz w:val="24"/>
          <w:szCs w:val="28"/>
        </w:rPr>
      </w:pPr>
      <w:r>
        <w:rPr>
          <w:rFonts w:ascii="Arial" w:hAnsi="Arial" w:cs="Arial"/>
          <w:sz w:val="24"/>
          <w:szCs w:val="28"/>
        </w:rPr>
        <w:t>New case involving a lien and a stop payment check.  Court held that bonding the lien precludes a determination of intent to defraud by stopping payment on the check.</w:t>
      </w:r>
    </w:p>
    <w:p w:rsidR="008012B3" w:rsidRDefault="008012B3" w:rsidP="00842E4B">
      <w:pPr>
        <w:rPr>
          <w:rFonts w:ascii="Arial" w:hAnsi="Arial" w:cs="Arial"/>
          <w:sz w:val="24"/>
          <w:szCs w:val="28"/>
        </w:rPr>
      </w:pPr>
      <w:r>
        <w:rPr>
          <w:rFonts w:ascii="Arial" w:hAnsi="Arial" w:cs="Arial"/>
          <w:sz w:val="24"/>
          <w:szCs w:val="28"/>
        </w:rPr>
        <w:t>New case confirming that r</w:t>
      </w:r>
      <w:r w:rsidRPr="008012B3">
        <w:rPr>
          <w:rFonts w:ascii="Arial" w:hAnsi="Arial" w:cs="Arial"/>
          <w:sz w:val="24"/>
          <w:szCs w:val="28"/>
        </w:rPr>
        <w:t>eversal of a</w:t>
      </w:r>
      <w:r>
        <w:rPr>
          <w:rFonts w:ascii="Arial" w:hAnsi="Arial" w:cs="Arial"/>
          <w:sz w:val="24"/>
          <w:szCs w:val="28"/>
        </w:rPr>
        <w:t>n attorney fee</w:t>
      </w:r>
      <w:r w:rsidRPr="008012B3">
        <w:rPr>
          <w:rFonts w:ascii="Arial" w:hAnsi="Arial" w:cs="Arial"/>
          <w:sz w:val="24"/>
          <w:szCs w:val="28"/>
        </w:rPr>
        <w:t xml:space="preserve"> multiplier is required if a trial court fails to include specific findings supporting the application of a multiplier.</w:t>
      </w:r>
    </w:p>
    <w:p w:rsidR="008012B3" w:rsidRDefault="00654F64" w:rsidP="00842E4B">
      <w:pPr>
        <w:rPr>
          <w:rFonts w:ascii="Arial" w:hAnsi="Arial" w:cs="Arial"/>
          <w:sz w:val="24"/>
          <w:szCs w:val="28"/>
        </w:rPr>
      </w:pPr>
      <w:r>
        <w:rPr>
          <w:rFonts w:ascii="Arial" w:hAnsi="Arial" w:cs="Arial"/>
          <w:sz w:val="24"/>
          <w:szCs w:val="28"/>
        </w:rPr>
        <w:t xml:space="preserve">New case holding that </w:t>
      </w:r>
      <w:r w:rsidRPr="00654F64">
        <w:rPr>
          <w:rFonts w:ascii="Arial" w:hAnsi="Arial" w:cs="Arial"/>
          <w:sz w:val="24"/>
          <w:szCs w:val="28"/>
        </w:rPr>
        <w:t>where the client does not pay, that failure by the client does not make the agreement a contingent fee agreement for purposes of a multiplier</w:t>
      </w:r>
      <w:r>
        <w:rPr>
          <w:rFonts w:ascii="Arial" w:hAnsi="Arial" w:cs="Arial"/>
          <w:sz w:val="24"/>
          <w:szCs w:val="28"/>
        </w:rPr>
        <w:t>.</w:t>
      </w:r>
    </w:p>
    <w:p w:rsidR="00654F64" w:rsidRDefault="00654F64" w:rsidP="00842E4B">
      <w:pPr>
        <w:rPr>
          <w:rFonts w:ascii="Arial" w:hAnsi="Arial" w:cs="Arial"/>
          <w:sz w:val="24"/>
          <w:szCs w:val="28"/>
        </w:rPr>
      </w:pPr>
      <w:r>
        <w:rPr>
          <w:rFonts w:ascii="Arial" w:hAnsi="Arial" w:cs="Arial"/>
          <w:sz w:val="24"/>
          <w:szCs w:val="28"/>
        </w:rPr>
        <w:t>New case holding that while a</w:t>
      </w:r>
      <w:r w:rsidRPr="00654F64">
        <w:rPr>
          <w:rFonts w:ascii="Arial" w:hAnsi="Arial" w:cs="Arial"/>
          <w:sz w:val="24"/>
          <w:szCs w:val="28"/>
        </w:rPr>
        <w:t>n order awarding attorney fees without quantification is not appealable</w:t>
      </w:r>
      <w:r>
        <w:rPr>
          <w:rFonts w:ascii="Arial" w:hAnsi="Arial" w:cs="Arial"/>
          <w:sz w:val="24"/>
          <w:szCs w:val="28"/>
        </w:rPr>
        <w:t>,</w:t>
      </w:r>
      <w:r w:rsidRPr="00654F64">
        <w:rPr>
          <w:rFonts w:ascii="Arial" w:hAnsi="Arial" w:cs="Arial"/>
          <w:sz w:val="24"/>
          <w:szCs w:val="28"/>
        </w:rPr>
        <w:t xml:space="preserve"> an order de</w:t>
      </w:r>
      <w:r>
        <w:rPr>
          <w:rFonts w:ascii="Arial" w:hAnsi="Arial" w:cs="Arial"/>
          <w:sz w:val="24"/>
          <w:szCs w:val="28"/>
        </w:rPr>
        <w:t>n</w:t>
      </w:r>
      <w:r w:rsidRPr="00654F64">
        <w:rPr>
          <w:rFonts w:ascii="Arial" w:hAnsi="Arial" w:cs="Arial"/>
          <w:sz w:val="24"/>
          <w:szCs w:val="28"/>
        </w:rPr>
        <w:t>ying recovery of attorney fees is appealable.</w:t>
      </w:r>
    </w:p>
    <w:p w:rsidR="00654F64" w:rsidRDefault="00654F64" w:rsidP="00842E4B">
      <w:pPr>
        <w:rPr>
          <w:rFonts w:ascii="Arial" w:hAnsi="Arial" w:cs="Arial"/>
          <w:sz w:val="24"/>
          <w:szCs w:val="28"/>
        </w:rPr>
      </w:pPr>
      <w:r>
        <w:rPr>
          <w:rFonts w:ascii="Arial" w:hAnsi="Arial" w:cs="Arial"/>
          <w:sz w:val="24"/>
          <w:szCs w:val="28"/>
        </w:rPr>
        <w:t>New case holding that f</w:t>
      </w:r>
      <w:r w:rsidRPr="00654F64">
        <w:rPr>
          <w:rFonts w:ascii="Arial" w:hAnsi="Arial" w:cs="Arial"/>
          <w:sz w:val="24"/>
          <w:szCs w:val="28"/>
        </w:rPr>
        <w:t>or purposes of the offer of judgment statute, a nominal offer is made in good faith where the offeror has a reasonable basis to believe that its exposure to liability is minimal.</w:t>
      </w:r>
    </w:p>
    <w:p w:rsidR="00654F64" w:rsidRDefault="00654F64" w:rsidP="00842E4B">
      <w:pPr>
        <w:rPr>
          <w:rFonts w:ascii="Arial" w:hAnsi="Arial" w:cs="Arial"/>
          <w:sz w:val="24"/>
          <w:szCs w:val="28"/>
        </w:rPr>
      </w:pPr>
      <w:r>
        <w:rPr>
          <w:rFonts w:ascii="Arial" w:hAnsi="Arial" w:cs="Arial"/>
          <w:sz w:val="24"/>
          <w:szCs w:val="28"/>
        </w:rPr>
        <w:t>New case holding that a</w:t>
      </w:r>
      <w:r w:rsidRPr="00654F64">
        <w:rPr>
          <w:rFonts w:ascii="Arial" w:hAnsi="Arial" w:cs="Arial"/>
          <w:sz w:val="24"/>
          <w:szCs w:val="28"/>
        </w:rPr>
        <w:t xml:space="preserve"> non-party has no right to recover fees under Fla. Stat. 57.105</w:t>
      </w:r>
      <w:r>
        <w:rPr>
          <w:rFonts w:ascii="Arial" w:hAnsi="Arial" w:cs="Arial"/>
          <w:sz w:val="24"/>
          <w:szCs w:val="28"/>
        </w:rPr>
        <w:t>.</w:t>
      </w:r>
    </w:p>
    <w:p w:rsidR="00654F64" w:rsidRDefault="00CD6C66" w:rsidP="00842E4B">
      <w:pPr>
        <w:rPr>
          <w:rFonts w:ascii="Arial" w:hAnsi="Arial" w:cs="Arial"/>
          <w:sz w:val="24"/>
          <w:szCs w:val="28"/>
        </w:rPr>
      </w:pPr>
      <w:r>
        <w:rPr>
          <w:rFonts w:ascii="Arial" w:hAnsi="Arial" w:cs="Arial"/>
          <w:sz w:val="24"/>
          <w:szCs w:val="28"/>
        </w:rPr>
        <w:t xml:space="preserve">New cases holding that </w:t>
      </w:r>
      <w:r w:rsidRPr="00CD6C66">
        <w:rPr>
          <w:rFonts w:ascii="Arial" w:hAnsi="Arial" w:cs="Arial"/>
          <w:sz w:val="24"/>
          <w:szCs w:val="28"/>
        </w:rPr>
        <w:t>the requirement to serve by e-mail under Fla. R. Jud. Admin., Rule 2.516(a), (b)(1) does not apply to the 21 day safe harbor notice under Fla. Stat. 57.105</w:t>
      </w:r>
      <w:r w:rsidR="003A6172">
        <w:rPr>
          <w:rFonts w:ascii="Arial" w:hAnsi="Arial" w:cs="Arial"/>
          <w:sz w:val="24"/>
          <w:szCs w:val="28"/>
        </w:rPr>
        <w:t>.</w:t>
      </w:r>
    </w:p>
    <w:p w:rsidR="003A6172" w:rsidRDefault="003A6172" w:rsidP="00842E4B">
      <w:pPr>
        <w:rPr>
          <w:rFonts w:ascii="Arial" w:hAnsi="Arial" w:cs="Arial"/>
          <w:sz w:val="24"/>
          <w:szCs w:val="28"/>
        </w:rPr>
      </w:pPr>
      <w:r>
        <w:rPr>
          <w:rFonts w:ascii="Arial" w:hAnsi="Arial" w:cs="Arial"/>
          <w:sz w:val="24"/>
          <w:szCs w:val="28"/>
        </w:rPr>
        <w:lastRenderedPageBreak/>
        <w:t xml:space="preserve">New case holding it to be error </w:t>
      </w:r>
      <w:r w:rsidRPr="003A6172">
        <w:rPr>
          <w:rFonts w:ascii="Arial" w:hAnsi="Arial" w:cs="Arial"/>
          <w:sz w:val="24"/>
          <w:szCs w:val="28"/>
        </w:rPr>
        <w:t xml:space="preserve">to be error to award 57.105 fees against the offending party and its counsel jointly and severally.  The court noted that </w:t>
      </w:r>
      <w:r>
        <w:rPr>
          <w:rFonts w:ascii="Arial" w:hAnsi="Arial" w:cs="Arial"/>
          <w:sz w:val="24"/>
          <w:szCs w:val="28"/>
        </w:rPr>
        <w:t xml:space="preserve">where the attorney is tagged </w:t>
      </w:r>
      <w:r w:rsidRPr="003A6172">
        <w:rPr>
          <w:rFonts w:ascii="Arial" w:hAnsi="Arial" w:cs="Arial"/>
          <w:sz w:val="24"/>
          <w:szCs w:val="28"/>
        </w:rPr>
        <w:t>each could only be responsible for 50% of the fees</w:t>
      </w:r>
      <w:r>
        <w:rPr>
          <w:rFonts w:ascii="Arial" w:hAnsi="Arial" w:cs="Arial"/>
          <w:sz w:val="24"/>
          <w:szCs w:val="28"/>
        </w:rPr>
        <w:t>.</w:t>
      </w:r>
    </w:p>
    <w:p w:rsidR="003A6172" w:rsidRDefault="003A6172" w:rsidP="00842E4B">
      <w:pPr>
        <w:rPr>
          <w:rFonts w:ascii="Arial" w:hAnsi="Arial" w:cs="Arial"/>
          <w:sz w:val="24"/>
          <w:szCs w:val="28"/>
        </w:rPr>
      </w:pPr>
      <w:r>
        <w:rPr>
          <w:rFonts w:ascii="Arial" w:hAnsi="Arial" w:cs="Arial"/>
          <w:sz w:val="24"/>
          <w:szCs w:val="28"/>
        </w:rPr>
        <w:t>New section for claims of aiding and abetting.</w:t>
      </w:r>
    </w:p>
    <w:p w:rsidR="003A6172" w:rsidRDefault="003A6172" w:rsidP="00842E4B">
      <w:pPr>
        <w:rPr>
          <w:rFonts w:ascii="Arial" w:hAnsi="Arial" w:cs="Arial"/>
          <w:sz w:val="24"/>
          <w:szCs w:val="28"/>
        </w:rPr>
      </w:pPr>
      <w:r>
        <w:rPr>
          <w:rFonts w:ascii="Arial" w:hAnsi="Arial" w:cs="Arial"/>
          <w:sz w:val="24"/>
          <w:szCs w:val="28"/>
        </w:rPr>
        <w:t>New section on trespass by blasting.</w:t>
      </w:r>
    </w:p>
    <w:p w:rsidR="007D4AB3" w:rsidRDefault="007D4AB3" w:rsidP="00842E4B">
      <w:pPr>
        <w:rPr>
          <w:rFonts w:ascii="Arial" w:hAnsi="Arial" w:cs="Arial"/>
          <w:sz w:val="24"/>
          <w:szCs w:val="28"/>
        </w:rPr>
      </w:pPr>
      <w:r>
        <w:rPr>
          <w:rFonts w:ascii="Arial" w:hAnsi="Arial" w:cs="Arial"/>
          <w:sz w:val="24"/>
          <w:szCs w:val="28"/>
        </w:rPr>
        <w:t xml:space="preserve">Amendment to statute of limitations on claims </w:t>
      </w:r>
      <w:r w:rsidRPr="007D4AB3">
        <w:rPr>
          <w:rFonts w:ascii="Arial" w:hAnsi="Arial" w:cs="Arial"/>
          <w:sz w:val="24"/>
          <w:szCs w:val="28"/>
        </w:rPr>
        <w:t>founded on the design, planning, or construction of an improvement to real property</w:t>
      </w:r>
      <w:r>
        <w:rPr>
          <w:rFonts w:ascii="Arial" w:hAnsi="Arial" w:cs="Arial"/>
          <w:sz w:val="24"/>
          <w:szCs w:val="28"/>
        </w:rPr>
        <w:t>.</w:t>
      </w:r>
    </w:p>
    <w:p w:rsidR="007D4AB3" w:rsidRDefault="007D4AB3" w:rsidP="00842E4B">
      <w:pPr>
        <w:rPr>
          <w:rFonts w:ascii="Arial" w:hAnsi="Arial" w:cs="Arial"/>
          <w:sz w:val="24"/>
          <w:szCs w:val="28"/>
        </w:rPr>
      </w:pPr>
      <w:r>
        <w:rPr>
          <w:rFonts w:ascii="Arial" w:hAnsi="Arial" w:cs="Arial"/>
          <w:sz w:val="24"/>
          <w:szCs w:val="28"/>
        </w:rPr>
        <w:t>New case noting that w</w:t>
      </w:r>
      <w:r w:rsidRPr="007D4AB3">
        <w:rPr>
          <w:rFonts w:ascii="Arial" w:hAnsi="Arial" w:cs="Arial"/>
          <w:sz w:val="24"/>
          <w:szCs w:val="28"/>
        </w:rPr>
        <w:t xml:space="preserve">hen </w:t>
      </w:r>
      <w:r>
        <w:rPr>
          <w:rFonts w:ascii="Arial" w:hAnsi="Arial" w:cs="Arial"/>
          <w:sz w:val="24"/>
          <w:szCs w:val="28"/>
        </w:rPr>
        <w:t>an</w:t>
      </w:r>
      <w:r w:rsidRPr="007D4AB3">
        <w:rPr>
          <w:rFonts w:ascii="Arial" w:hAnsi="Arial" w:cs="Arial"/>
          <w:sz w:val="24"/>
          <w:szCs w:val="28"/>
        </w:rPr>
        <w:t xml:space="preserve"> action involves a latent defect, the time runs from when the defect is discovered or should have been discovered with the exercise of due diligence</w:t>
      </w:r>
      <w:r>
        <w:rPr>
          <w:rFonts w:ascii="Arial" w:hAnsi="Arial" w:cs="Arial"/>
          <w:sz w:val="24"/>
          <w:szCs w:val="28"/>
        </w:rPr>
        <w:t>.</w:t>
      </w:r>
    </w:p>
    <w:p w:rsidR="007D4AB3" w:rsidRDefault="007D4AB3" w:rsidP="00842E4B">
      <w:pPr>
        <w:rPr>
          <w:rFonts w:ascii="Arial" w:hAnsi="Arial" w:cs="Arial"/>
          <w:sz w:val="24"/>
          <w:szCs w:val="28"/>
        </w:rPr>
      </w:pPr>
      <w:r>
        <w:rPr>
          <w:rFonts w:ascii="Arial" w:hAnsi="Arial" w:cs="Arial"/>
          <w:sz w:val="24"/>
          <w:szCs w:val="28"/>
        </w:rPr>
        <w:t xml:space="preserve">New case addressing the </w:t>
      </w:r>
      <w:r w:rsidRPr="007D4AB3">
        <w:rPr>
          <w:rFonts w:ascii="Arial" w:hAnsi="Arial" w:cs="Arial"/>
          <w:sz w:val="24"/>
          <w:szCs w:val="28"/>
        </w:rPr>
        <w:t xml:space="preserve">statute of limitations applicable to </w:t>
      </w:r>
      <w:r>
        <w:rPr>
          <w:rFonts w:ascii="Arial" w:hAnsi="Arial" w:cs="Arial"/>
          <w:sz w:val="24"/>
          <w:szCs w:val="28"/>
        </w:rPr>
        <w:t xml:space="preserve">a </w:t>
      </w:r>
      <w:r w:rsidRPr="007D4AB3">
        <w:rPr>
          <w:rFonts w:ascii="Arial" w:hAnsi="Arial" w:cs="Arial"/>
          <w:sz w:val="24"/>
          <w:szCs w:val="28"/>
        </w:rPr>
        <w:t xml:space="preserve">subrogated property insurer's negligence action against </w:t>
      </w:r>
      <w:r>
        <w:rPr>
          <w:rFonts w:ascii="Arial" w:hAnsi="Arial" w:cs="Arial"/>
          <w:sz w:val="24"/>
          <w:szCs w:val="28"/>
        </w:rPr>
        <w:t xml:space="preserve">a </w:t>
      </w:r>
      <w:r w:rsidRPr="007D4AB3">
        <w:rPr>
          <w:rFonts w:ascii="Arial" w:hAnsi="Arial" w:cs="Arial"/>
          <w:sz w:val="24"/>
          <w:szCs w:val="28"/>
        </w:rPr>
        <w:t>roofing company</w:t>
      </w:r>
      <w:r>
        <w:rPr>
          <w:rFonts w:ascii="Arial" w:hAnsi="Arial" w:cs="Arial"/>
          <w:sz w:val="24"/>
          <w:szCs w:val="28"/>
        </w:rPr>
        <w:t>- statute</w:t>
      </w:r>
      <w:r w:rsidRPr="007D4AB3">
        <w:rPr>
          <w:rFonts w:ascii="Arial" w:hAnsi="Arial" w:cs="Arial"/>
          <w:sz w:val="24"/>
          <w:szCs w:val="28"/>
        </w:rPr>
        <w:t xml:space="preserve"> began to run on date insured property was allegedly damaged by water intrusion, rather than date roofing company performed the allegedly negligent roof repairs; limitations period began when the defect was or should have been discovered</w:t>
      </w:r>
      <w:r>
        <w:rPr>
          <w:rFonts w:ascii="Arial" w:hAnsi="Arial" w:cs="Arial"/>
          <w:sz w:val="24"/>
          <w:szCs w:val="28"/>
        </w:rPr>
        <w:t>.</w:t>
      </w:r>
    </w:p>
    <w:p w:rsidR="007D4AB3" w:rsidRDefault="007D4AB3" w:rsidP="00842E4B">
      <w:pPr>
        <w:rPr>
          <w:rFonts w:ascii="Arial" w:hAnsi="Arial" w:cs="Arial"/>
          <w:sz w:val="24"/>
          <w:szCs w:val="28"/>
        </w:rPr>
      </w:pPr>
      <w:r>
        <w:rPr>
          <w:rFonts w:ascii="Arial" w:hAnsi="Arial" w:cs="Arial"/>
          <w:sz w:val="24"/>
          <w:szCs w:val="28"/>
        </w:rPr>
        <w:t>New case addressing the statute making void an agreement to shorten limitations period – unless done by adopting the law of another state.</w:t>
      </w:r>
    </w:p>
    <w:p w:rsidR="003A6172" w:rsidRDefault="007D4AB3" w:rsidP="00842E4B">
      <w:pPr>
        <w:rPr>
          <w:rFonts w:ascii="Arial" w:hAnsi="Arial" w:cs="Arial"/>
          <w:sz w:val="24"/>
          <w:szCs w:val="28"/>
        </w:rPr>
      </w:pPr>
      <w:r>
        <w:rPr>
          <w:rFonts w:ascii="Arial" w:hAnsi="Arial" w:cs="Arial"/>
          <w:sz w:val="24"/>
          <w:szCs w:val="28"/>
        </w:rPr>
        <w:t xml:space="preserve">Amendment to </w:t>
      </w:r>
      <w:r w:rsidRPr="007D4AB3">
        <w:rPr>
          <w:rFonts w:ascii="Arial" w:hAnsi="Arial" w:cs="Arial"/>
          <w:sz w:val="24"/>
          <w:szCs w:val="28"/>
        </w:rPr>
        <w:t>statute of repose for construction defects to provide that counterclaims, cross-claims, and third-party claims that arise out of the conduct, transaction, or occurrence set out or attempted to be set out in a pleading may be commenced up to 1 year after the pleading to which such claims relate is served, even if such claims would otherwise be time barred</w:t>
      </w:r>
      <w:r>
        <w:rPr>
          <w:rFonts w:ascii="Arial" w:hAnsi="Arial" w:cs="Arial"/>
          <w:sz w:val="24"/>
          <w:szCs w:val="28"/>
        </w:rPr>
        <w:t>.</w:t>
      </w:r>
    </w:p>
    <w:p w:rsidR="007D4AB3" w:rsidRDefault="007D4AB3" w:rsidP="00842E4B">
      <w:pPr>
        <w:rPr>
          <w:rFonts w:ascii="Arial" w:hAnsi="Arial" w:cs="Arial"/>
          <w:sz w:val="24"/>
          <w:szCs w:val="28"/>
        </w:rPr>
      </w:pPr>
      <w:r>
        <w:rPr>
          <w:rFonts w:ascii="Arial" w:hAnsi="Arial" w:cs="Arial"/>
          <w:sz w:val="24"/>
          <w:szCs w:val="28"/>
        </w:rPr>
        <w:t xml:space="preserve">Amendment to public records statute providing that </w:t>
      </w:r>
      <w:r w:rsidRPr="007D4AB3">
        <w:rPr>
          <w:rFonts w:ascii="Arial" w:hAnsi="Arial" w:cs="Arial"/>
          <w:sz w:val="24"/>
          <w:szCs w:val="28"/>
        </w:rPr>
        <w:t>building plans, blueprints, schematic drawings, and diagrams, (including draft, preliminary, and final formats) which depict the internal layout or structural elements of an attractions and recreation facility, entertainment or resort complex, industrial complex, retail and service development (more than 400,000 square feet of gross floor area; or parking spaces for more than 2,500 motor vehicles), office development (at least 300,000 sq. ft. gross floor area), health care facility, or hotel or motel development (350 or more units), which records are held by a government agency are exempt from Public Records requests</w:t>
      </w:r>
      <w:r w:rsidR="00AA1EF3">
        <w:rPr>
          <w:rFonts w:ascii="Arial" w:hAnsi="Arial" w:cs="Arial"/>
          <w:sz w:val="24"/>
          <w:szCs w:val="28"/>
        </w:rPr>
        <w:t>.</w:t>
      </w:r>
    </w:p>
    <w:p w:rsidR="00AA1EF3" w:rsidRDefault="00AA1EF3" w:rsidP="00842E4B">
      <w:pPr>
        <w:rPr>
          <w:rFonts w:ascii="Arial" w:hAnsi="Arial" w:cs="Arial"/>
          <w:sz w:val="24"/>
          <w:szCs w:val="28"/>
        </w:rPr>
      </w:pPr>
      <w:r>
        <w:rPr>
          <w:rFonts w:ascii="Arial" w:hAnsi="Arial" w:cs="Arial"/>
          <w:sz w:val="24"/>
          <w:szCs w:val="28"/>
        </w:rPr>
        <w:t>Amendment to public records statute providing that</w:t>
      </w:r>
      <w:r>
        <w:rPr>
          <w:rFonts w:ascii="Arial" w:hAnsi="Arial" w:cs="Arial"/>
          <w:sz w:val="24"/>
          <w:szCs w:val="28"/>
        </w:rPr>
        <w:t xml:space="preserve"> </w:t>
      </w:r>
      <w:r w:rsidRPr="00AA1EF3">
        <w:rPr>
          <w:rFonts w:ascii="Arial" w:hAnsi="Arial" w:cs="Arial"/>
          <w:sz w:val="24"/>
          <w:szCs w:val="28"/>
        </w:rPr>
        <w:t>fire safety system plans held by a government agency are confidential and exempt from Public Records requests</w:t>
      </w:r>
      <w:r>
        <w:rPr>
          <w:rFonts w:ascii="Arial" w:hAnsi="Arial" w:cs="Arial"/>
          <w:sz w:val="24"/>
          <w:szCs w:val="28"/>
        </w:rPr>
        <w:t>.</w:t>
      </w:r>
    </w:p>
    <w:p w:rsidR="00AA1EF3" w:rsidRDefault="00AA1EF3" w:rsidP="00842E4B">
      <w:pPr>
        <w:rPr>
          <w:rFonts w:ascii="Arial" w:hAnsi="Arial" w:cs="Arial"/>
          <w:sz w:val="24"/>
          <w:szCs w:val="28"/>
        </w:rPr>
      </w:pPr>
      <w:r>
        <w:rPr>
          <w:rFonts w:ascii="Arial" w:hAnsi="Arial" w:cs="Arial"/>
          <w:sz w:val="24"/>
          <w:szCs w:val="28"/>
        </w:rPr>
        <w:t xml:space="preserve">New case holding that </w:t>
      </w:r>
      <w:r w:rsidRPr="00AA1EF3">
        <w:rPr>
          <w:rFonts w:ascii="Arial" w:hAnsi="Arial" w:cs="Arial"/>
          <w:sz w:val="24"/>
          <w:szCs w:val="28"/>
        </w:rPr>
        <w:t xml:space="preserve">the unsworn statement of </w:t>
      </w:r>
      <w:r>
        <w:rPr>
          <w:rFonts w:ascii="Arial" w:hAnsi="Arial" w:cs="Arial"/>
          <w:sz w:val="24"/>
          <w:szCs w:val="28"/>
        </w:rPr>
        <w:t xml:space="preserve">a </w:t>
      </w:r>
      <w:r w:rsidRPr="00AA1EF3">
        <w:rPr>
          <w:rFonts w:ascii="Arial" w:hAnsi="Arial" w:cs="Arial"/>
          <w:sz w:val="24"/>
          <w:szCs w:val="28"/>
        </w:rPr>
        <w:t>par</w:t>
      </w:r>
      <w:r>
        <w:rPr>
          <w:rFonts w:ascii="Arial" w:hAnsi="Arial" w:cs="Arial"/>
          <w:sz w:val="24"/>
          <w:szCs w:val="28"/>
        </w:rPr>
        <w:t>t</w:t>
      </w:r>
      <w:r w:rsidRPr="00AA1EF3">
        <w:rPr>
          <w:rFonts w:ascii="Arial" w:hAnsi="Arial" w:cs="Arial"/>
          <w:sz w:val="24"/>
          <w:szCs w:val="28"/>
        </w:rPr>
        <w:t xml:space="preserve">y’s paralegal that it would take 283 hours and $21,000 to produce </w:t>
      </w:r>
      <w:r>
        <w:rPr>
          <w:rFonts w:ascii="Arial" w:hAnsi="Arial" w:cs="Arial"/>
          <w:sz w:val="24"/>
          <w:szCs w:val="28"/>
        </w:rPr>
        <w:t>requested</w:t>
      </w:r>
      <w:r w:rsidRPr="00AA1EF3">
        <w:rPr>
          <w:rFonts w:ascii="Arial" w:hAnsi="Arial" w:cs="Arial"/>
          <w:sz w:val="24"/>
          <w:szCs w:val="28"/>
        </w:rPr>
        <w:t xml:space="preserve"> documents was properly disregarded.</w:t>
      </w:r>
    </w:p>
    <w:p w:rsidR="00AA1EF3" w:rsidRDefault="00AA1EF3" w:rsidP="00842E4B">
      <w:pPr>
        <w:rPr>
          <w:rFonts w:ascii="Arial" w:hAnsi="Arial" w:cs="Arial"/>
          <w:sz w:val="24"/>
          <w:szCs w:val="28"/>
        </w:rPr>
      </w:pPr>
      <w:r>
        <w:rPr>
          <w:rFonts w:ascii="Arial" w:hAnsi="Arial" w:cs="Arial"/>
          <w:sz w:val="24"/>
          <w:szCs w:val="28"/>
        </w:rPr>
        <w:t>New case holding that t</w:t>
      </w:r>
      <w:r w:rsidRPr="00AA1EF3">
        <w:rPr>
          <w:rFonts w:ascii="Arial" w:hAnsi="Arial" w:cs="Arial"/>
          <w:sz w:val="24"/>
          <w:szCs w:val="28"/>
        </w:rPr>
        <w:t>he test for certiorari review</w:t>
      </w:r>
      <w:r>
        <w:rPr>
          <w:rFonts w:ascii="Arial" w:hAnsi="Arial" w:cs="Arial"/>
          <w:sz w:val="24"/>
          <w:szCs w:val="28"/>
        </w:rPr>
        <w:t xml:space="preserve"> of a protective order based on burden to comply</w:t>
      </w:r>
      <w:r w:rsidRPr="00AA1EF3">
        <w:rPr>
          <w:rFonts w:ascii="Arial" w:hAnsi="Arial" w:cs="Arial"/>
          <w:sz w:val="24"/>
          <w:szCs w:val="28"/>
        </w:rPr>
        <w:t xml:space="preserve"> is that the cost would be destructive so as to put the party out of business if it were to comply</w:t>
      </w:r>
      <w:r>
        <w:rPr>
          <w:rFonts w:ascii="Arial" w:hAnsi="Arial" w:cs="Arial"/>
          <w:sz w:val="24"/>
          <w:szCs w:val="28"/>
        </w:rPr>
        <w:t>.</w:t>
      </w:r>
    </w:p>
    <w:p w:rsidR="00AA1EF3" w:rsidRDefault="00AA1EF3" w:rsidP="00842E4B">
      <w:pPr>
        <w:rPr>
          <w:rFonts w:ascii="Arial" w:hAnsi="Arial" w:cs="Arial"/>
          <w:sz w:val="24"/>
          <w:szCs w:val="28"/>
        </w:rPr>
      </w:pPr>
      <w:r>
        <w:rPr>
          <w:rFonts w:ascii="Arial" w:hAnsi="Arial" w:cs="Arial"/>
          <w:sz w:val="24"/>
          <w:szCs w:val="28"/>
        </w:rPr>
        <w:lastRenderedPageBreak/>
        <w:t xml:space="preserve">New case holding that </w:t>
      </w:r>
      <w:r w:rsidRPr="00AA1EF3">
        <w:rPr>
          <w:rFonts w:ascii="Arial" w:hAnsi="Arial" w:cs="Arial"/>
          <w:sz w:val="24"/>
          <w:szCs w:val="28"/>
        </w:rPr>
        <w:t xml:space="preserve">the finding of a waiver </w:t>
      </w:r>
      <w:r>
        <w:rPr>
          <w:rFonts w:ascii="Arial" w:hAnsi="Arial" w:cs="Arial"/>
          <w:sz w:val="24"/>
          <w:szCs w:val="28"/>
        </w:rPr>
        <w:t xml:space="preserve">of privilege for failure to file a privilege log </w:t>
      </w:r>
      <w:r w:rsidRPr="00AA1EF3">
        <w:rPr>
          <w:rFonts w:ascii="Arial" w:hAnsi="Arial" w:cs="Arial"/>
          <w:sz w:val="24"/>
          <w:szCs w:val="28"/>
        </w:rPr>
        <w:t>“should not apply where assertion of the privilege is not document-specific, but category specific and the category itself is plainly protected.” (e.g., attorney client privilege)</w:t>
      </w:r>
    </w:p>
    <w:p w:rsidR="00AA1EF3" w:rsidRDefault="00AA1EF3" w:rsidP="00842E4B">
      <w:pPr>
        <w:rPr>
          <w:rFonts w:ascii="Arial" w:hAnsi="Arial" w:cs="Arial"/>
          <w:sz w:val="24"/>
          <w:szCs w:val="28"/>
        </w:rPr>
      </w:pPr>
      <w:r>
        <w:rPr>
          <w:rFonts w:ascii="Arial" w:hAnsi="Arial" w:cs="Arial"/>
          <w:sz w:val="24"/>
          <w:szCs w:val="28"/>
        </w:rPr>
        <w:t>New case confirming that w</w:t>
      </w:r>
      <w:r w:rsidRPr="00AA1EF3">
        <w:rPr>
          <w:rFonts w:ascii="Arial" w:hAnsi="Arial" w:cs="Arial"/>
          <w:sz w:val="24"/>
          <w:szCs w:val="28"/>
        </w:rPr>
        <w:t>hen a party asserts privilege objections in opposition to discovery requests, the trial court must make specific findings to support its denial of those objections. Such findings are necessary for meaningful appellate review</w:t>
      </w:r>
    </w:p>
    <w:p w:rsidR="00AA1EF3" w:rsidRDefault="00886636" w:rsidP="00842E4B">
      <w:pPr>
        <w:rPr>
          <w:rFonts w:ascii="Arial" w:hAnsi="Arial" w:cs="Arial"/>
          <w:sz w:val="24"/>
          <w:szCs w:val="28"/>
        </w:rPr>
      </w:pPr>
      <w:r>
        <w:rPr>
          <w:rFonts w:ascii="Arial" w:hAnsi="Arial" w:cs="Arial"/>
          <w:sz w:val="24"/>
          <w:szCs w:val="28"/>
        </w:rPr>
        <w:t xml:space="preserve">New case confirming that </w:t>
      </w:r>
      <w:r w:rsidRPr="00886636">
        <w:rPr>
          <w:rFonts w:ascii="Arial" w:hAnsi="Arial" w:cs="Arial"/>
          <w:sz w:val="24"/>
          <w:szCs w:val="28"/>
        </w:rPr>
        <w:t>“[</w:t>
      </w:r>
      <w:proofErr w:type="spellStart"/>
      <w:r w:rsidRPr="00886636">
        <w:rPr>
          <w:rFonts w:ascii="Arial" w:hAnsi="Arial" w:cs="Arial"/>
          <w:sz w:val="24"/>
          <w:szCs w:val="28"/>
        </w:rPr>
        <w:t>i</w:t>
      </w:r>
      <w:proofErr w:type="spellEnd"/>
      <w:r w:rsidRPr="00886636">
        <w:rPr>
          <w:rFonts w:ascii="Arial" w:hAnsi="Arial" w:cs="Arial"/>
          <w:sz w:val="24"/>
          <w:szCs w:val="28"/>
        </w:rPr>
        <w:t>]f the settlement funds are applicable to a claim asserted only against the settling co-defendant, the non-settling co-defendants are not eligible for a set-off in the amount of the settlement.” In the same vein, when a settlement recovery is allocated between claims with different and distinctive damage elements, set-off should only be allowed to co-defendants jointly and severally liable for the same claims.</w:t>
      </w:r>
    </w:p>
    <w:p w:rsidR="00886636" w:rsidRDefault="00886636" w:rsidP="00842E4B">
      <w:pPr>
        <w:rPr>
          <w:rFonts w:ascii="Arial" w:hAnsi="Arial" w:cs="Arial"/>
          <w:sz w:val="24"/>
          <w:szCs w:val="28"/>
        </w:rPr>
      </w:pPr>
      <w:r w:rsidRPr="00886636">
        <w:rPr>
          <w:rFonts w:ascii="Arial" w:hAnsi="Arial" w:cs="Arial"/>
          <w:sz w:val="24"/>
          <w:szCs w:val="28"/>
        </w:rPr>
        <w:t>An award of attorney fees based on a proposal for settlement served later than 45 days before the first date of the trial docket on which the case was set for trial was overturned as being tardy</w:t>
      </w:r>
      <w:r>
        <w:rPr>
          <w:rFonts w:ascii="Arial" w:hAnsi="Arial" w:cs="Arial"/>
          <w:sz w:val="24"/>
          <w:szCs w:val="28"/>
        </w:rPr>
        <w:t>.</w:t>
      </w:r>
    </w:p>
    <w:p w:rsidR="00886636" w:rsidRDefault="00886636" w:rsidP="00842E4B">
      <w:pPr>
        <w:rPr>
          <w:rFonts w:ascii="Arial" w:hAnsi="Arial" w:cs="Arial"/>
          <w:sz w:val="24"/>
          <w:szCs w:val="28"/>
        </w:rPr>
      </w:pPr>
      <w:r>
        <w:rPr>
          <w:rFonts w:ascii="Arial" w:hAnsi="Arial" w:cs="Arial"/>
          <w:sz w:val="24"/>
          <w:szCs w:val="28"/>
        </w:rPr>
        <w:t>New case making the obvious holding that a</w:t>
      </w:r>
      <w:r w:rsidRPr="00886636">
        <w:rPr>
          <w:rFonts w:ascii="Arial" w:hAnsi="Arial" w:cs="Arial"/>
          <w:sz w:val="24"/>
          <w:szCs w:val="28"/>
        </w:rPr>
        <w:t xml:space="preserve"> motion to enlarge time to accept an offer of settlement without an order granting same, does not toll the time to accept a proposal for settlement</w:t>
      </w:r>
      <w:r>
        <w:rPr>
          <w:rFonts w:ascii="Arial" w:hAnsi="Arial" w:cs="Arial"/>
          <w:sz w:val="24"/>
          <w:szCs w:val="28"/>
        </w:rPr>
        <w:t>.</w:t>
      </w:r>
    </w:p>
    <w:p w:rsidR="00886636" w:rsidRDefault="00886636" w:rsidP="00842E4B">
      <w:pPr>
        <w:rPr>
          <w:rFonts w:ascii="Arial" w:hAnsi="Arial" w:cs="Arial"/>
          <w:sz w:val="24"/>
          <w:szCs w:val="28"/>
        </w:rPr>
      </w:pPr>
      <w:r>
        <w:rPr>
          <w:rFonts w:ascii="Arial" w:hAnsi="Arial" w:cs="Arial"/>
          <w:sz w:val="24"/>
          <w:szCs w:val="28"/>
        </w:rPr>
        <w:t>New bankruptcy cases confirming that w</w:t>
      </w:r>
      <w:r w:rsidRPr="00886636">
        <w:rPr>
          <w:rFonts w:ascii="Arial" w:hAnsi="Arial" w:cs="Arial"/>
          <w:sz w:val="24"/>
          <w:szCs w:val="28"/>
        </w:rPr>
        <w:t>here retainage is earned, it is property of the bankrupt contractor’s estate, subject to security interests</w:t>
      </w:r>
      <w:r>
        <w:rPr>
          <w:rFonts w:ascii="Arial" w:hAnsi="Arial" w:cs="Arial"/>
          <w:sz w:val="24"/>
          <w:szCs w:val="28"/>
        </w:rPr>
        <w:t>.</w:t>
      </w:r>
    </w:p>
    <w:p w:rsidR="00541DF4" w:rsidRDefault="00541DF4" w:rsidP="00842E4B">
      <w:pPr>
        <w:rPr>
          <w:rFonts w:ascii="Arial" w:hAnsi="Arial" w:cs="Arial"/>
          <w:sz w:val="24"/>
          <w:szCs w:val="28"/>
        </w:rPr>
      </w:pPr>
      <w:r>
        <w:rPr>
          <w:rFonts w:ascii="Arial" w:hAnsi="Arial" w:cs="Arial"/>
          <w:sz w:val="24"/>
          <w:szCs w:val="28"/>
        </w:rPr>
        <w:t xml:space="preserve">New case holding that </w:t>
      </w:r>
      <w:r w:rsidRPr="00541DF4">
        <w:rPr>
          <w:rFonts w:ascii="Arial" w:hAnsi="Arial" w:cs="Arial"/>
          <w:sz w:val="24"/>
          <w:szCs w:val="28"/>
        </w:rPr>
        <w:t>If there is a dispute as to the making of an agreement to arbitrate, the parties are entitled to a jury trial on that issue unless summary judgment is appropriate</w:t>
      </w:r>
      <w:r>
        <w:rPr>
          <w:rFonts w:ascii="Arial" w:hAnsi="Arial" w:cs="Arial"/>
          <w:sz w:val="24"/>
          <w:szCs w:val="28"/>
        </w:rPr>
        <w:t>.</w:t>
      </w:r>
    </w:p>
    <w:p w:rsidR="00541DF4" w:rsidRDefault="00541DF4" w:rsidP="00842E4B">
      <w:pPr>
        <w:rPr>
          <w:rFonts w:ascii="Arial" w:hAnsi="Arial" w:cs="Arial"/>
          <w:sz w:val="24"/>
          <w:szCs w:val="28"/>
        </w:rPr>
      </w:pPr>
      <w:r>
        <w:rPr>
          <w:rFonts w:ascii="Arial" w:hAnsi="Arial" w:cs="Arial"/>
          <w:sz w:val="24"/>
          <w:szCs w:val="28"/>
        </w:rPr>
        <w:t>New discussion of whether to file a motion to compel arbitration, or a motion to dismiss, where suit is filed despite an arbitration clause that would apply to the dispute.</w:t>
      </w:r>
    </w:p>
    <w:p w:rsidR="00541DF4" w:rsidRDefault="00541DF4" w:rsidP="00842E4B">
      <w:pPr>
        <w:rPr>
          <w:rFonts w:ascii="Arial" w:hAnsi="Arial" w:cs="Arial"/>
          <w:sz w:val="24"/>
          <w:szCs w:val="28"/>
        </w:rPr>
      </w:pPr>
      <w:r>
        <w:rPr>
          <w:rFonts w:ascii="Arial" w:hAnsi="Arial" w:cs="Arial"/>
          <w:sz w:val="24"/>
          <w:szCs w:val="28"/>
        </w:rPr>
        <w:t>New case distinguishing between the duty to indemnify and the duty to defend.</w:t>
      </w:r>
    </w:p>
    <w:p w:rsidR="00541DF4" w:rsidRPr="00842E4B" w:rsidRDefault="00541DF4" w:rsidP="00842E4B">
      <w:pPr>
        <w:rPr>
          <w:rFonts w:ascii="Arial" w:hAnsi="Arial" w:cs="Arial"/>
          <w:sz w:val="24"/>
          <w:szCs w:val="28"/>
        </w:rPr>
      </w:pPr>
      <w:bookmarkStart w:id="0" w:name="_GoBack"/>
      <w:bookmarkEnd w:id="0"/>
    </w:p>
    <w:sectPr w:rsidR="00541DF4" w:rsidRPr="00842E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A8E" w:rsidRDefault="00A06A8E" w:rsidP="00224423">
      <w:pPr>
        <w:spacing w:after="0" w:line="240" w:lineRule="auto"/>
      </w:pPr>
      <w:r>
        <w:separator/>
      </w:r>
    </w:p>
  </w:endnote>
  <w:endnote w:type="continuationSeparator" w:id="0">
    <w:p w:rsidR="00A06A8E" w:rsidRDefault="00A06A8E" w:rsidP="0022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23" w:rsidRDefault="00224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805063"/>
      <w:docPartObj>
        <w:docPartGallery w:val="Page Numbers (Bottom of Page)"/>
        <w:docPartUnique/>
      </w:docPartObj>
    </w:sdtPr>
    <w:sdtEndPr>
      <w:rPr>
        <w:noProof/>
      </w:rPr>
    </w:sdtEndPr>
    <w:sdtContent>
      <w:p w:rsidR="00224423" w:rsidRDefault="00224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4423" w:rsidRDefault="00224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23" w:rsidRDefault="00224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A8E" w:rsidRDefault="00A06A8E" w:rsidP="00224423">
      <w:pPr>
        <w:spacing w:after="0" w:line="240" w:lineRule="auto"/>
      </w:pPr>
      <w:r>
        <w:separator/>
      </w:r>
    </w:p>
  </w:footnote>
  <w:footnote w:type="continuationSeparator" w:id="0">
    <w:p w:rsidR="00A06A8E" w:rsidRDefault="00A06A8E" w:rsidP="00224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23" w:rsidRDefault="00224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23" w:rsidRDefault="00224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23" w:rsidRDefault="00224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4B"/>
    <w:rsid w:val="000154B5"/>
    <w:rsid w:val="00224423"/>
    <w:rsid w:val="002834C3"/>
    <w:rsid w:val="003A46C2"/>
    <w:rsid w:val="003A6172"/>
    <w:rsid w:val="004516FD"/>
    <w:rsid w:val="004C37AA"/>
    <w:rsid w:val="00541DF4"/>
    <w:rsid w:val="00600A49"/>
    <w:rsid w:val="00654F64"/>
    <w:rsid w:val="006C43B5"/>
    <w:rsid w:val="007D4AB3"/>
    <w:rsid w:val="008012B3"/>
    <w:rsid w:val="00842E4B"/>
    <w:rsid w:val="00886636"/>
    <w:rsid w:val="00A06A8E"/>
    <w:rsid w:val="00AA1EF3"/>
    <w:rsid w:val="00BF71A5"/>
    <w:rsid w:val="00C12B1B"/>
    <w:rsid w:val="00C67A46"/>
    <w:rsid w:val="00CD6C66"/>
    <w:rsid w:val="00E919A3"/>
    <w:rsid w:val="00EB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EF1F"/>
  <w15:chartTrackingRefBased/>
  <w15:docId w15:val="{1453DCC8-9D5D-4975-811A-58193A61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23"/>
  </w:style>
  <w:style w:type="paragraph" w:styleId="Footer">
    <w:name w:val="footer"/>
    <w:basedOn w:val="Normal"/>
    <w:link w:val="FooterChar"/>
    <w:uiPriority w:val="99"/>
    <w:unhideWhenUsed/>
    <w:rsid w:val="0022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Leiby</dc:creator>
  <cp:keywords/>
  <dc:description/>
  <cp:lastModifiedBy>Larry Leiby</cp:lastModifiedBy>
  <cp:revision>3</cp:revision>
  <dcterms:created xsi:type="dcterms:W3CDTF">2018-08-28T18:18:00Z</dcterms:created>
  <dcterms:modified xsi:type="dcterms:W3CDTF">2018-08-29T18:41:00Z</dcterms:modified>
</cp:coreProperties>
</file>