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rPr>
      </w:pPr>
      <w:r>
        <w:rPr>
          <w:b/>
        </w:rPr>
        <w:t>Construction Recent Case Law Update CLE</w:t>
      </w:r>
    </w:p>
    <w:p>
      <w:pPr>
        <w:jc w:val="both"/>
      </w:pPr>
    </w:p>
    <w:p>
      <w:pPr>
        <w:pStyle w:val="ListParagraph"/>
        <w:numPr>
          <w:ilvl w:val="0"/>
          <w:numId w:val="1"/>
        </w:numPr>
        <w:jc w:val="both"/>
      </w:pPr>
      <w:r>
        <w:t>CLE will present cases decided in 2018 that impact Construction Law.</w:t>
      </w:r>
    </w:p>
    <w:p>
      <w:pPr>
        <w:pStyle w:val="ListParagraph"/>
        <w:numPr>
          <w:ilvl w:val="0"/>
          <w:numId w:val="1"/>
        </w:numPr>
        <w:jc w:val="both"/>
      </w:pPr>
      <w:r>
        <w:t>CLE will provide an overview of the cases and the facts and issues presented therein.</w:t>
      </w:r>
    </w:p>
    <w:p>
      <w:pPr>
        <w:pStyle w:val="ListParagraph"/>
        <w:numPr>
          <w:ilvl w:val="0"/>
          <w:numId w:val="1"/>
        </w:numPr>
        <w:jc w:val="both"/>
      </w:pPr>
      <w:r>
        <w:t xml:space="preserve">CLE will provide the rule of law that was applied in the case or that comes out of the case. </w:t>
      </w:r>
    </w:p>
    <w:p>
      <w:pPr>
        <w:pStyle w:val="ListParagraph"/>
        <w:numPr>
          <w:ilvl w:val="0"/>
          <w:numId w:val="1"/>
        </w:numPr>
        <w:jc w:val="both"/>
      </w:pPr>
      <w:r>
        <w:t>CLE will discuss the impact case has on construction and our clients and/or the key points to be derived from the case.</w:t>
      </w:r>
    </w:p>
    <w:p>
      <w:pPr>
        <w:jc w:val="both"/>
      </w:pPr>
    </w:p>
    <w:p>
      <w:pPr>
        <w:jc w:val="both"/>
      </w:pPr>
    </w:p>
    <w:p>
      <w:pPr>
        <w:jc w:val="both"/>
      </w:pPr>
      <w:r>
        <w:rPr>
          <w:b/>
        </w:rPr>
        <w:t>Notice of Construction Defect &amp; Statute of Limitations -</w:t>
      </w:r>
      <w:r>
        <w:t xml:space="preserve"> </w:t>
      </w:r>
      <w:r>
        <w:rPr>
          <w:u w:val="single"/>
        </w:rPr>
        <w:t>Inlet Marina of Palm Beach Ltd. v. Sea Diversified, Inc.</w:t>
      </w:r>
      <w:r>
        <w:t xml:space="preserve">, --- So. </w:t>
      </w:r>
      <w:proofErr w:type="spellStart"/>
      <w:r>
        <w:t>3d</w:t>
      </w:r>
      <w:proofErr w:type="spellEnd"/>
      <w:r>
        <w:t xml:space="preserve"> ---, 2018 WL 636210 (Fla. 4th </w:t>
      </w:r>
      <w:proofErr w:type="spellStart"/>
      <w:r>
        <w:t>DCA</w:t>
      </w:r>
      <w:proofErr w:type="spellEnd"/>
      <w:r>
        <w:t xml:space="preserve"> Jan. 31, 2018).</w:t>
      </w:r>
    </w:p>
    <w:p>
      <w:pPr>
        <w:jc w:val="both"/>
      </w:pPr>
    </w:p>
    <w:p>
      <w:pPr>
        <w:pStyle w:val="ListParagraph"/>
        <w:numPr>
          <w:ilvl w:val="0"/>
          <w:numId w:val="3"/>
        </w:numPr>
        <w:jc w:val="both"/>
      </w:pPr>
      <w:r>
        <w:t>Case decided on January 31, 2018.</w:t>
      </w:r>
    </w:p>
    <w:p>
      <w:pPr>
        <w:pStyle w:val="ListParagraph"/>
        <w:numPr>
          <w:ilvl w:val="0"/>
          <w:numId w:val="3"/>
        </w:numPr>
        <w:jc w:val="both"/>
      </w:pPr>
      <w:r>
        <w:t>Case involves when there is sufficient notice of a construction defect such that the statute of limitations begins to run.</w:t>
      </w:r>
    </w:p>
    <w:p>
      <w:pPr>
        <w:pStyle w:val="ListParagraph"/>
        <w:numPr>
          <w:ilvl w:val="0"/>
          <w:numId w:val="3"/>
        </w:numPr>
        <w:jc w:val="both"/>
      </w:pPr>
      <w:r>
        <w:t xml:space="preserve">Takeaway – General rule is “[w]here there is an obvious manifestation of a construction defect, notice of a defect will be inferred for statute of limitations purposes at the time of manifestation regardless of whether the plaintiff has knowledge of the exact nature of the defect; but where the manifestation is not obvious but could be due to causes other than an actionable defect, notice as a matter of law may not be inferred.”  </w:t>
      </w:r>
      <w:r>
        <w:rPr>
          <w:i/>
        </w:rPr>
        <w:t>Performing Arts Center Authority v. Clark Construction Group</w:t>
      </w:r>
      <w:r>
        <w:t>,</w:t>
      </w:r>
      <w:r>
        <w:rPr>
          <w:color w:val="212121"/>
        </w:rPr>
        <w:t xml:space="preserve"> </w:t>
      </w:r>
      <w:r>
        <w:t xml:space="preserve">789 So. </w:t>
      </w:r>
      <w:proofErr w:type="spellStart"/>
      <w:r>
        <w:t>2d</w:t>
      </w:r>
      <w:proofErr w:type="spellEnd"/>
      <w:r>
        <w:t xml:space="preserve"> 392 (Fla. 4th </w:t>
      </w:r>
      <w:proofErr w:type="spellStart"/>
      <w:r>
        <w:t>DCA</w:t>
      </w:r>
      <w:proofErr w:type="spellEnd"/>
      <w:r>
        <w:t xml:space="preserve"> 2001).</w:t>
      </w:r>
      <w:bookmarkStart w:id="0" w:name="_GoBack"/>
      <w:bookmarkEnd w:id="0"/>
    </w:p>
    <w:p>
      <w:pPr>
        <w:pStyle w:val="ListParagraph"/>
        <w:jc w:val="both"/>
      </w:pPr>
    </w:p>
    <w:p>
      <w:pPr>
        <w:pStyle w:val="ListParagraph"/>
        <w:numPr>
          <w:ilvl w:val="0"/>
          <w:numId w:val="3"/>
        </w:numPr>
        <w:jc w:val="both"/>
      </w:pPr>
      <w:r>
        <w:t>Facts</w:t>
      </w:r>
    </w:p>
    <w:p>
      <w:pPr>
        <w:numPr>
          <w:ilvl w:val="0"/>
          <w:numId w:val="2"/>
        </w:numPr>
        <w:jc w:val="both"/>
      </w:pPr>
      <w:r>
        <w:t xml:space="preserve">The plaintiff Inlet Marina sued the defendant-engineer Sea Diversified in alternative causes of action arising from the defendant-engineer's design of a concrete runway slab that permits forklifts to transport boats from a boat barn to the water launch area. </w:t>
      </w:r>
    </w:p>
    <w:p>
      <w:pPr>
        <w:numPr>
          <w:ilvl w:val="0"/>
          <w:numId w:val="2"/>
        </w:numPr>
        <w:jc w:val="both"/>
      </w:pPr>
      <w:r>
        <w:t xml:space="preserve">The slab developed cracks, spalling, and other deterioration over a period of time. </w:t>
      </w:r>
    </w:p>
    <w:p>
      <w:pPr>
        <w:numPr>
          <w:ilvl w:val="0"/>
          <w:numId w:val="2"/>
        </w:numPr>
        <w:jc w:val="both"/>
      </w:pPr>
      <w:r>
        <w:t>Inlet Marina emailed Sea Diversified to let the company know about damage to a concrete runway slab and also threatened legal action against Sea diversified, but no suit was filed until six years later.</w:t>
      </w:r>
    </w:p>
    <w:p>
      <w:pPr>
        <w:numPr>
          <w:ilvl w:val="0"/>
          <w:numId w:val="2"/>
        </w:numPr>
        <w:jc w:val="both"/>
      </w:pPr>
      <w:r>
        <w:t>The statute of limitations for construction related claims is 4 years.</w:t>
      </w:r>
    </w:p>
    <w:p>
      <w:pPr>
        <w:numPr>
          <w:ilvl w:val="0"/>
          <w:numId w:val="2"/>
        </w:numPr>
        <w:jc w:val="both"/>
      </w:pPr>
      <w:r>
        <w:t>Defendant-engineer sea diversified moved for summary judgment arguing that the statute of limitations had run.</w:t>
      </w:r>
    </w:p>
    <w:p>
      <w:pPr>
        <w:numPr>
          <w:ilvl w:val="0"/>
          <w:numId w:val="2"/>
        </w:numPr>
        <w:jc w:val="both"/>
      </w:pPr>
      <w:r>
        <w:t>Plaintiff marina argued that a genuine issue of material fact existed as to when it discovered or should have discovered the latent design defect in the runway slab with the exercise of due diligence.</w:t>
      </w:r>
    </w:p>
    <w:p>
      <w:pPr>
        <w:ind w:left="720"/>
        <w:jc w:val="both"/>
      </w:pPr>
    </w:p>
    <w:p>
      <w:pPr>
        <w:pStyle w:val="ListParagraph"/>
        <w:numPr>
          <w:ilvl w:val="0"/>
          <w:numId w:val="3"/>
        </w:numPr>
        <w:jc w:val="both"/>
      </w:pPr>
      <w:r>
        <w:rPr>
          <w:b/>
        </w:rPr>
        <w:t>Ruling</w:t>
      </w:r>
      <w:r>
        <w:t>s</w:t>
      </w:r>
    </w:p>
    <w:p>
      <w:pPr>
        <w:numPr>
          <w:ilvl w:val="0"/>
          <w:numId w:val="2"/>
        </w:numPr>
        <w:jc w:val="both"/>
      </w:pPr>
      <w:r>
        <w:t>The trial court granted summary judgment in favor of the defendant-engineer Sea Diversified based on the running of the four-year statute of limitations.</w:t>
      </w:r>
    </w:p>
    <w:p>
      <w:pPr>
        <w:numPr>
          <w:ilvl w:val="0"/>
          <w:numId w:val="2"/>
        </w:numPr>
        <w:jc w:val="both"/>
      </w:pPr>
      <w:r>
        <w:rPr>
          <w:iCs/>
        </w:rPr>
        <w:t>The Fourth District reversed the trial court’s entry of summary judgment finding that whether</w:t>
      </w:r>
      <w:r>
        <w:rPr>
          <w:i/>
          <w:iCs/>
        </w:rPr>
        <w:t xml:space="preserve"> </w:t>
      </w:r>
      <w:r>
        <w:t xml:space="preserve">facts and circumstances were sufficient to put the marina on notice that a cause of action existed before the four-year limitations period expired should be a question for the jury. </w:t>
      </w:r>
    </w:p>
    <w:p>
      <w:pPr>
        <w:numPr>
          <w:ilvl w:val="0"/>
          <w:numId w:val="2"/>
        </w:numPr>
        <w:jc w:val="both"/>
      </w:pPr>
      <w:r>
        <w:t xml:space="preserve">You may recall, that previously we had the roof leak cases, one case you may recall is </w:t>
      </w:r>
      <w:r>
        <w:rPr>
          <w:i/>
          <w:iCs/>
        </w:rPr>
        <w:t>Kelley v. School Bd. of Seminole County,</w:t>
      </w:r>
      <w:r>
        <w:t xml:space="preserve"> 435 So. </w:t>
      </w:r>
      <w:proofErr w:type="spellStart"/>
      <w:r>
        <w:t>2d</w:t>
      </w:r>
      <w:proofErr w:type="spellEnd"/>
      <w:r>
        <w:t xml:space="preserve"> 804, 806 (Fla. 1983), that held that roof leaks were sufficient to put the plaintiff on notice of a potential cause of </w:t>
      </w:r>
      <w:r>
        <w:lastRenderedPageBreak/>
        <w:t xml:space="preserve">action and thus knowledge of the leaks was sufficient to trigger the running of the statute of limitations. </w:t>
      </w:r>
    </w:p>
    <w:p>
      <w:pPr>
        <w:pStyle w:val="ListParagraph"/>
        <w:numPr>
          <w:ilvl w:val="0"/>
          <w:numId w:val="4"/>
        </w:numPr>
        <w:jc w:val="both"/>
      </w:pPr>
      <w:r>
        <w:t>The rationale for the holding in Kelley and these roof leak cases was “when newly finished roofs leak it is not only apparent, but obvious, that someone is at fault.” </w:t>
      </w:r>
      <w:r>
        <w:rPr>
          <w:i/>
          <w:iCs/>
        </w:rPr>
        <w:t>Kelley v. School Bd. of Seminole County,</w:t>
      </w:r>
      <w:r>
        <w:t xml:space="preserve"> 435 So. </w:t>
      </w:r>
      <w:proofErr w:type="spellStart"/>
      <w:r>
        <w:t>2d</w:t>
      </w:r>
      <w:proofErr w:type="spellEnd"/>
      <w:r>
        <w:t xml:space="preserve"> 804, 806 (Fla. 1983) </w:t>
      </w:r>
    </w:p>
    <w:p>
      <w:pPr>
        <w:numPr>
          <w:ilvl w:val="0"/>
          <w:numId w:val="2"/>
        </w:numPr>
        <w:jc w:val="both"/>
      </w:pPr>
      <w:r>
        <w:t xml:space="preserve">However, thereafter, there were cases, such as </w:t>
      </w:r>
      <w:r>
        <w:rPr>
          <w:i/>
        </w:rPr>
        <w:t>Performing Arts Center Authority v. Clark Construction Group</w:t>
      </w:r>
      <w:r>
        <w:t>,</w:t>
      </w:r>
      <w:r>
        <w:rPr>
          <w:color w:val="212121"/>
        </w:rPr>
        <w:t xml:space="preserve"> </w:t>
      </w:r>
      <w:r>
        <w:t xml:space="preserve">789 So. </w:t>
      </w:r>
      <w:proofErr w:type="spellStart"/>
      <w:r>
        <w:t>2d</w:t>
      </w:r>
      <w:proofErr w:type="spellEnd"/>
      <w:r>
        <w:t xml:space="preserve"> 392 (Fla. 4th </w:t>
      </w:r>
      <w:proofErr w:type="spellStart"/>
      <w:r>
        <w:t>DCA</w:t>
      </w:r>
      <w:proofErr w:type="spellEnd"/>
      <w:r>
        <w:t xml:space="preserve"> 2001), involving leaks and stucco cracks which the court found did not automatically put the plaintiff on notice of a cause of action, explaining that the “roof leak” cases did not stand for the proposition that in all </w:t>
      </w:r>
      <w:r>
        <w:rPr>
          <w:bCs/>
        </w:rPr>
        <w:t>construction</w:t>
      </w:r>
      <w:r>
        <w:t> disputes notice attaches the instant a plaintiff discovers any leak in a building because the cause of such issue could be the result of actionable items such as defective stucco or non-actionable items such as the building’s settling process.</w:t>
      </w:r>
    </w:p>
    <w:p>
      <w:pPr>
        <w:numPr>
          <w:ilvl w:val="0"/>
          <w:numId w:val="2"/>
        </w:numPr>
        <w:jc w:val="both"/>
      </w:pPr>
      <w:r>
        <w:t xml:space="preserve">Apparently the trial court thought the instant case involving the marina and the defendant engineer fit within the former, while the Fourth District Court of Appeals thought this case fit into the latter. </w:t>
      </w:r>
    </w:p>
    <w:p>
      <w:pPr>
        <w:ind w:left="720"/>
        <w:jc w:val="both"/>
      </w:pPr>
    </w:p>
    <w:p>
      <w:pPr>
        <w:pStyle w:val="ListParagraph"/>
        <w:numPr>
          <w:ilvl w:val="0"/>
          <w:numId w:val="3"/>
        </w:numPr>
        <w:jc w:val="both"/>
        <w:rPr>
          <w:b/>
        </w:rPr>
      </w:pPr>
      <w:r>
        <w:rPr>
          <w:b/>
        </w:rPr>
        <w:t>Interesting Points and/or Key Points to Take Away</w:t>
      </w:r>
    </w:p>
    <w:p>
      <w:pPr>
        <w:numPr>
          <w:ilvl w:val="0"/>
          <w:numId w:val="2"/>
        </w:numPr>
        <w:jc w:val="both"/>
      </w:pPr>
      <w:r>
        <w:t>The point at which there is an obvious manifestation of a construction defect such that notice of a defect will be inferred for statute of limitations purposes is not always clear.</w:t>
      </w:r>
    </w:p>
    <w:p>
      <w:pPr>
        <w:numPr>
          <w:ilvl w:val="0"/>
          <w:numId w:val="2"/>
        </w:numPr>
        <w:jc w:val="both"/>
      </w:pPr>
      <w:r>
        <w:t>One might think that the fact that the plaintiff threatened to sue regarding the cracks was sufficient notice of a defect but Fourth District found otherwise.</w:t>
      </w:r>
    </w:p>
    <w:p>
      <w:pPr>
        <w:numPr>
          <w:ilvl w:val="0"/>
          <w:numId w:val="2"/>
        </w:numPr>
        <w:jc w:val="both"/>
      </w:pPr>
      <w:r>
        <w:t>It should be noted that the defendant-engineer Sea Diversified has appealed to the Florida Supreme Court concerning this matter, the result of which remains to be seen.</w:t>
      </w:r>
    </w:p>
    <w:p>
      <w:pPr>
        <w:numPr>
          <w:ilvl w:val="0"/>
          <w:numId w:val="2"/>
        </w:numPr>
        <w:jc w:val="both"/>
      </w:pPr>
      <w:r>
        <w:t>It should also be noted that because this case is fairly new it comes with the disclaimer that (NOTE: This opinion has not been released for publication in the permanent law reports. Until released, it is subject to revision or withdrawal).</w:t>
      </w:r>
    </w:p>
    <w:p>
      <w:pPr>
        <w:jc w:val="both"/>
      </w:pPr>
    </w:p>
    <w:p>
      <w:pPr>
        <w:jc w:val="both"/>
      </w:pPr>
    </w:p>
    <w:p>
      <w:pPr>
        <w:jc w:val="both"/>
      </w:pPr>
      <w:r>
        <w:rPr>
          <w:b/>
        </w:rPr>
        <w:t>Indemnification &amp; Interpretation of Section 725.06, Florida Statutes Interpretation of Section 725.06, Florida Statutes</w:t>
      </w:r>
      <w:r>
        <w:t xml:space="preserve"> - </w:t>
      </w:r>
      <w:r>
        <w:rPr>
          <w:u w:val="single"/>
        </w:rPr>
        <w:t xml:space="preserve">Blok Builders, LLC v. </w:t>
      </w:r>
      <w:proofErr w:type="spellStart"/>
      <w:r>
        <w:rPr>
          <w:u w:val="single"/>
        </w:rPr>
        <w:t>Katryniok</w:t>
      </w:r>
      <w:proofErr w:type="spellEnd"/>
      <w:r>
        <w:t xml:space="preserve">, --- So. </w:t>
      </w:r>
      <w:proofErr w:type="spellStart"/>
      <w:r>
        <w:t>3d</w:t>
      </w:r>
      <w:proofErr w:type="spellEnd"/>
      <w:r>
        <w:t xml:space="preserve"> ---, 2018 WL 1940951 (Fla. 4th</w:t>
      </w:r>
      <w:r>
        <w:rPr>
          <w:vertAlign w:val="superscript"/>
        </w:rPr>
        <w:t xml:space="preserve"> </w:t>
      </w:r>
      <w:proofErr w:type="spellStart"/>
      <w:r>
        <w:t>DCA</w:t>
      </w:r>
      <w:proofErr w:type="spellEnd"/>
      <w:r>
        <w:t xml:space="preserve"> April 25, 2018).</w:t>
      </w:r>
    </w:p>
    <w:p>
      <w:pPr>
        <w:jc w:val="both"/>
      </w:pPr>
    </w:p>
    <w:p>
      <w:pPr>
        <w:pStyle w:val="ListParagraph"/>
        <w:numPr>
          <w:ilvl w:val="0"/>
          <w:numId w:val="3"/>
        </w:numPr>
        <w:jc w:val="both"/>
      </w:pPr>
      <w:r>
        <w:t>Case decided on April 25, 2018.</w:t>
      </w:r>
    </w:p>
    <w:p>
      <w:pPr>
        <w:pStyle w:val="ListParagraph"/>
        <w:numPr>
          <w:ilvl w:val="0"/>
          <w:numId w:val="3"/>
        </w:numPr>
        <w:jc w:val="both"/>
      </w:pPr>
      <w:r>
        <w:t>Case involves Section 725.06, Florida Statutes and its limitation on indemnification provisions.</w:t>
      </w:r>
    </w:p>
    <w:p>
      <w:pPr>
        <w:pStyle w:val="ListParagraph"/>
        <w:numPr>
          <w:ilvl w:val="0"/>
          <w:numId w:val="5"/>
        </w:numPr>
        <w:jc w:val="both"/>
      </w:pPr>
      <w:r>
        <w:t>In a nutshell, Section 725.06 provides that if a contract in connection with any construction of  a building, structure, appurtenance, or appliance, including excavation, seeks to indemnify a party for that party’s own negligence it must contain a monetary limitation.</w:t>
      </w:r>
    </w:p>
    <w:p>
      <w:pPr>
        <w:pStyle w:val="ListParagraph"/>
        <w:numPr>
          <w:ilvl w:val="0"/>
          <w:numId w:val="41"/>
        </w:numPr>
        <w:jc w:val="both"/>
      </w:pPr>
      <w:r>
        <w:t>Takeaway – Section 725.06, Florida Statutes, only applies to indemnity agreements in construction contracts associated with a building, structure, appurtenance or appliance.</w:t>
      </w:r>
    </w:p>
    <w:p>
      <w:pPr>
        <w:pStyle w:val="ListParagraph"/>
        <w:ind w:left="1440"/>
        <w:jc w:val="both"/>
      </w:pPr>
      <w:r>
        <w:t xml:space="preserve"> </w:t>
      </w:r>
    </w:p>
    <w:p>
      <w:pPr>
        <w:pStyle w:val="ListParagraph"/>
        <w:numPr>
          <w:ilvl w:val="0"/>
          <w:numId w:val="3"/>
        </w:numPr>
        <w:jc w:val="both"/>
        <w:rPr>
          <w:b/>
        </w:rPr>
      </w:pPr>
      <w:r>
        <w:rPr>
          <w:b/>
        </w:rPr>
        <w:t>Facts</w:t>
      </w:r>
    </w:p>
    <w:p>
      <w:pPr>
        <w:pStyle w:val="ListParagraph"/>
        <w:numPr>
          <w:ilvl w:val="0"/>
          <w:numId w:val="7"/>
        </w:numPr>
        <w:jc w:val="both"/>
      </w:pPr>
      <w:r>
        <w:t xml:space="preserve">BellSouth contracted with </w:t>
      </w:r>
      <w:proofErr w:type="spellStart"/>
      <w:r>
        <w:t>Mastec</w:t>
      </w:r>
      <w:proofErr w:type="spellEnd"/>
      <w:r>
        <w:t xml:space="preserve"> North American (“</w:t>
      </w:r>
      <w:proofErr w:type="spellStart"/>
      <w:r>
        <w:t>Mastec</w:t>
      </w:r>
      <w:proofErr w:type="spellEnd"/>
      <w:r>
        <w:t>”) to perform work necessary to provide access to underground utility lines located in neighborhood easements in a connection with a BellSouth project.</w:t>
      </w:r>
    </w:p>
    <w:p>
      <w:pPr>
        <w:pStyle w:val="ListParagraph"/>
        <w:numPr>
          <w:ilvl w:val="1"/>
          <w:numId w:val="4"/>
        </w:numPr>
        <w:jc w:val="both"/>
      </w:pPr>
      <w:r>
        <w:rPr>
          <w:bCs/>
        </w:rPr>
        <w:t>Thus, the contract  involved the laying and maintenance of utility lines.</w:t>
      </w:r>
    </w:p>
    <w:p>
      <w:pPr>
        <w:pStyle w:val="ListParagraph"/>
        <w:numPr>
          <w:ilvl w:val="0"/>
          <w:numId w:val="7"/>
        </w:numPr>
        <w:jc w:val="both"/>
      </w:pPr>
      <w:proofErr w:type="spellStart"/>
      <w:r>
        <w:lastRenderedPageBreak/>
        <w:t>Mastec</w:t>
      </w:r>
      <w:proofErr w:type="spellEnd"/>
      <w:r>
        <w:t xml:space="preserve"> then subcontracted with Blok Builders (“Blok”) to perform the excavation work. </w:t>
      </w:r>
    </w:p>
    <w:p>
      <w:pPr>
        <w:pStyle w:val="ListParagraph"/>
        <w:numPr>
          <w:ilvl w:val="0"/>
          <w:numId w:val="7"/>
        </w:numPr>
        <w:jc w:val="both"/>
      </w:pPr>
      <w:r>
        <w:t xml:space="preserve">After Blok performed excavation near the driveway in one of the neighborhoods, a homeowner was seriously injured when his driveway suddenly collapsed. </w:t>
      </w:r>
    </w:p>
    <w:p>
      <w:pPr>
        <w:pStyle w:val="ListParagraph"/>
        <w:numPr>
          <w:ilvl w:val="0"/>
          <w:numId w:val="7"/>
        </w:numPr>
        <w:jc w:val="both"/>
      </w:pPr>
      <w:r>
        <w:t xml:space="preserve">The homeowner filed suit against all three entities for negligence, and BellSouth crossclaimed against Blok, alleging that Blok had agreed to contractually indemnify BellSouth and </w:t>
      </w:r>
      <w:proofErr w:type="spellStart"/>
      <w:r>
        <w:t>Mastec</w:t>
      </w:r>
      <w:proofErr w:type="spellEnd"/>
      <w:r>
        <w:t xml:space="preserve">. </w:t>
      </w:r>
    </w:p>
    <w:p>
      <w:pPr>
        <w:pStyle w:val="ListParagraph"/>
        <w:numPr>
          <w:ilvl w:val="0"/>
          <w:numId w:val="7"/>
        </w:numPr>
        <w:jc w:val="both"/>
      </w:pPr>
      <w:r>
        <w:t xml:space="preserve">The contract between Blok and </w:t>
      </w:r>
      <w:proofErr w:type="spellStart"/>
      <w:r>
        <w:t>Mastec</w:t>
      </w:r>
      <w:proofErr w:type="spellEnd"/>
      <w:r>
        <w:t xml:space="preserve"> contained a provision requiring Blok to indemnify </w:t>
      </w:r>
      <w:proofErr w:type="spellStart"/>
      <w:r>
        <w:t>Mastec</w:t>
      </w:r>
      <w:proofErr w:type="spellEnd"/>
      <w:r>
        <w:t xml:space="preserve"> for its own negligence and defend against any claims arising out of the contract that were brought against the indemnitees. </w:t>
      </w:r>
    </w:p>
    <w:p>
      <w:pPr>
        <w:pStyle w:val="ListParagraph"/>
        <w:numPr>
          <w:ilvl w:val="1"/>
          <w:numId w:val="4"/>
        </w:numPr>
        <w:jc w:val="both"/>
      </w:pPr>
      <w:r>
        <w:t xml:space="preserve">The agreement between Blok and </w:t>
      </w:r>
      <w:proofErr w:type="spellStart"/>
      <w:r>
        <w:t>Mastec</w:t>
      </w:r>
      <w:proofErr w:type="spellEnd"/>
      <w:r>
        <w:t xml:space="preserve"> incorporated the terms of the contract between </w:t>
      </w:r>
      <w:proofErr w:type="spellStart"/>
      <w:r>
        <w:t>Mastec</w:t>
      </w:r>
      <w:proofErr w:type="spellEnd"/>
      <w:r>
        <w:t xml:space="preserve"> and BellSouth, which contained a similar indemnification provision requiring </w:t>
      </w:r>
      <w:proofErr w:type="spellStart"/>
      <w:r>
        <w:t>Mastec</w:t>
      </w:r>
      <w:proofErr w:type="spellEnd"/>
      <w:r>
        <w:t xml:space="preserve"> to indemnify BellSouth. </w:t>
      </w:r>
    </w:p>
    <w:p>
      <w:pPr>
        <w:pStyle w:val="ListParagraph"/>
        <w:numPr>
          <w:ilvl w:val="0"/>
          <w:numId w:val="7"/>
        </w:numPr>
        <w:jc w:val="both"/>
      </w:pPr>
      <w:r>
        <w:t xml:space="preserve">Blok argued that the indemnification provisions were invalid because the contract did not contain a monetary limitation and, therefore, failed to comply with section 725.06. </w:t>
      </w:r>
    </w:p>
    <w:p>
      <w:pPr>
        <w:pStyle w:val="ListParagraph"/>
        <w:ind w:left="1440"/>
        <w:jc w:val="both"/>
      </w:pPr>
    </w:p>
    <w:p>
      <w:pPr>
        <w:pStyle w:val="ListParagraph"/>
        <w:numPr>
          <w:ilvl w:val="0"/>
          <w:numId w:val="3"/>
        </w:numPr>
        <w:jc w:val="both"/>
        <w:rPr>
          <w:b/>
        </w:rPr>
      </w:pPr>
      <w:r>
        <w:rPr>
          <w:b/>
        </w:rPr>
        <w:t>Rulings</w:t>
      </w:r>
    </w:p>
    <w:p>
      <w:pPr>
        <w:pStyle w:val="ListParagraph"/>
        <w:numPr>
          <w:ilvl w:val="0"/>
          <w:numId w:val="7"/>
        </w:numPr>
        <w:jc w:val="both"/>
      </w:pPr>
      <w:r>
        <w:t xml:space="preserve">The trial court ruled in favor of BellSouth and </w:t>
      </w:r>
      <w:proofErr w:type="spellStart"/>
      <w:r>
        <w:t>Mastec</w:t>
      </w:r>
      <w:proofErr w:type="spellEnd"/>
      <w:r>
        <w:t xml:space="preserve">, finding that Blok was required to indemnify and defend both </w:t>
      </w:r>
      <w:proofErr w:type="spellStart"/>
      <w:r>
        <w:t>Mastec</w:t>
      </w:r>
      <w:proofErr w:type="spellEnd"/>
      <w:r>
        <w:t xml:space="preserve"> and BellSouth and awarded attorneys’ fees to both </w:t>
      </w:r>
      <w:proofErr w:type="spellStart"/>
      <w:r>
        <w:t>Mastec</w:t>
      </w:r>
      <w:proofErr w:type="spellEnd"/>
      <w:r>
        <w:t xml:space="preserve"> and BellSouth.  </w:t>
      </w:r>
    </w:p>
    <w:p>
      <w:pPr>
        <w:pStyle w:val="ListParagraph"/>
        <w:numPr>
          <w:ilvl w:val="0"/>
          <w:numId w:val="7"/>
        </w:numPr>
        <w:jc w:val="both"/>
      </w:pPr>
      <w:r>
        <w:t xml:space="preserve">The Fourth district affirmed in part and reversed in part.  The Fourth District found that Section 725.06 did not apply to the contract because Section 725.06 applies to </w:t>
      </w:r>
      <w:r>
        <w:rPr>
          <w:b/>
          <w:bCs/>
        </w:rPr>
        <w:t xml:space="preserve">any construction, alteration, repair, or demolition of a building, structure, appurtenance, or appliance, including moving and excavating associated therewith.”  </w:t>
      </w:r>
    </w:p>
    <w:p>
      <w:pPr>
        <w:pStyle w:val="ListParagraph"/>
        <w:numPr>
          <w:ilvl w:val="0"/>
          <w:numId w:val="7"/>
        </w:numPr>
        <w:jc w:val="both"/>
      </w:pPr>
      <w:r>
        <w:rPr>
          <w:bCs/>
        </w:rPr>
        <w:t xml:space="preserve">The Fourth </w:t>
      </w:r>
      <w:proofErr w:type="spellStart"/>
      <w:r>
        <w:rPr>
          <w:bCs/>
        </w:rPr>
        <w:t>DCA</w:t>
      </w:r>
      <w:proofErr w:type="spellEnd"/>
      <w:r>
        <w:rPr>
          <w:bCs/>
        </w:rPr>
        <w:t xml:space="preserve"> determined that Blok’s contract for excavation was not associated with</w:t>
      </w:r>
      <w:r>
        <w:rPr>
          <w:b/>
          <w:bCs/>
        </w:rPr>
        <w:t xml:space="preserve"> </w:t>
      </w:r>
      <w:r>
        <w:rPr>
          <w:bCs/>
        </w:rPr>
        <w:t>a</w:t>
      </w:r>
      <w:r>
        <w:rPr>
          <w:b/>
          <w:bCs/>
        </w:rPr>
        <w:t xml:space="preserve"> building, structure, appurtenance, or appliance</w:t>
      </w:r>
      <w:r>
        <w:rPr>
          <w:bCs/>
        </w:rPr>
        <w:t xml:space="preserve">, noting that the master contract between </w:t>
      </w:r>
      <w:proofErr w:type="spellStart"/>
      <w:r>
        <w:rPr>
          <w:bCs/>
        </w:rPr>
        <w:t>Mastec</w:t>
      </w:r>
      <w:proofErr w:type="spellEnd"/>
      <w:r>
        <w:rPr>
          <w:bCs/>
        </w:rPr>
        <w:t xml:space="preserve"> and BellSouth involved the laying and maintenance of utility lines. </w:t>
      </w:r>
    </w:p>
    <w:p>
      <w:pPr>
        <w:pStyle w:val="ListParagraph"/>
        <w:numPr>
          <w:ilvl w:val="0"/>
          <w:numId w:val="7"/>
        </w:numPr>
        <w:jc w:val="both"/>
      </w:pPr>
      <w:r>
        <w:rPr>
          <w:bCs/>
        </w:rPr>
        <w:t>The Fourth District found, however, that Blok had no duty to indemnity or defend BellSouth. The court explained that under the Blok/</w:t>
      </w:r>
      <w:proofErr w:type="spellStart"/>
      <w:r>
        <w:rPr>
          <w:bCs/>
        </w:rPr>
        <w:t>Mastec</w:t>
      </w:r>
      <w:proofErr w:type="spellEnd"/>
      <w:r>
        <w:rPr>
          <w:bCs/>
        </w:rPr>
        <w:t xml:space="preserve"> contract, Blok agreed to indemnify </w:t>
      </w:r>
      <w:proofErr w:type="spellStart"/>
      <w:r>
        <w:rPr>
          <w:bCs/>
        </w:rPr>
        <w:t>Mastec</w:t>
      </w:r>
      <w:proofErr w:type="spellEnd"/>
      <w:r>
        <w:rPr>
          <w:bCs/>
        </w:rPr>
        <w:t xml:space="preserve"> and its directors, officers, and agents but nowhere did it require Blok to indemnify BellSouth. </w:t>
      </w:r>
    </w:p>
    <w:p>
      <w:pPr>
        <w:pStyle w:val="ListParagraph"/>
        <w:numPr>
          <w:ilvl w:val="0"/>
          <w:numId w:val="7"/>
        </w:numPr>
        <w:jc w:val="both"/>
      </w:pPr>
      <w:r>
        <w:rPr>
          <w:bCs/>
        </w:rPr>
        <w:t>The court also found that although the subcontract incorporated the provisions of the BellSouth/</w:t>
      </w:r>
      <w:proofErr w:type="spellStart"/>
      <w:r>
        <w:rPr>
          <w:bCs/>
        </w:rPr>
        <w:t>Mastec</w:t>
      </w:r>
      <w:proofErr w:type="spellEnd"/>
      <w:r>
        <w:rPr>
          <w:bCs/>
        </w:rPr>
        <w:t xml:space="preserve"> contract, that contractual indemnification provision required that </w:t>
      </w:r>
      <w:proofErr w:type="spellStart"/>
      <w:r>
        <w:rPr>
          <w:bCs/>
        </w:rPr>
        <w:t>Mastec</w:t>
      </w:r>
      <w:proofErr w:type="spellEnd"/>
      <w:r>
        <w:rPr>
          <w:bCs/>
        </w:rPr>
        <w:t xml:space="preserve">, not its subcontractors, indemnify BellSouth. </w:t>
      </w:r>
      <w:r>
        <w:t xml:space="preserve"> </w:t>
      </w:r>
    </w:p>
    <w:p>
      <w:pPr>
        <w:pStyle w:val="ListParagraph"/>
        <w:numPr>
          <w:ilvl w:val="0"/>
          <w:numId w:val="7"/>
        </w:numPr>
        <w:jc w:val="both"/>
      </w:pPr>
      <w:r>
        <w:t xml:space="preserve">Accordingly, the Fourth District held that Blok was required to indemnify and defend </w:t>
      </w:r>
      <w:proofErr w:type="spellStart"/>
      <w:r>
        <w:t>Mastec</w:t>
      </w:r>
      <w:proofErr w:type="spellEnd"/>
      <w:r>
        <w:t xml:space="preserve"> but was not required to do so with respect to BellSouth and reversed the award of attorney’s fees in BellSouth’s favor.  </w:t>
      </w:r>
    </w:p>
    <w:p>
      <w:pPr>
        <w:pStyle w:val="ListParagraph"/>
        <w:numPr>
          <w:ilvl w:val="0"/>
          <w:numId w:val="7"/>
        </w:numPr>
        <w:jc w:val="both"/>
      </w:pPr>
      <w:r>
        <w:t xml:space="preserve">One issue that remained, however, was that </w:t>
      </w:r>
      <w:proofErr w:type="spellStart"/>
      <w:r>
        <w:t>Mastec</w:t>
      </w:r>
      <w:proofErr w:type="spellEnd"/>
      <w:r>
        <w:t xml:space="preserve"> and BellSouth were represented by the same law firm and the trial court entered a single award for attorneys’ fees for the joint representation.  </w:t>
      </w:r>
    </w:p>
    <w:p>
      <w:pPr>
        <w:pStyle w:val="ListParagraph"/>
        <w:numPr>
          <w:ilvl w:val="0"/>
          <w:numId w:val="7"/>
        </w:numPr>
        <w:jc w:val="both"/>
      </w:pPr>
      <w:r>
        <w:t xml:space="preserve">Thus, the attorney’s fee award did not distinguish between the fees attributed to work solely performed for each entity.  </w:t>
      </w:r>
    </w:p>
    <w:p>
      <w:pPr>
        <w:pStyle w:val="ListParagraph"/>
        <w:numPr>
          <w:ilvl w:val="0"/>
          <w:numId w:val="7"/>
        </w:numPr>
        <w:jc w:val="both"/>
      </w:pPr>
      <w:r>
        <w:t xml:space="preserve">Therefore, on remand the Fourth District directed that if </w:t>
      </w:r>
      <w:r>
        <w:rPr>
          <w:b/>
        </w:rPr>
        <w:t>Blok</w:t>
      </w:r>
      <w:r>
        <w:t xml:space="preserve"> can identify fees due solely to the representation of BellSouth, rather than </w:t>
      </w:r>
      <w:proofErr w:type="spellStart"/>
      <w:r>
        <w:t>Mastec</w:t>
      </w:r>
      <w:proofErr w:type="spellEnd"/>
      <w:r>
        <w:t xml:space="preserve">, the trial court should reduce the attorney's fees judgment by that amount and award to </w:t>
      </w:r>
      <w:proofErr w:type="spellStart"/>
      <w:r>
        <w:t>Mastec</w:t>
      </w:r>
      <w:proofErr w:type="spellEnd"/>
      <w:r>
        <w:t xml:space="preserve"> only those fees attributable solely to the representation of </w:t>
      </w:r>
      <w:proofErr w:type="spellStart"/>
      <w:r>
        <w:t>Mastec</w:t>
      </w:r>
      <w:proofErr w:type="spellEnd"/>
      <w:r>
        <w:t xml:space="preserve"> or joint representation.</w:t>
      </w:r>
    </w:p>
    <w:p>
      <w:pPr>
        <w:ind w:left="720"/>
        <w:jc w:val="both"/>
      </w:pPr>
    </w:p>
    <w:p>
      <w:pPr>
        <w:pStyle w:val="ListParagraph"/>
        <w:numPr>
          <w:ilvl w:val="0"/>
          <w:numId w:val="3"/>
        </w:numPr>
        <w:jc w:val="both"/>
        <w:rPr>
          <w:b/>
        </w:rPr>
      </w:pPr>
      <w:r>
        <w:rPr>
          <w:b/>
        </w:rPr>
        <w:t>Interesting Points and/or Key Points to Take Away</w:t>
      </w:r>
    </w:p>
    <w:p>
      <w:pPr>
        <w:pStyle w:val="ListParagraph"/>
        <w:numPr>
          <w:ilvl w:val="0"/>
          <w:numId w:val="7"/>
        </w:numPr>
        <w:jc w:val="both"/>
      </w:pPr>
      <w:r>
        <w:t>In order for the limitation on indemnification provisions contained in Section 725.06 to apply, the construction project must be associated with a building, structure, or appurtenance.</w:t>
      </w:r>
    </w:p>
    <w:p>
      <w:pPr>
        <w:pStyle w:val="ListParagraph"/>
        <w:numPr>
          <w:ilvl w:val="0"/>
          <w:numId w:val="7"/>
        </w:numPr>
        <w:jc w:val="both"/>
      </w:pPr>
      <w:r>
        <w:t>Interesting point is that based on the holding in Blok, the Fourth District placed the onus on the indemnitor to identify the amounts by which it could reduce its obligations for indemnification by forcing it to establish which representation was solely attributable to BellSouth.</w:t>
      </w:r>
    </w:p>
    <w:p>
      <w:pPr>
        <w:pStyle w:val="ListParagraph"/>
        <w:numPr>
          <w:ilvl w:val="1"/>
          <w:numId w:val="4"/>
        </w:numPr>
        <w:jc w:val="both"/>
      </w:pPr>
      <w:r>
        <w:t>Thus, it appears there would have to be some discovery conducted on the representation of the parties being that the parties were jointly represented by the law firm.</w:t>
      </w:r>
    </w:p>
    <w:p>
      <w:pPr>
        <w:numPr>
          <w:ilvl w:val="0"/>
          <w:numId w:val="7"/>
        </w:numPr>
        <w:jc w:val="both"/>
      </w:pPr>
      <w:r>
        <w:t>It should be noted that because this case is fairly new it comes with the disclaimer that (NOTE: This opinion has not been released for publication in the permanent law reports. Until released, it is subject to revision or withdrawal).</w:t>
      </w:r>
    </w:p>
    <w:p>
      <w:pPr>
        <w:jc w:val="both"/>
      </w:pPr>
    </w:p>
    <w:p>
      <w:pPr>
        <w:jc w:val="both"/>
      </w:pPr>
    </w:p>
    <w:p>
      <w:pPr>
        <w:jc w:val="both"/>
      </w:pPr>
      <w:r>
        <w:rPr>
          <w:b/>
        </w:rPr>
        <w:t xml:space="preserve">Form of Judgment, Double Recovery, &amp; Setoffs </w:t>
      </w:r>
      <w:r>
        <w:t xml:space="preserve">– </w:t>
      </w:r>
      <w:r>
        <w:rPr>
          <w:u w:val="single"/>
        </w:rPr>
        <w:t xml:space="preserve">Addison Construction Corporation v. </w:t>
      </w:r>
      <w:proofErr w:type="spellStart"/>
      <w:r>
        <w:rPr>
          <w:u w:val="single"/>
        </w:rPr>
        <w:t>Vecellio</w:t>
      </w:r>
      <w:proofErr w:type="spellEnd"/>
      <w:r>
        <w:t xml:space="preserve">, --- So. </w:t>
      </w:r>
      <w:proofErr w:type="spellStart"/>
      <w:r>
        <w:t>3d</w:t>
      </w:r>
      <w:proofErr w:type="spellEnd"/>
      <w:r>
        <w:t xml:space="preserve"> ---, 2018 WL 1413001 (Fla. 4th </w:t>
      </w:r>
      <w:proofErr w:type="spellStart"/>
      <w:r>
        <w:t>DCA</w:t>
      </w:r>
      <w:proofErr w:type="spellEnd"/>
      <w:r>
        <w:t xml:space="preserve"> March 21, 2018).</w:t>
      </w:r>
    </w:p>
    <w:p>
      <w:pPr>
        <w:jc w:val="both"/>
      </w:pPr>
    </w:p>
    <w:p>
      <w:pPr>
        <w:pStyle w:val="ListParagraph"/>
        <w:numPr>
          <w:ilvl w:val="0"/>
          <w:numId w:val="3"/>
        </w:numPr>
        <w:jc w:val="both"/>
      </w:pPr>
      <w:r>
        <w:t xml:space="preserve">Case decided on </w:t>
      </w:r>
      <w:r>
        <w:t xml:space="preserve">March </w:t>
      </w:r>
      <w:r>
        <w:t>2</w:t>
      </w:r>
      <w:r>
        <w:t>1</w:t>
      </w:r>
      <w:r>
        <w:t>, 2018.</w:t>
      </w:r>
    </w:p>
    <w:p>
      <w:pPr>
        <w:pStyle w:val="ListParagraph"/>
        <w:numPr>
          <w:ilvl w:val="0"/>
          <w:numId w:val="3"/>
        </w:numPr>
        <w:jc w:val="both"/>
      </w:pPr>
      <w:r>
        <w:t>Case involves several different issues and discusses the form for which judgments are entered, the principle that a party is not entitled to a double recovery, and the proper application of setoffs when some defendants settle and others proceed to a verdict.</w:t>
      </w:r>
    </w:p>
    <w:p>
      <w:pPr>
        <w:pStyle w:val="ListParagraph"/>
        <w:numPr>
          <w:ilvl w:val="0"/>
          <w:numId w:val="3"/>
        </w:numPr>
        <w:jc w:val="both"/>
      </w:pPr>
      <w:r>
        <w:t xml:space="preserve">Takeaway – Plaintiff is not entitled to a double recovery for the same damages regardless of how the court enters the judgment. </w:t>
      </w:r>
    </w:p>
    <w:p>
      <w:pPr>
        <w:pStyle w:val="ListParagraph"/>
        <w:numPr>
          <w:ilvl w:val="0"/>
          <w:numId w:val="3"/>
        </w:numPr>
        <w:jc w:val="both"/>
      </w:pPr>
      <w:r>
        <w:t>Takeaway – Section 46.015(2), Florida Statutes, requires that in applying a setoff courts look at the damages “sued for.”</w:t>
      </w:r>
    </w:p>
    <w:p>
      <w:pPr>
        <w:pStyle w:val="ListParagraph"/>
        <w:jc w:val="both"/>
      </w:pPr>
    </w:p>
    <w:p>
      <w:pPr>
        <w:pStyle w:val="ListParagraph"/>
        <w:numPr>
          <w:ilvl w:val="0"/>
          <w:numId w:val="3"/>
        </w:numPr>
        <w:jc w:val="both"/>
        <w:rPr>
          <w:b/>
        </w:rPr>
      </w:pPr>
      <w:r>
        <w:rPr>
          <w:b/>
        </w:rPr>
        <w:t>Facts</w:t>
      </w:r>
    </w:p>
    <w:p>
      <w:pPr>
        <w:pStyle w:val="ListParagraph"/>
        <w:numPr>
          <w:ilvl w:val="0"/>
          <w:numId w:val="7"/>
        </w:numPr>
        <w:jc w:val="both"/>
      </w:pPr>
      <w:r>
        <w:t xml:space="preserve">The Buyers entered into a Purchase Agreement with the Sellers to purchase a home constructed by Addison (“Addison” includes both the general contractor, Addison Construction Corporation, and the developer, Addison Development Corporation). </w:t>
      </w:r>
    </w:p>
    <w:p>
      <w:pPr>
        <w:pStyle w:val="ListParagraph"/>
        <w:numPr>
          <w:ilvl w:val="0"/>
          <w:numId w:val="7"/>
        </w:numPr>
        <w:jc w:val="both"/>
      </w:pPr>
      <w:r>
        <w:t xml:space="preserve">The Buyers’ inspection  indicated elevated mold levels in portions of the home. </w:t>
      </w:r>
    </w:p>
    <w:p>
      <w:pPr>
        <w:pStyle w:val="ListParagraph"/>
        <w:numPr>
          <w:ilvl w:val="0"/>
          <w:numId w:val="7"/>
        </w:numPr>
        <w:jc w:val="both"/>
      </w:pPr>
      <w:r>
        <w:t xml:space="preserve">Addison agreed to repair, replace, or correct all items addressed as concerns in the inspection reports. </w:t>
      </w:r>
    </w:p>
    <w:p>
      <w:pPr>
        <w:pStyle w:val="ListParagraph"/>
        <w:numPr>
          <w:ilvl w:val="0"/>
          <w:numId w:val="7"/>
        </w:numPr>
        <w:jc w:val="both"/>
      </w:pPr>
      <w:r>
        <w:t xml:space="preserve">Several months later, the Buyers moved into the home, noticed water intrusion, and made a warranty claim. </w:t>
      </w:r>
    </w:p>
    <w:p>
      <w:pPr>
        <w:pStyle w:val="ListParagraph"/>
        <w:numPr>
          <w:ilvl w:val="0"/>
          <w:numId w:val="7"/>
        </w:numPr>
        <w:jc w:val="both"/>
      </w:pPr>
      <w:r>
        <w:t xml:space="preserve">Additional testing revealed numerous additional latent defects, some of which stemmed from Hurricane Wilma damage. </w:t>
      </w:r>
    </w:p>
    <w:p>
      <w:pPr>
        <w:pStyle w:val="ListParagraph"/>
        <w:numPr>
          <w:ilvl w:val="0"/>
          <w:numId w:val="7"/>
        </w:numPr>
        <w:jc w:val="both"/>
      </w:pPr>
      <w:r>
        <w:t>The Buyers filed suit against Addison, the Sellers, Addison’s Principal (“Swanson”), and twelve subcontractors for various claims including violation of the Florida Building Code, breach of contract, negligent failure to disclose, fraud, securities fraud, and violation of Florida's Deceptive and Unfair Trade Practices Act (“</w:t>
      </w:r>
      <w:proofErr w:type="spellStart"/>
      <w:r>
        <w:t>FDUTPA</w:t>
      </w:r>
      <w:proofErr w:type="spellEnd"/>
      <w:r>
        <w:t xml:space="preserve">”). </w:t>
      </w:r>
    </w:p>
    <w:p>
      <w:pPr>
        <w:pStyle w:val="ListParagraph"/>
        <w:numPr>
          <w:ilvl w:val="0"/>
          <w:numId w:val="7"/>
        </w:numPr>
        <w:jc w:val="both"/>
      </w:pPr>
      <w:r>
        <w:t xml:space="preserve">Some claims were set for a bench trial and others were set for a jury trial due to a jury trial waiver. </w:t>
      </w:r>
    </w:p>
    <w:p>
      <w:pPr>
        <w:pStyle w:val="ListParagraph"/>
        <w:numPr>
          <w:ilvl w:val="0"/>
          <w:numId w:val="7"/>
        </w:numPr>
        <w:jc w:val="both"/>
      </w:pPr>
      <w:r>
        <w:t xml:space="preserve">Before trial, the Buyers settled with ten of the twelve subcontractors. </w:t>
      </w:r>
    </w:p>
    <w:p>
      <w:pPr>
        <w:ind w:left="360"/>
        <w:jc w:val="both"/>
      </w:pPr>
    </w:p>
    <w:p>
      <w:pPr>
        <w:pStyle w:val="ListParagraph"/>
        <w:numPr>
          <w:ilvl w:val="0"/>
          <w:numId w:val="8"/>
        </w:numPr>
        <w:jc w:val="both"/>
        <w:rPr>
          <w:b/>
        </w:rPr>
      </w:pPr>
      <w:r>
        <w:rPr>
          <w:b/>
        </w:rPr>
        <w:lastRenderedPageBreak/>
        <w:t>Rulings</w:t>
      </w:r>
    </w:p>
    <w:p>
      <w:pPr>
        <w:pStyle w:val="ListParagraph"/>
        <w:numPr>
          <w:ilvl w:val="0"/>
          <w:numId w:val="7"/>
        </w:numPr>
        <w:jc w:val="both"/>
      </w:pPr>
      <w:r>
        <w:t xml:space="preserve">The remaining defendants proceeding to trial, and the jury and the judge found for the Buyers on some claims but not all claims. </w:t>
      </w:r>
    </w:p>
    <w:p>
      <w:pPr>
        <w:pStyle w:val="ListParagraph"/>
        <w:numPr>
          <w:ilvl w:val="0"/>
          <w:numId w:val="7"/>
        </w:numPr>
        <w:jc w:val="both"/>
      </w:pPr>
      <w:r>
        <w:t xml:space="preserve">Many of the damages associated with the bench trial overlapped. </w:t>
      </w:r>
    </w:p>
    <w:p>
      <w:pPr>
        <w:pStyle w:val="ListParagraph"/>
        <w:numPr>
          <w:ilvl w:val="0"/>
          <w:numId w:val="7"/>
        </w:numPr>
        <w:jc w:val="both"/>
      </w:pPr>
      <w:r>
        <w:t xml:space="preserve">Despite the fact that many of the damages overlapped, the trial court reduced the fraud damages and the damages under each contract to separate judgments. </w:t>
      </w:r>
    </w:p>
    <w:p>
      <w:pPr>
        <w:pStyle w:val="ListParagraph"/>
        <w:numPr>
          <w:ilvl w:val="0"/>
          <w:numId w:val="7"/>
        </w:numPr>
        <w:jc w:val="both"/>
      </w:pPr>
      <w:r>
        <w:t xml:space="preserve">After entering the judgments, the court found that the subcontractors’ settlements (which occurred prior to trial) should apply as a setoff against the breach of contract claims against Addison and the Sellers, but not the fraud claims. </w:t>
      </w:r>
    </w:p>
    <w:p>
      <w:pPr>
        <w:pStyle w:val="ListParagraph"/>
        <w:ind w:left="1440"/>
        <w:jc w:val="both"/>
      </w:pPr>
    </w:p>
    <w:p>
      <w:pPr>
        <w:pStyle w:val="ListParagraph"/>
        <w:numPr>
          <w:ilvl w:val="0"/>
          <w:numId w:val="9"/>
        </w:numPr>
        <w:jc w:val="both"/>
        <w:rPr>
          <w:b/>
        </w:rPr>
      </w:pPr>
      <w:r>
        <w:rPr>
          <w:b/>
        </w:rPr>
        <w:t>Form of Judgment &amp; Double Recovery</w:t>
      </w:r>
    </w:p>
    <w:p>
      <w:pPr>
        <w:pStyle w:val="ListParagraph"/>
        <w:numPr>
          <w:ilvl w:val="0"/>
          <w:numId w:val="7"/>
        </w:numPr>
        <w:jc w:val="both"/>
      </w:pPr>
      <w:r>
        <w:t xml:space="preserve">On appeal, the Fourth District addressed the court's decision to reduce the fraud damages and the damages under each contract to separate judgments. </w:t>
      </w:r>
    </w:p>
    <w:p>
      <w:pPr>
        <w:pStyle w:val="ListParagraph"/>
        <w:numPr>
          <w:ilvl w:val="1"/>
          <w:numId w:val="4"/>
        </w:numPr>
        <w:jc w:val="both"/>
      </w:pPr>
      <w:r>
        <w:t xml:space="preserve">Basically the Defendants concern was that if a judgment for one party defendant provided recovery for certain damages and a judgment for a different party defendant provided recovery for the same there could be a double recovery. </w:t>
      </w:r>
    </w:p>
    <w:p>
      <w:pPr>
        <w:pStyle w:val="ListParagraph"/>
        <w:numPr>
          <w:ilvl w:val="1"/>
          <w:numId w:val="4"/>
        </w:numPr>
        <w:jc w:val="both"/>
      </w:pPr>
      <w:r>
        <w:t xml:space="preserve">Addison argued that the potential for double recovery should have been addressed prior to the judgment and, therefore, the judgments should have indicated they were joint and several on their face. </w:t>
      </w:r>
    </w:p>
    <w:p>
      <w:pPr>
        <w:pStyle w:val="ListParagraph"/>
        <w:numPr>
          <w:ilvl w:val="1"/>
          <w:numId w:val="4"/>
        </w:numPr>
        <w:jc w:val="both"/>
      </w:pPr>
      <w:r>
        <w:t xml:space="preserve">The Fourth District decided that this was ultimately a collection issue. </w:t>
      </w:r>
    </w:p>
    <w:p>
      <w:pPr>
        <w:pStyle w:val="ListParagraph"/>
        <w:numPr>
          <w:ilvl w:val="1"/>
          <w:numId w:val="4"/>
        </w:numPr>
        <w:jc w:val="both"/>
      </w:pPr>
      <w:r>
        <w:t xml:space="preserve">The court explained that although a party is not permitted to receive a double recovery, that party should not precluded from seeking other consistent but separate manners of recovery against equally liable persons. </w:t>
      </w:r>
    </w:p>
    <w:p>
      <w:pPr>
        <w:pStyle w:val="ListParagraph"/>
        <w:numPr>
          <w:ilvl w:val="1"/>
          <w:numId w:val="4"/>
        </w:numPr>
        <w:jc w:val="both"/>
      </w:pPr>
      <w:r>
        <w:t xml:space="preserve">The court found that the Buyers properly obtained multiple judgments against different parties for overlapping damages. </w:t>
      </w:r>
    </w:p>
    <w:p>
      <w:pPr>
        <w:pStyle w:val="ListParagraph"/>
        <w:numPr>
          <w:ilvl w:val="1"/>
          <w:numId w:val="4"/>
        </w:numPr>
        <w:jc w:val="both"/>
      </w:pPr>
      <w:r>
        <w:t xml:space="preserve">The court explained, however, that the Buyers could not recover each judgment entirely because Swanson, Addison, and the Sellers were  entitled to use satisfaction of any of the overlapping compensation as a bar to payment of the remaining judgments. </w:t>
      </w:r>
    </w:p>
    <w:p>
      <w:pPr>
        <w:jc w:val="both"/>
      </w:pPr>
    </w:p>
    <w:p>
      <w:pPr>
        <w:pStyle w:val="ListParagraph"/>
        <w:numPr>
          <w:ilvl w:val="0"/>
          <w:numId w:val="9"/>
        </w:numPr>
        <w:jc w:val="both"/>
        <w:rPr>
          <w:b/>
        </w:rPr>
      </w:pPr>
      <w:r>
        <w:rPr>
          <w:b/>
        </w:rPr>
        <w:t>Setoff</w:t>
      </w:r>
    </w:p>
    <w:p>
      <w:pPr>
        <w:pStyle w:val="ListParagraph"/>
        <w:numPr>
          <w:ilvl w:val="0"/>
          <w:numId w:val="7"/>
        </w:numPr>
        <w:jc w:val="both"/>
      </w:pPr>
      <w:r>
        <w:t>As to the Setoff ruling, the court found that some of the damages for which Swanson, Addison, and the Sellers were liable (e.g. such as the fraud actions, were clearly not the same as those encompassed by the settlements with the subcontractors).</w:t>
      </w:r>
    </w:p>
    <w:p>
      <w:pPr>
        <w:pStyle w:val="ListParagraph"/>
        <w:numPr>
          <w:ilvl w:val="0"/>
          <w:numId w:val="10"/>
        </w:numPr>
        <w:jc w:val="both"/>
      </w:pPr>
      <w:r>
        <w:t xml:space="preserve">Essentially, the court could not discern how any of the fraudulent  misrepresentations made by the Sellers and /or Addison implicated the subcontractors. </w:t>
      </w:r>
    </w:p>
    <w:p>
      <w:pPr>
        <w:pStyle w:val="ListParagraph"/>
        <w:numPr>
          <w:ilvl w:val="0"/>
          <w:numId w:val="7"/>
        </w:numPr>
        <w:jc w:val="both"/>
      </w:pPr>
      <w:r>
        <w:t xml:space="preserve">The court reviewed Section 46.015(2), Florida Statutes, which provides that “At trial, if any person shows the court that the plaintiff, or his or her legal representative, has delivered a written release or covenant not to sue to any person in partial satisfaction of the damages </w:t>
      </w:r>
      <w:r>
        <w:rPr>
          <w:b/>
          <w:u w:val="single"/>
        </w:rPr>
        <w:t>sued for</w:t>
      </w:r>
      <w:r>
        <w:t>, the court shall set off this amount from the amount of any judgment to which the plaintiff would be otherwise entitled at the time of rendering judgment.”</w:t>
      </w:r>
    </w:p>
    <w:p>
      <w:pPr>
        <w:pStyle w:val="ListParagraph"/>
        <w:numPr>
          <w:ilvl w:val="0"/>
          <w:numId w:val="7"/>
        </w:numPr>
        <w:jc w:val="both"/>
      </w:pPr>
      <w:r>
        <w:t xml:space="preserve">The court, in reliance on this language “sued for,” noted that some of the damages “sued for” against Swanson, Addison, and the Sellers and then also against the subcontractors were identical. </w:t>
      </w:r>
    </w:p>
    <w:p>
      <w:pPr>
        <w:pStyle w:val="ListParagraph"/>
        <w:numPr>
          <w:ilvl w:val="0"/>
          <w:numId w:val="10"/>
        </w:numPr>
        <w:jc w:val="both"/>
      </w:pPr>
      <w:r>
        <w:lastRenderedPageBreak/>
        <w:t>So the court determined that the damages settled by the subcontractors should be offset against those same damages sued for (not necessarily recovered) against the defendants who proceeded to trial and against whom a verdict was issued.</w:t>
      </w:r>
    </w:p>
    <w:p>
      <w:pPr>
        <w:pStyle w:val="ListParagraph"/>
        <w:numPr>
          <w:ilvl w:val="0"/>
          <w:numId w:val="10"/>
        </w:numPr>
        <w:jc w:val="both"/>
      </w:pPr>
      <w:r>
        <w:t>The problem was that none of the subcontractors’ settlement agreements differentiated the damages being settled for, and all contained broad releases of the settled subcontractors which were not limited to releases for damages related to violation of the Florida Building Code, which is the actual claim for which the subcontractors were sued.</w:t>
      </w:r>
    </w:p>
    <w:p>
      <w:pPr>
        <w:pStyle w:val="ListParagraph"/>
        <w:numPr>
          <w:ilvl w:val="0"/>
          <w:numId w:val="10"/>
        </w:numPr>
        <w:jc w:val="both"/>
      </w:pPr>
      <w:r>
        <w:t xml:space="preserve">The Fourth </w:t>
      </w:r>
      <w:proofErr w:type="spellStart"/>
      <w:r>
        <w:t>DCA</w:t>
      </w:r>
      <w:proofErr w:type="spellEnd"/>
      <w:r>
        <w:t xml:space="preserve"> ultimately found that it nor the trial court could not engage in speculation as to what was actually settled by the subcontractors and the Buyers and what was not. </w:t>
      </w:r>
    </w:p>
    <w:p>
      <w:pPr>
        <w:pStyle w:val="ListParagraph"/>
        <w:numPr>
          <w:ilvl w:val="0"/>
          <w:numId w:val="11"/>
        </w:numPr>
        <w:jc w:val="both"/>
      </w:pPr>
      <w:r>
        <w:t xml:space="preserve">So the Fourth District applied the entire settlement amounts by the subcontractors as a setoff against all of the breach of contract awards, but no amounts were applied as a setoff with respect to the fraud awards. </w:t>
      </w:r>
    </w:p>
    <w:p>
      <w:pPr>
        <w:jc w:val="both"/>
      </w:pPr>
    </w:p>
    <w:p>
      <w:pPr>
        <w:pStyle w:val="ListParagraph"/>
        <w:numPr>
          <w:ilvl w:val="0"/>
          <w:numId w:val="3"/>
        </w:numPr>
        <w:rPr>
          <w:b/>
        </w:rPr>
      </w:pPr>
      <w:r>
        <w:rPr>
          <w:b/>
        </w:rPr>
        <w:t>Interesting Points and/or Key Points to Take Away</w:t>
      </w:r>
    </w:p>
    <w:p>
      <w:pPr>
        <w:pStyle w:val="ListParagraph"/>
        <w:numPr>
          <w:ilvl w:val="0"/>
          <w:numId w:val="12"/>
        </w:numPr>
        <w:jc w:val="both"/>
      </w:pPr>
      <w:r>
        <w:t xml:space="preserve">A trial court’s decision to reduce overlapping damages against several defendants to separate judgments does not gift the plaintiff with a double recovery because the plaintiff can still only recover for certain damages once. </w:t>
      </w:r>
    </w:p>
    <w:p>
      <w:pPr>
        <w:pStyle w:val="ListParagraph"/>
        <w:numPr>
          <w:ilvl w:val="0"/>
          <w:numId w:val="12"/>
        </w:numPr>
        <w:jc w:val="both"/>
      </w:pPr>
      <w:r>
        <w:t>In determining how setoffs are to be applied Section 46.015(2) provides that the court look to damages “sued for” not what is necessarily recovered.</w:t>
      </w:r>
    </w:p>
    <w:p>
      <w:pPr>
        <w:pStyle w:val="ListParagraph"/>
        <w:numPr>
          <w:ilvl w:val="0"/>
          <w:numId w:val="12"/>
        </w:numPr>
        <w:jc w:val="both"/>
      </w:pPr>
      <w:r>
        <w:t>The manner in which a party’s settlement agreement allocates damages can determine how a settlement with respect to the settlement agreement is applied.</w:t>
      </w:r>
    </w:p>
    <w:p>
      <w:pPr>
        <w:pStyle w:val="ListParagraph"/>
        <w:numPr>
          <w:ilvl w:val="0"/>
          <w:numId w:val="12"/>
        </w:numPr>
        <w:jc w:val="both"/>
      </w:pPr>
      <w:r>
        <w:t>(NOTE: This opinion has not been released for publication in the permanent law reports. Until released, it is subject to revision or withdrawal).</w:t>
      </w:r>
    </w:p>
    <w:p>
      <w:pPr>
        <w:ind w:left="1080"/>
        <w:jc w:val="both"/>
      </w:pPr>
    </w:p>
    <w:p>
      <w:pPr>
        <w:jc w:val="both"/>
      </w:pPr>
    </w:p>
    <w:p>
      <w:pPr>
        <w:jc w:val="both"/>
      </w:pPr>
      <w:r>
        <w:rPr>
          <w:b/>
        </w:rPr>
        <w:t>Notice Pursuant to Chapter 558 &amp; Suit Under Commercial General Liability Policy</w:t>
      </w:r>
      <w:r>
        <w:t xml:space="preserve"> – </w:t>
      </w:r>
      <w:r>
        <w:rPr>
          <w:u w:val="single"/>
        </w:rPr>
        <w:t>Altman Contractors, Inc. v. Crum &amp; Forster Specialty Ins. Co.</w:t>
      </w:r>
      <w:r>
        <w:t xml:space="preserve">, 232 So. </w:t>
      </w:r>
      <w:proofErr w:type="spellStart"/>
      <w:r>
        <w:t>3d</w:t>
      </w:r>
      <w:proofErr w:type="spellEnd"/>
      <w:r>
        <w:t xml:space="preserve"> 273 (Fla. 2017); </w:t>
      </w:r>
      <w:r>
        <w:rPr>
          <w:u w:val="single"/>
        </w:rPr>
        <w:t>Altman Contractors, Inc. v. Crum &amp; Forster Specialty Ins. Co</w:t>
      </w:r>
      <w:r>
        <w:t xml:space="preserve">, 880 </w:t>
      </w:r>
      <w:proofErr w:type="spellStart"/>
      <w:r>
        <w:t>F.3d</w:t>
      </w:r>
      <w:proofErr w:type="spellEnd"/>
      <w:r>
        <w:t xml:space="preserve"> 1300 (11th Cir. 2018).</w:t>
      </w:r>
    </w:p>
    <w:p>
      <w:pPr>
        <w:jc w:val="both"/>
      </w:pPr>
    </w:p>
    <w:p>
      <w:pPr>
        <w:pStyle w:val="ListParagraph"/>
        <w:numPr>
          <w:ilvl w:val="0"/>
          <w:numId w:val="3"/>
        </w:numPr>
        <w:jc w:val="both"/>
      </w:pPr>
      <w:r>
        <w:t>Florida Supreme Court case decided December 14, 2017; Eleventh Circuit case decided January 26, 2018.</w:t>
      </w:r>
    </w:p>
    <w:p>
      <w:pPr>
        <w:pStyle w:val="ListParagraph"/>
        <w:numPr>
          <w:ilvl w:val="0"/>
          <w:numId w:val="3"/>
        </w:numPr>
        <w:jc w:val="both"/>
      </w:pPr>
      <w:r>
        <w:t>Case involve whether the notice and repair process set forth in Chapter 558 of the Florida Statutes constitutes a “suit” within the meaning of the commercial general liability policies issued by an insurer Crum &amp; Forster Specialty Ins. Co.</w:t>
      </w:r>
    </w:p>
    <w:p>
      <w:pPr>
        <w:pStyle w:val="ListParagraph"/>
        <w:numPr>
          <w:ilvl w:val="0"/>
          <w:numId w:val="3"/>
        </w:numPr>
        <w:jc w:val="both"/>
      </w:pPr>
      <w:r>
        <w:t>This case was original filed in federal court in the Southern District, the judgment form the Southern District was appealed to the Eleventh Circuit, and the Eleventh Circuit issued a certified question to the Florida Supreme Court.</w:t>
      </w:r>
    </w:p>
    <w:p>
      <w:pPr>
        <w:pStyle w:val="ListParagraph"/>
        <w:numPr>
          <w:ilvl w:val="0"/>
          <w:numId w:val="3"/>
        </w:numPr>
        <w:jc w:val="both"/>
      </w:pPr>
      <w:r>
        <w:t xml:space="preserve">Takeaway –The Chapter 558 notice and repair process is not a civil proceeding.  </w:t>
      </w:r>
    </w:p>
    <w:p>
      <w:pPr>
        <w:pStyle w:val="ListParagraph"/>
        <w:numPr>
          <w:ilvl w:val="0"/>
          <w:numId w:val="3"/>
        </w:numPr>
        <w:jc w:val="both"/>
      </w:pPr>
      <w:r>
        <w:t xml:space="preserve">Takeaway – The Chapter 558 notice and repair process constitutes an alternative dispute resolution. </w:t>
      </w:r>
    </w:p>
    <w:p>
      <w:pPr>
        <w:pStyle w:val="ListParagraph"/>
        <w:jc w:val="both"/>
      </w:pPr>
    </w:p>
    <w:p>
      <w:pPr>
        <w:pStyle w:val="ListParagraph"/>
        <w:numPr>
          <w:ilvl w:val="0"/>
          <w:numId w:val="3"/>
        </w:numPr>
        <w:jc w:val="both"/>
        <w:rPr>
          <w:b/>
        </w:rPr>
      </w:pPr>
      <w:r>
        <w:rPr>
          <w:b/>
        </w:rPr>
        <w:t>Facts</w:t>
      </w:r>
    </w:p>
    <w:p>
      <w:pPr>
        <w:pStyle w:val="ListParagraph"/>
        <w:numPr>
          <w:ilvl w:val="0"/>
          <w:numId w:val="14"/>
        </w:numPr>
        <w:jc w:val="both"/>
      </w:pPr>
      <w:r>
        <w:t>Basically, the insurer Crum and Forster issued general</w:t>
      </w:r>
      <w:r>
        <w:rPr>
          <w:color w:val="212121"/>
        </w:rPr>
        <w:t xml:space="preserve"> </w:t>
      </w:r>
      <w:r>
        <w:t>liability policies to the general contractor Altman.</w:t>
      </w:r>
    </w:p>
    <w:p>
      <w:pPr>
        <w:pStyle w:val="ListParagraph"/>
        <w:numPr>
          <w:ilvl w:val="0"/>
          <w:numId w:val="14"/>
        </w:numPr>
        <w:jc w:val="both"/>
      </w:pPr>
      <w:r>
        <w:t>The policies essentially provided that Crum &amp; Forster had a duty to defend Altman in any “suit,” as defined by the policy, arising from the project.</w:t>
      </w:r>
    </w:p>
    <w:p>
      <w:pPr>
        <w:pStyle w:val="ListParagraph"/>
        <w:numPr>
          <w:ilvl w:val="0"/>
          <w:numId w:val="14"/>
        </w:numPr>
        <w:jc w:val="both"/>
      </w:pPr>
      <w:r>
        <w:lastRenderedPageBreak/>
        <w:t>The policies defined suit as “a civil proceeding in which damages because of ‘bodily injury,’ ‘property damage’ or ‘personal and advertising injury’ to which this insurance applies are alleged.”</w:t>
      </w:r>
    </w:p>
    <w:p>
      <w:pPr>
        <w:pStyle w:val="ListParagraph"/>
        <w:numPr>
          <w:ilvl w:val="0"/>
          <w:numId w:val="15"/>
        </w:numPr>
        <w:jc w:val="both"/>
      </w:pPr>
      <w:r>
        <w:t>“Suit” includes:</w:t>
      </w:r>
    </w:p>
    <w:p>
      <w:pPr>
        <w:pStyle w:val="ListParagraph"/>
        <w:numPr>
          <w:ilvl w:val="0"/>
          <w:numId w:val="16"/>
        </w:numPr>
        <w:jc w:val="both"/>
      </w:pPr>
      <w:r>
        <w:t>An arbitration proceeding in which such damages are claimed and to which the insured must submit or does submit with our consent; or</w:t>
      </w:r>
    </w:p>
    <w:p>
      <w:pPr>
        <w:pStyle w:val="ListParagraph"/>
        <w:numPr>
          <w:ilvl w:val="0"/>
          <w:numId w:val="16"/>
        </w:numPr>
        <w:jc w:val="both"/>
      </w:pPr>
      <w:r>
        <w:t>b. Any other alternative dispute resolution proceeding in which such damages are claimed and to which the insured submits with our consent.</w:t>
      </w:r>
    </w:p>
    <w:p>
      <w:pPr>
        <w:pStyle w:val="ListParagraph"/>
        <w:numPr>
          <w:ilvl w:val="0"/>
          <w:numId w:val="16"/>
        </w:numPr>
        <w:jc w:val="both"/>
      </w:pPr>
      <w:r>
        <w:t>The policy did not provide further definitions for “civil proceeding” or “alternative dispute resolution proceeding” as used within the definition of “suit.”</w:t>
      </w:r>
    </w:p>
    <w:p>
      <w:pPr>
        <w:pStyle w:val="ListParagraph"/>
        <w:numPr>
          <w:ilvl w:val="0"/>
          <w:numId w:val="14"/>
        </w:numPr>
        <w:jc w:val="both"/>
      </w:pPr>
      <w:r>
        <w:t>Altman was served with several 558 Notices with respect to a condominium project.</w:t>
      </w:r>
    </w:p>
    <w:p>
      <w:pPr>
        <w:pStyle w:val="ListParagraph"/>
        <w:numPr>
          <w:ilvl w:val="0"/>
          <w:numId w:val="14"/>
        </w:numPr>
        <w:jc w:val="both"/>
      </w:pPr>
      <w:r>
        <w:t xml:space="preserve">Crum &amp; Forster maintained that that the notices did not invoke its duty to indemnify and defend, and instead retained counsel for Altman under a reservation of rights in anticipation of possible litigation.  </w:t>
      </w:r>
    </w:p>
    <w:p>
      <w:pPr>
        <w:pStyle w:val="ListParagraph"/>
        <w:numPr>
          <w:ilvl w:val="0"/>
          <w:numId w:val="14"/>
        </w:numPr>
        <w:jc w:val="both"/>
      </w:pPr>
      <w:r>
        <w:t>Ultimately, Altman settled all of the claims against it without any lawsuit being filed and without Crum &amp; Forster’s involvement.</w:t>
      </w:r>
    </w:p>
    <w:p>
      <w:pPr>
        <w:pStyle w:val="ListParagraph"/>
        <w:numPr>
          <w:ilvl w:val="0"/>
          <w:numId w:val="14"/>
        </w:numPr>
        <w:jc w:val="both"/>
      </w:pPr>
      <w:r>
        <w:t>Altman then filed a declaratory judgment action seeking a declaration that Crum &amp; Forster was required to defend and indemnify it with respect to the notices.</w:t>
      </w:r>
    </w:p>
    <w:p>
      <w:pPr>
        <w:pStyle w:val="ListParagraph"/>
        <w:numPr>
          <w:ilvl w:val="0"/>
          <w:numId w:val="15"/>
        </w:numPr>
        <w:jc w:val="both"/>
      </w:pPr>
      <w:r>
        <w:rPr>
          <w:color w:val="212121"/>
        </w:rPr>
        <w:t>Altman claimed that this duty to defend was invoked when the property owner served it with several notices under chapter 558, Florida Statutes, a statutory process for resolving construction defect claims that is a condition precedent to filing a lawsuit.</w:t>
      </w:r>
    </w:p>
    <w:p>
      <w:pPr>
        <w:jc w:val="both"/>
      </w:pPr>
    </w:p>
    <w:p>
      <w:pPr>
        <w:pStyle w:val="ListParagraph"/>
        <w:numPr>
          <w:ilvl w:val="0"/>
          <w:numId w:val="19"/>
        </w:numPr>
        <w:jc w:val="both"/>
        <w:rPr>
          <w:b/>
        </w:rPr>
      </w:pPr>
      <w:r>
        <w:rPr>
          <w:b/>
        </w:rPr>
        <w:t>Rulings and Procedural History</w:t>
      </w:r>
    </w:p>
    <w:p>
      <w:pPr>
        <w:pStyle w:val="ListParagraph"/>
        <w:numPr>
          <w:ilvl w:val="0"/>
          <w:numId w:val="13"/>
        </w:numPr>
        <w:jc w:val="both"/>
      </w:pPr>
      <w:r>
        <w:t xml:space="preserve">The way this case reached the Florida Supreme Court was that the Southern District Federal Court in the underlying case involving Altman Contractors and Crum &amp; Forster (i.e. </w:t>
      </w:r>
      <w:r>
        <w:rPr>
          <w:u w:val="single"/>
        </w:rPr>
        <w:t>Altman Contractors, Inc. v. Crum &amp; Forster Specialty Ins. Co.</w:t>
      </w:r>
      <w:r>
        <w:t xml:space="preserve">, 124 F. Supp. </w:t>
      </w:r>
      <w:proofErr w:type="spellStart"/>
      <w:r>
        <w:t>3d</w:t>
      </w:r>
      <w:proofErr w:type="spellEnd"/>
      <w:r>
        <w:t xml:space="preserve"> 1272 (S.D. Fla. 2015)), held that the alternative method of dispute resolution provided by the Chapter 558 notice and repair law was </w:t>
      </w:r>
      <w:r>
        <w:rPr>
          <w:b/>
          <w:u w:val="single"/>
        </w:rPr>
        <w:t>not</w:t>
      </w:r>
      <w:r>
        <w:t xml:space="preserve"> covered as a “suit” under the Crum &amp; Forster’s insurance policy and, therefore, Crum and Forster had no obligation under the terms of the insurance policies to defend or indemnify its insured Altman Contractors Inc. </w:t>
      </w:r>
    </w:p>
    <w:p>
      <w:pPr>
        <w:pStyle w:val="ListParagraph"/>
        <w:numPr>
          <w:ilvl w:val="0"/>
          <w:numId w:val="15"/>
        </w:numPr>
        <w:jc w:val="both"/>
      </w:pPr>
      <w:r>
        <w:t xml:space="preserve">The Southern District entered judgment in favor of Crum &amp; Forster based on this determination. </w:t>
      </w:r>
    </w:p>
    <w:p>
      <w:pPr>
        <w:pStyle w:val="ListParagraph"/>
        <w:numPr>
          <w:ilvl w:val="0"/>
          <w:numId w:val="13"/>
        </w:numPr>
        <w:jc w:val="both"/>
      </w:pPr>
      <w:r>
        <w:t xml:space="preserve">That judgment was appealed to the Eleventh Circuit, and the Eleventh Circuit certified a question to the Florida Supreme Court as follows: “Is the notice and repair process set forth in Chapter 558 of the Florida Statutes a “suit” within the meaning of the [commercial general liability] policies issued by [Crum &amp; Forster Specialty Ins. Co.] to [Altman Contractors, Inc.]?”  </w:t>
      </w:r>
    </w:p>
    <w:p>
      <w:pPr>
        <w:pStyle w:val="ListParagraph"/>
        <w:numPr>
          <w:ilvl w:val="0"/>
          <w:numId w:val="13"/>
        </w:numPr>
        <w:jc w:val="both"/>
      </w:pPr>
      <w:r>
        <w:t>The Florida Supreme Court answered this question in the affirmative.</w:t>
      </w:r>
    </w:p>
    <w:p>
      <w:pPr>
        <w:pStyle w:val="ListParagraph"/>
        <w:numPr>
          <w:ilvl w:val="0"/>
          <w:numId w:val="13"/>
        </w:numPr>
        <w:jc w:val="both"/>
      </w:pPr>
      <w:r>
        <w:t>First the Florida Supreme Court reviewed the Section 558.001 as it read at the time and noted that the legislative findings and declaration provided:</w:t>
      </w:r>
    </w:p>
    <w:p>
      <w:pPr>
        <w:pStyle w:val="ListParagraph"/>
        <w:numPr>
          <w:ilvl w:val="0"/>
          <w:numId w:val="15"/>
        </w:numPr>
        <w:jc w:val="both"/>
      </w:pPr>
      <w:r>
        <w:t>The Legislature finds that it is beneficial to have </w:t>
      </w:r>
      <w:r>
        <w:rPr>
          <w:u w:val="single"/>
        </w:rPr>
        <w:t>an alternative method to resolve construction disputes that would reduce the need for litigation as well as protect the rights of property owners</w:t>
      </w:r>
      <w:r>
        <w:t>. An effective </w:t>
      </w:r>
      <w:r>
        <w:rPr>
          <w:u w:val="single"/>
        </w:rPr>
        <w:t>alternative dispute resolution mechanism</w:t>
      </w:r>
      <w:r>
        <w:t xml:space="preserve"> in certain construction defect matters </w:t>
      </w:r>
      <w:r>
        <w:lastRenderedPageBreak/>
        <w:t>should involve the claimant filing a notice of claim with the contractor, subcontractor, supplier, or design professional that the claimant asserts is responsible for the defect, and </w:t>
      </w:r>
      <w:r>
        <w:rPr>
          <w:u w:val="single"/>
        </w:rPr>
        <w:t>should provide the contractor, subcontractor, supplier, or design professional with an opportunity to resolve the claim without resort to further legal process</w:t>
      </w:r>
      <w:r>
        <w:t>.</w:t>
      </w:r>
    </w:p>
    <w:p>
      <w:pPr>
        <w:pStyle w:val="ListParagraph"/>
        <w:ind w:left="1440"/>
        <w:jc w:val="both"/>
      </w:pPr>
      <w:r>
        <w:t xml:space="preserve"> </w:t>
      </w:r>
    </w:p>
    <w:p>
      <w:pPr>
        <w:pStyle w:val="ListParagraph"/>
        <w:numPr>
          <w:ilvl w:val="0"/>
          <w:numId w:val="13"/>
        </w:numPr>
        <w:jc w:val="both"/>
      </w:pPr>
      <w:r>
        <w:t>After reviewing the language of the policies as to what constituted a suit under the polices, the Florida Supreme Court explained that the 558 Notice does not constitute a civil proceeding</w:t>
      </w:r>
      <w:r>
        <w:rPr>
          <w:color w:val="212121"/>
        </w:rPr>
        <w:t xml:space="preserve"> </w:t>
      </w:r>
      <w:r>
        <w:t>because the recipient's participation in the chapter 558 settlement process is not mandatory or adjudicative, noting that upon receipt of the notice of claim , the recipient could essentially choose not to respond and thereby force the claimant to file a lawsuit to recover for the construction defect.</w:t>
      </w:r>
    </w:p>
    <w:p>
      <w:pPr>
        <w:pStyle w:val="ListParagraph"/>
        <w:numPr>
          <w:ilvl w:val="0"/>
          <w:numId w:val="13"/>
        </w:numPr>
        <w:jc w:val="both"/>
      </w:pPr>
      <w:r>
        <w:t>However, the Florida Supreme Court did not stop there because the policies broadened the criteria as to what constituted a suit outside of the designation of a civil proceeding.</w:t>
      </w:r>
    </w:p>
    <w:p>
      <w:pPr>
        <w:pStyle w:val="ListParagraph"/>
        <w:numPr>
          <w:ilvl w:val="0"/>
          <w:numId w:val="15"/>
        </w:numPr>
        <w:jc w:val="both"/>
      </w:pPr>
      <w:r>
        <w:t xml:space="preserve">This broader definition included an alternate dispute resolution. </w:t>
      </w:r>
    </w:p>
    <w:p>
      <w:pPr>
        <w:pStyle w:val="ListParagraph"/>
        <w:numPr>
          <w:ilvl w:val="0"/>
          <w:numId w:val="17"/>
        </w:numPr>
        <w:jc w:val="both"/>
      </w:pPr>
      <w:r>
        <w:t>The Florida Supreme Court found that Chapter 558 constituted an alternative dispute resolution process, and that pursuant to the 558 process a claimant could seek damages.</w:t>
      </w:r>
    </w:p>
    <w:p>
      <w:pPr>
        <w:pStyle w:val="ListParagraph"/>
        <w:numPr>
          <w:ilvl w:val="0"/>
          <w:numId w:val="17"/>
        </w:numPr>
        <w:jc w:val="both"/>
      </w:pPr>
      <w:r>
        <w:t>Therefore, the Florida Supreme Court held that although the Chapter 558 process did not constitute a civil proceeding under the policies, it is included in the policies definition of suit as an alternative dispute resolution to which the insurer’s consent is required to invoke the insurer’s duty to defend the insured.</w:t>
      </w:r>
    </w:p>
    <w:p>
      <w:pPr>
        <w:pStyle w:val="ListParagraph"/>
        <w:numPr>
          <w:ilvl w:val="0"/>
          <w:numId w:val="17"/>
        </w:numPr>
        <w:jc w:val="both"/>
      </w:pPr>
      <w:r>
        <w:t>The Florida Supreme did not answer the question of whether Crum &amp; Forster consented to Altman’s participation in the Chapter 558 process because that was outside the scope of the certified question form the Eleventh Circuit.</w:t>
      </w:r>
    </w:p>
    <w:p>
      <w:pPr>
        <w:pStyle w:val="ListParagraph"/>
        <w:numPr>
          <w:ilvl w:val="0"/>
          <w:numId w:val="17"/>
        </w:numPr>
        <w:jc w:val="both"/>
      </w:pPr>
      <w:r>
        <w:t xml:space="preserve">The Eleventh Circuit noted that Florida Supreme Court’s conclusion differed from that of the Southern District and, in accordance with the principle that state courts are the ultimate expositors of state law, reversed the Southern District’s grant of summary judgment in favor of the insurer Crum &amp; Forster, vacated the final judgment, and remanded the case to the district court for further proceedings.  </w:t>
      </w:r>
    </w:p>
    <w:p>
      <w:pPr>
        <w:jc w:val="both"/>
      </w:pPr>
    </w:p>
    <w:p>
      <w:pPr>
        <w:pStyle w:val="ListParagraph"/>
        <w:numPr>
          <w:ilvl w:val="0"/>
          <w:numId w:val="18"/>
        </w:numPr>
        <w:rPr>
          <w:b/>
        </w:rPr>
      </w:pPr>
      <w:r>
        <w:rPr>
          <w:b/>
        </w:rPr>
        <w:t>Interesting Points and/or Key Points to Take Away</w:t>
      </w:r>
    </w:p>
    <w:p>
      <w:pPr>
        <w:pStyle w:val="ListParagraph"/>
        <w:numPr>
          <w:ilvl w:val="0"/>
          <w:numId w:val="20"/>
        </w:numPr>
        <w:jc w:val="both"/>
      </w:pPr>
      <w:r>
        <w:t>The Chapter 558 notice and repair process constitutes an alternative dispute resolution process by which a claimant may seek damages.</w:t>
      </w:r>
    </w:p>
    <w:p>
      <w:pPr>
        <w:pStyle w:val="ListParagraph"/>
        <w:numPr>
          <w:ilvl w:val="0"/>
          <w:numId w:val="20"/>
        </w:numPr>
        <w:jc w:val="both"/>
      </w:pPr>
      <w:r>
        <w:t xml:space="preserve">Whether the Chapter 558 notice and repair process constitutes an suit under a </w:t>
      </w:r>
      <w:proofErr w:type="spellStart"/>
      <w:r>
        <w:t>CGL</w:t>
      </w:r>
      <w:proofErr w:type="spellEnd"/>
      <w:r>
        <w:t xml:space="preserve"> policy is largely dependent on the language of the policy and how suit is defined in the policy.  </w:t>
      </w:r>
    </w:p>
    <w:p>
      <w:pPr>
        <w:jc w:val="both"/>
      </w:pPr>
    </w:p>
    <w:p>
      <w:pPr>
        <w:jc w:val="both"/>
      </w:pPr>
    </w:p>
    <w:p>
      <w:pPr>
        <w:jc w:val="both"/>
      </w:pPr>
      <w:r>
        <w:rPr>
          <w:b/>
        </w:rPr>
        <w:t xml:space="preserve">Employee vs Independent Contractor &amp; Duty to Defend &amp; Indemnify </w:t>
      </w:r>
      <w:r>
        <w:t xml:space="preserve">– </w:t>
      </w:r>
      <w:r>
        <w:rPr>
          <w:u w:val="single"/>
        </w:rPr>
        <w:t>Houston Specialty Ins. Co. v. Vaughn</w:t>
      </w:r>
      <w:r>
        <w:t xml:space="preserve">, --- F. </w:t>
      </w:r>
      <w:proofErr w:type="spellStart"/>
      <w:r>
        <w:t>App’x</w:t>
      </w:r>
      <w:proofErr w:type="spellEnd"/>
      <w:r>
        <w:t xml:space="preserve"> ---, 2018 WL 1568939 (11th Cir. March 30, 2018).</w:t>
      </w:r>
    </w:p>
    <w:p>
      <w:pPr>
        <w:jc w:val="both"/>
      </w:pPr>
    </w:p>
    <w:p>
      <w:pPr>
        <w:pStyle w:val="ListParagraph"/>
        <w:numPr>
          <w:ilvl w:val="0"/>
          <w:numId w:val="18"/>
        </w:numPr>
        <w:jc w:val="both"/>
      </w:pPr>
      <w:r>
        <w:t>Case decided March 30, 2018.</w:t>
      </w:r>
    </w:p>
    <w:p>
      <w:pPr>
        <w:pStyle w:val="ListParagraph"/>
        <w:numPr>
          <w:ilvl w:val="0"/>
          <w:numId w:val="18"/>
        </w:numPr>
        <w:jc w:val="both"/>
      </w:pPr>
      <w:r>
        <w:t>Case involves making a determination as to whether a worker injured on the job was an employee or independent contractor to decide if the duty to defend and indemnify was invoked.</w:t>
      </w:r>
    </w:p>
    <w:p>
      <w:pPr>
        <w:pStyle w:val="ListParagraph"/>
        <w:numPr>
          <w:ilvl w:val="0"/>
          <w:numId w:val="18"/>
        </w:numPr>
        <w:jc w:val="both"/>
      </w:pPr>
      <w:r>
        <w:t xml:space="preserve">Takeaway – The determination of one’s status as an employee or independent contractor centers around the degree of control that the putative employer </w:t>
      </w:r>
      <w:r>
        <w:lastRenderedPageBreak/>
        <w:t>exercises over the person, the decisive question being who has the right to direct what shall be done, and how and when it shall be done.</w:t>
      </w:r>
    </w:p>
    <w:p>
      <w:pPr>
        <w:jc w:val="both"/>
      </w:pPr>
    </w:p>
    <w:p>
      <w:pPr>
        <w:pStyle w:val="ListParagraph"/>
        <w:numPr>
          <w:ilvl w:val="0"/>
          <w:numId w:val="18"/>
        </w:numPr>
        <w:jc w:val="both"/>
        <w:rPr>
          <w:b/>
        </w:rPr>
      </w:pPr>
      <w:r>
        <w:rPr>
          <w:b/>
        </w:rPr>
        <w:t>Facts</w:t>
      </w:r>
    </w:p>
    <w:p>
      <w:pPr>
        <w:pStyle w:val="ListParagraph"/>
        <w:numPr>
          <w:ilvl w:val="0"/>
          <w:numId w:val="21"/>
        </w:numPr>
        <w:jc w:val="both"/>
      </w:pPr>
      <w:r>
        <w:t xml:space="preserve">The plaintiff Vaughn fell and was paralyzed while applying a protective coating to a mobile home roof for All Florida Weatherproofing &amp; Construction, Inc. (“All Florida”).  </w:t>
      </w:r>
    </w:p>
    <w:p>
      <w:pPr>
        <w:pStyle w:val="ListParagraph"/>
        <w:numPr>
          <w:ilvl w:val="0"/>
          <w:numId w:val="21"/>
        </w:numPr>
        <w:jc w:val="both"/>
      </w:pPr>
      <w:r>
        <w:t xml:space="preserve">He sued All Florida in state court, along with its president, </w:t>
      </w:r>
      <w:proofErr w:type="spellStart"/>
      <w:r>
        <w:t>Fulford</w:t>
      </w:r>
      <w:proofErr w:type="spellEnd"/>
      <w:r>
        <w:t xml:space="preserve">, and a sales representative, Mendenhall (collectively “Defendants”), asserting state law tort claims. </w:t>
      </w:r>
    </w:p>
    <w:p>
      <w:pPr>
        <w:pStyle w:val="ListParagraph"/>
        <w:numPr>
          <w:ilvl w:val="0"/>
          <w:numId w:val="21"/>
        </w:numPr>
        <w:jc w:val="both"/>
      </w:pPr>
      <w:r>
        <w:t xml:space="preserve">Houston Specialty Insurance Co. (“Houston Specialty”) was the commercial general liability insurance carrier for All Florida and brought an action in federal court seeking a declaratory judgment that it did not have to defend or indemnify the Defendants against Vaughn’s claims.  </w:t>
      </w:r>
    </w:p>
    <w:p>
      <w:pPr>
        <w:jc w:val="both"/>
      </w:pPr>
    </w:p>
    <w:p>
      <w:pPr>
        <w:pStyle w:val="ListParagraph"/>
        <w:numPr>
          <w:ilvl w:val="0"/>
          <w:numId w:val="22"/>
        </w:numPr>
        <w:jc w:val="both"/>
        <w:rPr>
          <w:b/>
        </w:rPr>
      </w:pPr>
      <w:r>
        <w:rPr>
          <w:b/>
        </w:rPr>
        <w:t>Rulings</w:t>
      </w:r>
    </w:p>
    <w:p>
      <w:pPr>
        <w:pStyle w:val="ListParagraph"/>
        <w:numPr>
          <w:ilvl w:val="0"/>
          <w:numId w:val="21"/>
        </w:numPr>
        <w:jc w:val="both"/>
      </w:pPr>
      <w:r>
        <w:t xml:space="preserve">The jury found that Vaughn was an independent contractor and Mendenhall was an employee of All Florida at the time of Vaughn’s accident. </w:t>
      </w:r>
    </w:p>
    <w:p>
      <w:pPr>
        <w:pStyle w:val="ListParagraph"/>
        <w:numPr>
          <w:ilvl w:val="0"/>
          <w:numId w:val="15"/>
        </w:numPr>
        <w:jc w:val="both"/>
      </w:pPr>
      <w:r>
        <w:t xml:space="preserve">That verdict obligated Houston Specialty to defend and indemnify the Defendants against Vaughn’s claims because Mendenhall was found to be an employee of All Florida and, therefore, an insured under the policy.  </w:t>
      </w:r>
    </w:p>
    <w:p>
      <w:pPr>
        <w:pStyle w:val="ListParagraph"/>
        <w:numPr>
          <w:ilvl w:val="0"/>
          <w:numId w:val="15"/>
        </w:numPr>
        <w:jc w:val="both"/>
      </w:pPr>
      <w:r>
        <w:t>But if, for example, Mendenhall was an independent </w:t>
      </w:r>
      <w:r>
        <w:rPr>
          <w:bCs/>
        </w:rPr>
        <w:t>contractor</w:t>
      </w:r>
      <w:r>
        <w:t xml:space="preserve">, he would not be an “insured” under the insurance policy.  </w:t>
      </w:r>
    </w:p>
    <w:p>
      <w:pPr>
        <w:pStyle w:val="ListParagraph"/>
        <w:numPr>
          <w:ilvl w:val="0"/>
          <w:numId w:val="21"/>
        </w:numPr>
        <w:jc w:val="both"/>
      </w:pPr>
      <w:r>
        <w:t>On Appeal, the Eleventh Circuit noted that Florida courts have recognized that the extent of control an employer exercises over the details of the job is a significant factor in determining whether the worker is an employee or independent </w:t>
      </w:r>
      <w:r>
        <w:rPr>
          <w:bCs/>
        </w:rPr>
        <w:t>contractor</w:t>
      </w:r>
      <w:r>
        <w:t xml:space="preserve">.  </w:t>
      </w:r>
    </w:p>
    <w:p>
      <w:pPr>
        <w:pStyle w:val="ListParagraph"/>
        <w:numPr>
          <w:ilvl w:val="0"/>
          <w:numId w:val="23"/>
        </w:numPr>
        <w:jc w:val="both"/>
      </w:pPr>
      <w:r>
        <w:t>The Eleventh Circuit explained that the determination of one’s status as an employee or independent </w:t>
      </w:r>
      <w:r>
        <w:rPr>
          <w:bCs/>
        </w:rPr>
        <w:t>contractor</w:t>
      </w:r>
      <w:r>
        <w:t xml:space="preserve"> centers around the degree of control that the putative employer exercises over the person, the decisive question being who has the right to direct what shall be done, and how and when it shall be done.  </w:t>
      </w:r>
    </w:p>
    <w:p>
      <w:pPr>
        <w:pStyle w:val="ListParagraph"/>
        <w:numPr>
          <w:ilvl w:val="0"/>
          <w:numId w:val="23"/>
        </w:numPr>
        <w:jc w:val="both"/>
      </w:pPr>
      <w:r>
        <w:t xml:space="preserve">The Eleventh Circuit found that despite the fact that All Florida and Mendenhall entered into an independent contractor agreement, All Florida exerted a large amount of control over Mendenhall.  For example, Mendenhall: </w:t>
      </w:r>
    </w:p>
    <w:p>
      <w:pPr>
        <w:pStyle w:val="ListParagraph"/>
        <w:numPr>
          <w:ilvl w:val="0"/>
          <w:numId w:val="24"/>
        </w:numPr>
        <w:jc w:val="both"/>
      </w:pPr>
      <w:r>
        <w:t xml:space="preserve">did not have his own business entity; </w:t>
      </w:r>
    </w:p>
    <w:p>
      <w:pPr>
        <w:pStyle w:val="ListParagraph"/>
        <w:numPr>
          <w:ilvl w:val="0"/>
          <w:numId w:val="24"/>
        </w:numPr>
        <w:jc w:val="both"/>
      </w:pPr>
      <w:r>
        <w:t xml:space="preserve">did not work for any company but All Florida; </w:t>
      </w:r>
    </w:p>
    <w:p>
      <w:pPr>
        <w:pStyle w:val="ListParagraph"/>
        <w:numPr>
          <w:ilvl w:val="0"/>
          <w:numId w:val="24"/>
        </w:numPr>
        <w:jc w:val="both"/>
      </w:pPr>
      <w:r>
        <w:t xml:space="preserve">received a daily schedule from All Florida which he could not decline; and </w:t>
      </w:r>
    </w:p>
    <w:p>
      <w:pPr>
        <w:pStyle w:val="ListParagraph"/>
        <w:numPr>
          <w:ilvl w:val="0"/>
          <w:numId w:val="24"/>
        </w:numPr>
        <w:jc w:val="both"/>
      </w:pPr>
      <w:r>
        <w:t xml:space="preserve">was not required to obtain separate liability insurance for himself or a workers’ compensation exemption.  </w:t>
      </w:r>
    </w:p>
    <w:p>
      <w:pPr>
        <w:pStyle w:val="ListParagraph"/>
        <w:numPr>
          <w:ilvl w:val="0"/>
          <w:numId w:val="25"/>
        </w:numPr>
        <w:jc w:val="both"/>
      </w:pPr>
      <w:r>
        <w:t xml:space="preserve">All Florida provided Mendenhall with business cards with its logo and his name, provided him with marketing materials for selling roofing products, did not permit him to sell those roofing products for anyone other than All Florida, and  paid for marketing events and set up leads for him.  </w:t>
      </w:r>
    </w:p>
    <w:p>
      <w:pPr>
        <w:pStyle w:val="ListParagraph"/>
        <w:numPr>
          <w:ilvl w:val="0"/>
          <w:numId w:val="21"/>
        </w:numPr>
        <w:jc w:val="both"/>
      </w:pPr>
      <w:r>
        <w:t xml:space="preserve">Therefore, the Eleventh Circuit reversed, determining that collectively the facts established that All Florida had a lot of control over the details of Mendenhall’s job, which was sufficient to permit a jury to conclude that he was an employee of All Florida.  </w:t>
      </w:r>
    </w:p>
    <w:p>
      <w:pPr>
        <w:pStyle w:val="ListParagraph"/>
        <w:numPr>
          <w:ilvl w:val="0"/>
          <w:numId w:val="21"/>
        </w:numPr>
        <w:jc w:val="both"/>
      </w:pPr>
      <w:r>
        <w:t xml:space="preserve">Accordingly, Houston Specialty was obligated to defend and indemnify the Defendants against the plaintiff Vaughn’s claims.  </w:t>
      </w:r>
    </w:p>
    <w:p>
      <w:pPr>
        <w:jc w:val="both"/>
      </w:pPr>
    </w:p>
    <w:p>
      <w:pPr>
        <w:pStyle w:val="ListParagraph"/>
        <w:numPr>
          <w:ilvl w:val="0"/>
          <w:numId w:val="22"/>
        </w:numPr>
        <w:rPr>
          <w:b/>
        </w:rPr>
      </w:pPr>
      <w:r>
        <w:rPr>
          <w:b/>
        </w:rPr>
        <w:t>Interesting Points and/or Key Points to Take Away</w:t>
      </w:r>
    </w:p>
    <w:p>
      <w:pPr>
        <w:pStyle w:val="ListParagraph"/>
        <w:numPr>
          <w:ilvl w:val="0"/>
          <w:numId w:val="26"/>
        </w:numPr>
        <w:jc w:val="both"/>
      </w:pPr>
      <w:r>
        <w:t>Despite what parties label an agreement, it is the parties’ conduct that may determine the obligations under the agreement.</w:t>
      </w:r>
    </w:p>
    <w:p>
      <w:pPr>
        <w:pStyle w:val="ListParagraph"/>
        <w:numPr>
          <w:ilvl w:val="0"/>
          <w:numId w:val="26"/>
        </w:numPr>
        <w:jc w:val="both"/>
      </w:pPr>
      <w:r>
        <w:t>Hence, the label given to a contractual agreement is not always determinative.</w:t>
      </w:r>
    </w:p>
    <w:p>
      <w:pPr>
        <w:jc w:val="both"/>
      </w:pPr>
    </w:p>
    <w:p>
      <w:pPr>
        <w:jc w:val="both"/>
      </w:pPr>
    </w:p>
    <w:p>
      <w:pPr>
        <w:jc w:val="both"/>
      </w:pPr>
      <w:r>
        <w:rPr>
          <w:b/>
        </w:rPr>
        <w:t xml:space="preserve">“Your Work” Policy Exclusion </w:t>
      </w:r>
      <w:r>
        <w:t xml:space="preserve">– </w:t>
      </w:r>
      <w:r>
        <w:rPr>
          <w:u w:val="single"/>
        </w:rPr>
        <w:t xml:space="preserve">Mid-Continent </w:t>
      </w:r>
      <w:proofErr w:type="spellStart"/>
      <w:r>
        <w:rPr>
          <w:u w:val="single"/>
        </w:rPr>
        <w:t>Cas</w:t>
      </w:r>
      <w:proofErr w:type="spellEnd"/>
      <w:r>
        <w:rPr>
          <w:u w:val="single"/>
        </w:rPr>
        <w:t xml:space="preserve">. Co. v. </w:t>
      </w:r>
      <w:proofErr w:type="spellStart"/>
      <w:r>
        <w:rPr>
          <w:u w:val="single"/>
        </w:rPr>
        <w:t>JWN</w:t>
      </w:r>
      <w:proofErr w:type="spellEnd"/>
      <w:r>
        <w:rPr>
          <w:u w:val="single"/>
        </w:rPr>
        <w:t xml:space="preserve"> Construction, Inc.</w:t>
      </w:r>
      <w:r>
        <w:t>, 2018 WL 783102 (S.D. Fla. Feb. 8, 2018).</w:t>
      </w:r>
    </w:p>
    <w:p>
      <w:pPr>
        <w:jc w:val="both"/>
      </w:pPr>
    </w:p>
    <w:p>
      <w:pPr>
        <w:pStyle w:val="ListParagraph"/>
        <w:numPr>
          <w:ilvl w:val="0"/>
          <w:numId w:val="22"/>
        </w:numPr>
        <w:jc w:val="both"/>
      </w:pPr>
      <w:r>
        <w:t>Case decided February 8, 2018.</w:t>
      </w:r>
    </w:p>
    <w:p>
      <w:pPr>
        <w:pStyle w:val="ListParagraph"/>
        <w:numPr>
          <w:ilvl w:val="0"/>
          <w:numId w:val="22"/>
        </w:numPr>
        <w:jc w:val="both"/>
      </w:pPr>
      <w:r>
        <w:t xml:space="preserve">Case involves the interpretation of a “Your Work” exclusion provision contained in an insurance policy and a determination of what constitutes “Your Work.”  </w:t>
      </w:r>
    </w:p>
    <w:p>
      <w:pPr>
        <w:pStyle w:val="ListParagraph"/>
        <w:numPr>
          <w:ilvl w:val="0"/>
          <w:numId w:val="22"/>
        </w:numPr>
        <w:jc w:val="both"/>
      </w:pPr>
      <w:r>
        <w:t>Takeaway – Based on the policy language, “Your Work” encompassed both work performed by the general contractor and work performed by someone else on behalf of the general contractor.</w:t>
      </w:r>
    </w:p>
    <w:p>
      <w:pPr>
        <w:ind w:left="360"/>
        <w:jc w:val="both"/>
      </w:pPr>
    </w:p>
    <w:p>
      <w:pPr>
        <w:pStyle w:val="ListParagraph"/>
        <w:numPr>
          <w:ilvl w:val="0"/>
          <w:numId w:val="22"/>
        </w:numPr>
        <w:jc w:val="both"/>
        <w:rPr>
          <w:b/>
        </w:rPr>
      </w:pPr>
      <w:r>
        <w:rPr>
          <w:b/>
        </w:rPr>
        <w:t>Facts</w:t>
      </w:r>
    </w:p>
    <w:p>
      <w:pPr>
        <w:pStyle w:val="ListParagraph"/>
        <w:numPr>
          <w:ilvl w:val="0"/>
          <w:numId w:val="27"/>
        </w:numPr>
        <w:jc w:val="both"/>
      </w:pPr>
      <w:r>
        <w:t xml:space="preserve">A homeowner (“Flax”) sought to construct a residential home (the “Property”) using </w:t>
      </w:r>
      <w:proofErr w:type="spellStart"/>
      <w:r>
        <w:t>Mager</w:t>
      </w:r>
      <w:proofErr w:type="spellEnd"/>
      <w:r>
        <w:t xml:space="preserve"> Construction (“</w:t>
      </w:r>
      <w:proofErr w:type="spellStart"/>
      <w:r>
        <w:t>Mager</w:t>
      </w:r>
      <w:proofErr w:type="spellEnd"/>
      <w:r>
        <w:t xml:space="preserve">”), a  non-party, however, </w:t>
      </w:r>
      <w:proofErr w:type="spellStart"/>
      <w:r>
        <w:t>Mager</w:t>
      </w:r>
      <w:proofErr w:type="spellEnd"/>
      <w:r>
        <w:t xml:space="preserve"> was not an approved builder for the lender Flax used to finance the construction. </w:t>
      </w:r>
    </w:p>
    <w:p>
      <w:pPr>
        <w:pStyle w:val="ListParagraph"/>
        <w:numPr>
          <w:ilvl w:val="0"/>
          <w:numId w:val="27"/>
        </w:numPr>
        <w:jc w:val="both"/>
      </w:pPr>
      <w:r>
        <w:t>So Flax entered into a contract with defendant-</w:t>
      </w:r>
      <w:proofErr w:type="spellStart"/>
      <w:r>
        <w:t>JWN</w:t>
      </w:r>
      <w:proofErr w:type="spellEnd"/>
      <w:r>
        <w:t xml:space="preserve">, who was an approved builder, whereas </w:t>
      </w:r>
      <w:proofErr w:type="spellStart"/>
      <w:r>
        <w:t>JWN</w:t>
      </w:r>
      <w:proofErr w:type="spellEnd"/>
      <w:r>
        <w:t xml:space="preserve"> would act as the general </w:t>
      </w:r>
      <w:r>
        <w:rPr>
          <w:bCs/>
        </w:rPr>
        <w:t>contractor</w:t>
      </w:r>
      <w:r>
        <w:t xml:space="preserve"> for the construction of the home.  </w:t>
      </w:r>
    </w:p>
    <w:p>
      <w:pPr>
        <w:pStyle w:val="ListParagraph"/>
        <w:numPr>
          <w:ilvl w:val="0"/>
          <w:numId w:val="27"/>
        </w:numPr>
        <w:jc w:val="both"/>
      </w:pPr>
      <w:proofErr w:type="spellStart"/>
      <w:r>
        <w:t>JWN</w:t>
      </w:r>
      <w:proofErr w:type="spellEnd"/>
      <w:r>
        <w:t xml:space="preserve"> then entered into a separate agreement with </w:t>
      </w:r>
      <w:proofErr w:type="spellStart"/>
      <w:r>
        <w:t>Mager</w:t>
      </w:r>
      <w:proofErr w:type="spellEnd"/>
      <w:r>
        <w:t xml:space="preserve"> for </w:t>
      </w:r>
      <w:proofErr w:type="spellStart"/>
      <w:r>
        <w:t>Mager</w:t>
      </w:r>
      <w:proofErr w:type="spellEnd"/>
      <w:r>
        <w:t xml:space="preserve"> to undertake the actual construction project. </w:t>
      </w:r>
    </w:p>
    <w:p>
      <w:pPr>
        <w:pStyle w:val="ListParagraph"/>
        <w:numPr>
          <w:ilvl w:val="0"/>
          <w:numId w:val="27"/>
        </w:numPr>
        <w:jc w:val="both"/>
      </w:pPr>
      <w:r>
        <w:t xml:space="preserve">After construction was complete, Flax discovered water intrusion and other damage at his Property and filed suit against </w:t>
      </w:r>
      <w:proofErr w:type="spellStart"/>
      <w:r>
        <w:t>JWN</w:t>
      </w:r>
      <w:proofErr w:type="spellEnd"/>
      <w:r>
        <w:t xml:space="preserve"> and others. </w:t>
      </w:r>
    </w:p>
    <w:p>
      <w:pPr>
        <w:pStyle w:val="ListParagraph"/>
        <w:numPr>
          <w:ilvl w:val="0"/>
          <w:numId w:val="27"/>
        </w:numPr>
        <w:jc w:val="both"/>
      </w:pPr>
      <w:r>
        <w:t>Defendant-</w:t>
      </w:r>
      <w:proofErr w:type="spellStart"/>
      <w:r>
        <w:t>JWN</w:t>
      </w:r>
      <w:proofErr w:type="spellEnd"/>
      <w:r>
        <w:t xml:space="preserve"> had a general commercial liability insurance policy with the plaintiff-insurer.  </w:t>
      </w:r>
    </w:p>
    <w:p>
      <w:pPr>
        <w:pStyle w:val="ListParagraph"/>
        <w:numPr>
          <w:ilvl w:val="0"/>
          <w:numId w:val="27"/>
        </w:numPr>
        <w:jc w:val="both"/>
      </w:pPr>
      <w:r>
        <w:t xml:space="preserve">The plaintiff insurer filed suit arguing that it was not obligated to indemnify or defend </w:t>
      </w:r>
      <w:proofErr w:type="spellStart"/>
      <w:r>
        <w:t>JWN</w:t>
      </w:r>
      <w:proofErr w:type="spellEnd"/>
      <w:r>
        <w:t xml:space="preserve"> because </w:t>
      </w:r>
      <w:proofErr w:type="spellStart"/>
      <w:r>
        <w:t>JWN’s</w:t>
      </w:r>
      <w:proofErr w:type="spellEnd"/>
      <w:r>
        <w:t xml:space="preserve"> insurance policies contained a “your work” exclusion provision and that the work on the Property was performed by </w:t>
      </w:r>
      <w:proofErr w:type="spellStart"/>
      <w:r>
        <w:t>JWN</w:t>
      </w:r>
      <w:proofErr w:type="spellEnd"/>
      <w:r>
        <w:t xml:space="preserve"> or on </w:t>
      </w:r>
      <w:proofErr w:type="spellStart"/>
      <w:r>
        <w:t>JWN’s</w:t>
      </w:r>
      <w:proofErr w:type="spellEnd"/>
      <w:r>
        <w:t xml:space="preserve"> behalf. </w:t>
      </w:r>
    </w:p>
    <w:p>
      <w:pPr>
        <w:jc w:val="both"/>
      </w:pPr>
    </w:p>
    <w:p>
      <w:pPr>
        <w:pStyle w:val="ListParagraph"/>
        <w:numPr>
          <w:ilvl w:val="0"/>
          <w:numId w:val="28"/>
        </w:numPr>
        <w:jc w:val="both"/>
        <w:rPr>
          <w:b/>
        </w:rPr>
      </w:pPr>
      <w:r>
        <w:rPr>
          <w:b/>
        </w:rPr>
        <w:t>Rulings</w:t>
      </w:r>
    </w:p>
    <w:p>
      <w:pPr>
        <w:pStyle w:val="ListParagraph"/>
        <w:jc w:val="both"/>
      </w:pPr>
    </w:p>
    <w:p>
      <w:pPr>
        <w:pStyle w:val="ListParagraph"/>
        <w:numPr>
          <w:ilvl w:val="0"/>
          <w:numId w:val="27"/>
        </w:numPr>
        <w:jc w:val="both"/>
      </w:pPr>
      <w:r>
        <w:t xml:space="preserve">The court found that the “your work” exclusion excluded coverage for property damage arising out of  “your work” (i.e. </w:t>
      </w:r>
      <w:proofErr w:type="spellStart"/>
      <w:r>
        <w:t>JWN’s</w:t>
      </w:r>
      <w:proofErr w:type="spellEnd"/>
      <w:r>
        <w:t xml:space="preserve"> work) and defined “your work” as work or operations performed by you or on your behalf.” </w:t>
      </w:r>
    </w:p>
    <w:p>
      <w:pPr>
        <w:pStyle w:val="ListParagraph"/>
        <w:numPr>
          <w:ilvl w:val="0"/>
          <w:numId w:val="27"/>
        </w:numPr>
        <w:jc w:val="both"/>
      </w:pPr>
      <w:r>
        <w:t>The court also noted that Florida Statutes define the term “</w:t>
      </w:r>
      <w:r>
        <w:rPr>
          <w:bCs/>
        </w:rPr>
        <w:t>contractor</w:t>
      </w:r>
      <w:r>
        <w:t xml:space="preserve">,” as including work performed by the person himself or herself or by others related to construction. </w:t>
      </w:r>
    </w:p>
    <w:p>
      <w:pPr>
        <w:pStyle w:val="ListParagraph"/>
        <w:numPr>
          <w:ilvl w:val="0"/>
          <w:numId w:val="27"/>
        </w:numPr>
        <w:jc w:val="both"/>
      </w:pPr>
      <w:r>
        <w:t xml:space="preserve">Thus, the court determined that the “your work” exclusion excluded work performed by </w:t>
      </w:r>
      <w:proofErr w:type="spellStart"/>
      <w:r>
        <w:t>Mager</w:t>
      </w:r>
      <w:proofErr w:type="spellEnd"/>
      <w:r>
        <w:t>, a subcontractor, on defendant-</w:t>
      </w:r>
      <w:proofErr w:type="spellStart"/>
      <w:r>
        <w:t>JWN’s</w:t>
      </w:r>
      <w:proofErr w:type="spellEnd"/>
      <w:r>
        <w:t xml:space="preserve"> behalf. </w:t>
      </w:r>
    </w:p>
    <w:p>
      <w:pPr>
        <w:pStyle w:val="ListParagraph"/>
        <w:numPr>
          <w:ilvl w:val="0"/>
          <w:numId w:val="27"/>
        </w:numPr>
        <w:jc w:val="both"/>
      </w:pPr>
      <w:r>
        <w:t>The court rejected defendant-</w:t>
      </w:r>
      <w:proofErr w:type="spellStart"/>
      <w:r>
        <w:t>JWN’s</w:t>
      </w:r>
      <w:proofErr w:type="spellEnd"/>
      <w:r>
        <w:t xml:space="preserve"> argument that </w:t>
      </w:r>
      <w:proofErr w:type="spellStart"/>
      <w:r>
        <w:t>Mager</w:t>
      </w:r>
      <w:proofErr w:type="spellEnd"/>
      <w:r>
        <w:t>, not defendant-</w:t>
      </w:r>
      <w:proofErr w:type="spellStart"/>
      <w:r>
        <w:t>JWN</w:t>
      </w:r>
      <w:proofErr w:type="spellEnd"/>
      <w:r>
        <w:t>, was the true general contractor as defendant-</w:t>
      </w:r>
      <w:proofErr w:type="spellStart"/>
      <w:r>
        <w:t>JWN</w:t>
      </w:r>
      <w:proofErr w:type="spellEnd"/>
      <w:r>
        <w:t xml:space="preserve"> cited no legal authority such that the court should disregard the fact that defendant-</w:t>
      </w:r>
      <w:proofErr w:type="spellStart"/>
      <w:r>
        <w:t>JWN</w:t>
      </w:r>
      <w:proofErr w:type="spellEnd"/>
      <w:r>
        <w:t xml:space="preserve">, not </w:t>
      </w:r>
      <w:proofErr w:type="spellStart"/>
      <w:r>
        <w:t>Mager</w:t>
      </w:r>
      <w:proofErr w:type="spellEnd"/>
      <w:r>
        <w:t xml:space="preserve">, entered into the contract with the homeowner Flax.  </w:t>
      </w:r>
    </w:p>
    <w:p>
      <w:pPr>
        <w:pStyle w:val="ListParagraph"/>
        <w:numPr>
          <w:ilvl w:val="0"/>
          <w:numId w:val="27"/>
        </w:numPr>
        <w:jc w:val="both"/>
      </w:pPr>
      <w:r>
        <w:lastRenderedPageBreak/>
        <w:t>Accordingly, the court concluded that the plaintiff-insurer had no duty to indemnify or defend defendant-</w:t>
      </w:r>
      <w:proofErr w:type="spellStart"/>
      <w:r>
        <w:t>JWN</w:t>
      </w:r>
      <w:proofErr w:type="spellEnd"/>
      <w:r>
        <w:t xml:space="preserve">.  </w:t>
      </w:r>
    </w:p>
    <w:p>
      <w:pPr>
        <w:jc w:val="both"/>
      </w:pPr>
    </w:p>
    <w:p>
      <w:pPr>
        <w:pStyle w:val="ListParagraph"/>
        <w:numPr>
          <w:ilvl w:val="0"/>
          <w:numId w:val="28"/>
        </w:numPr>
        <w:rPr>
          <w:b/>
        </w:rPr>
      </w:pPr>
      <w:r>
        <w:rPr>
          <w:b/>
        </w:rPr>
        <w:t>Interesting Points and/or Key Points to Take Away</w:t>
      </w:r>
    </w:p>
    <w:p>
      <w:pPr>
        <w:pStyle w:val="ListParagraph"/>
        <w:numPr>
          <w:ilvl w:val="0"/>
          <w:numId w:val="29"/>
        </w:numPr>
        <w:jc w:val="both"/>
      </w:pPr>
      <w:r>
        <w:t>If the policy includes a “Your Work” exclusion then beware of the language in the policy as “Your Work” might encompass not just the work of the general contractor to whom the policy is issued but also the subcontractors who perform work on the general contractor’s behalf</w:t>
      </w:r>
    </w:p>
    <w:p>
      <w:pPr>
        <w:pStyle w:val="ListParagraph"/>
        <w:numPr>
          <w:ilvl w:val="0"/>
          <w:numId w:val="29"/>
        </w:numPr>
        <w:jc w:val="both"/>
      </w:pPr>
      <w:r>
        <w:t xml:space="preserve">If a person or entity enters into a contract with the property owner to construct property, that person or entity will be deemed the general contractor even if the person or entity then outsources those responsibilities to another. </w:t>
      </w:r>
    </w:p>
    <w:p>
      <w:pPr>
        <w:pStyle w:val="ListParagraph"/>
        <w:numPr>
          <w:ilvl w:val="0"/>
          <w:numId w:val="29"/>
        </w:numPr>
        <w:jc w:val="both"/>
      </w:pPr>
      <w:r>
        <w:t>Note: An appeal has been filed in this case.</w:t>
      </w:r>
    </w:p>
    <w:p>
      <w:pPr>
        <w:jc w:val="both"/>
      </w:pPr>
    </w:p>
    <w:p>
      <w:pPr>
        <w:jc w:val="both"/>
      </w:pPr>
    </w:p>
    <w:p>
      <w:pPr>
        <w:jc w:val="both"/>
      </w:pPr>
      <w:r>
        <w:rPr>
          <w:b/>
        </w:rPr>
        <w:t>Breach of Contract and Contractual Indemnity</w:t>
      </w:r>
      <w:r>
        <w:t xml:space="preserve"> – </w:t>
      </w:r>
      <w:r>
        <w:rPr>
          <w:u w:val="single"/>
        </w:rPr>
        <w:t>MWH Constructors Inc. v. Brown and Brown Electric, Inc.</w:t>
      </w:r>
      <w:r>
        <w:t>, No. 9:17-CV-80902, 2018 WL 2087687 (May 4, 2018).</w:t>
      </w:r>
    </w:p>
    <w:p>
      <w:pPr>
        <w:jc w:val="both"/>
      </w:pPr>
    </w:p>
    <w:p>
      <w:pPr>
        <w:pStyle w:val="ListParagraph"/>
        <w:numPr>
          <w:ilvl w:val="0"/>
          <w:numId w:val="28"/>
        </w:numPr>
        <w:jc w:val="both"/>
      </w:pPr>
      <w:r>
        <w:t>Case decided May 4, 2018.</w:t>
      </w:r>
    </w:p>
    <w:p>
      <w:pPr>
        <w:pStyle w:val="ListParagraph"/>
        <w:numPr>
          <w:ilvl w:val="0"/>
          <w:numId w:val="28"/>
        </w:numPr>
        <w:jc w:val="both"/>
      </w:pPr>
      <w:r>
        <w:t>Case involves a breach of contract and contractual indemnity.</w:t>
      </w:r>
    </w:p>
    <w:p>
      <w:pPr>
        <w:pStyle w:val="ListParagraph"/>
        <w:numPr>
          <w:ilvl w:val="0"/>
          <w:numId w:val="28"/>
        </w:numPr>
        <w:jc w:val="both"/>
      </w:pPr>
      <w:r>
        <w:t xml:space="preserve">Takeaway - It is not the function of the courts to rewrite a contract or interfere with the freedom of contract or substitute their judgment for that of the parties thereto in order to relieve one of the parties from the apparent hardship of an improvident bargain. </w:t>
      </w:r>
    </w:p>
    <w:p>
      <w:pPr>
        <w:jc w:val="both"/>
      </w:pPr>
    </w:p>
    <w:p>
      <w:pPr>
        <w:pStyle w:val="ListParagraph"/>
        <w:numPr>
          <w:ilvl w:val="0"/>
          <w:numId w:val="28"/>
        </w:numPr>
        <w:jc w:val="both"/>
        <w:rPr>
          <w:b/>
        </w:rPr>
      </w:pPr>
      <w:r>
        <w:rPr>
          <w:b/>
        </w:rPr>
        <w:t>Facts</w:t>
      </w:r>
    </w:p>
    <w:p>
      <w:pPr>
        <w:pStyle w:val="ListParagraph"/>
        <w:numPr>
          <w:ilvl w:val="0"/>
          <w:numId w:val="30"/>
        </w:numPr>
        <w:jc w:val="both"/>
      </w:pPr>
      <w:r>
        <w:t xml:space="preserve">The Palm Beach County Water Utilities Department (“County”), as owner, entered into a contract with the plaintiff MWH Construction, Inc. (“MWH”) on  February 4, 2014, whereby MWH was to serve as the general contractor for the construction of a two-level water treatment structure (the “Project”).  </w:t>
      </w:r>
    </w:p>
    <w:p>
      <w:pPr>
        <w:pStyle w:val="ListParagraph"/>
        <w:numPr>
          <w:ilvl w:val="0"/>
          <w:numId w:val="30"/>
        </w:numPr>
        <w:jc w:val="both"/>
      </w:pPr>
      <w:r>
        <w:t xml:space="preserve">The County’s contract with MWH provided that time was of the essence and that MWH was provided 480 days to achieve substantial completion, after which MWH would be assessed liquidated damages.  </w:t>
      </w:r>
    </w:p>
    <w:p>
      <w:pPr>
        <w:pStyle w:val="ListParagraph"/>
        <w:numPr>
          <w:ilvl w:val="0"/>
          <w:numId w:val="30"/>
        </w:numPr>
        <w:jc w:val="both"/>
      </w:pPr>
      <w:r>
        <w:t xml:space="preserve">The contract also provided that upon reaching substantial completion, MWH was provided an additional 60 days to achieve final completion of the Project, after which MWH would be assessed liquidated damages.  </w:t>
      </w:r>
    </w:p>
    <w:p>
      <w:pPr>
        <w:pStyle w:val="ListParagraph"/>
        <w:numPr>
          <w:ilvl w:val="0"/>
          <w:numId w:val="30"/>
        </w:numPr>
        <w:jc w:val="both"/>
      </w:pPr>
      <w:r>
        <w:t xml:space="preserve">Thereafter, MWH entered into a subcontract with Brown and Brown Electric, Inc. (“B&amp;B”) to perform electrical work on the Project (the “Subcontract”).  </w:t>
      </w:r>
    </w:p>
    <w:p>
      <w:pPr>
        <w:pStyle w:val="ListParagraph"/>
        <w:numPr>
          <w:ilvl w:val="0"/>
          <w:numId w:val="30"/>
        </w:numPr>
        <w:jc w:val="both"/>
      </w:pPr>
      <w:r>
        <w:t xml:space="preserve">The Subcontract included several obligations, amongst them were: </w:t>
      </w:r>
    </w:p>
    <w:p>
      <w:pPr>
        <w:pStyle w:val="ListParagraph"/>
        <w:numPr>
          <w:ilvl w:val="0"/>
          <w:numId w:val="25"/>
        </w:numPr>
        <w:jc w:val="both"/>
      </w:pPr>
      <w:r>
        <w:t xml:space="preserve">an indemnification provision requiring B&amp;B to indemnify MWH for any loss MWH sustained by reason of B&amp;B’s failure to comply with the Subcontract, </w:t>
      </w:r>
    </w:p>
    <w:p>
      <w:pPr>
        <w:pStyle w:val="ListParagraph"/>
        <w:numPr>
          <w:ilvl w:val="0"/>
          <w:numId w:val="25"/>
        </w:numPr>
        <w:jc w:val="both"/>
      </w:pPr>
      <w:r>
        <w:t xml:space="preserve">a time is of the essence provision, a provision obligating B&amp;B to promptly pay all its lower-tier subcontractors, </w:t>
      </w:r>
    </w:p>
    <w:p>
      <w:pPr>
        <w:pStyle w:val="ListParagraph"/>
        <w:numPr>
          <w:ilvl w:val="0"/>
          <w:numId w:val="25"/>
        </w:numPr>
        <w:jc w:val="both"/>
      </w:pPr>
      <w:r>
        <w:t xml:space="preserve">a provision obligating B&amp;B to notify MWH of its inability to comply with its obligations under the Subcontract and if such notification was not given it constituted an acceptance of the agreed schedule and time, and </w:t>
      </w:r>
    </w:p>
    <w:p>
      <w:pPr>
        <w:pStyle w:val="ListParagraph"/>
        <w:numPr>
          <w:ilvl w:val="0"/>
          <w:numId w:val="25"/>
        </w:numPr>
        <w:jc w:val="both"/>
      </w:pPr>
      <w:r>
        <w:t xml:space="preserve">a provision stating that if B&amp;B failed to comply or was going to become unable to comply with the obligations in the Subcontract MWH could declare B&amp;B in default of the Subcontract.  </w:t>
      </w:r>
    </w:p>
    <w:p>
      <w:pPr>
        <w:pStyle w:val="ListParagraph"/>
        <w:numPr>
          <w:ilvl w:val="0"/>
          <w:numId w:val="30"/>
        </w:numPr>
        <w:jc w:val="both"/>
      </w:pPr>
      <w:r>
        <w:t xml:space="preserve">B&amp;B commenced its work on the Project on March 17, 2014, and in early July 2015, B&amp;B started falling behind in its work.  </w:t>
      </w:r>
    </w:p>
    <w:p>
      <w:pPr>
        <w:pStyle w:val="ListParagraph"/>
        <w:numPr>
          <w:ilvl w:val="0"/>
          <w:numId w:val="30"/>
        </w:numPr>
        <w:jc w:val="both"/>
      </w:pPr>
      <w:r>
        <w:lastRenderedPageBreak/>
        <w:t xml:space="preserve">MWH and B&amp;B held meetings to discuss B&amp;B’s inability to complete the work, and MWH served B&amp;B with an official notice of its failure to perform the work in a timely manner. </w:t>
      </w:r>
    </w:p>
    <w:p>
      <w:pPr>
        <w:pStyle w:val="ListParagraph"/>
        <w:numPr>
          <w:ilvl w:val="0"/>
          <w:numId w:val="30"/>
        </w:numPr>
        <w:jc w:val="both"/>
      </w:pPr>
      <w:r>
        <w:t xml:space="preserve">While B&amp;B committed to increasing manpower and working on Saturdays to recover lost time, B&amp;B failed to do so and fell further behind.  </w:t>
      </w:r>
    </w:p>
    <w:p>
      <w:pPr>
        <w:pStyle w:val="ListParagraph"/>
        <w:numPr>
          <w:ilvl w:val="0"/>
          <w:numId w:val="30"/>
        </w:numPr>
        <w:jc w:val="both"/>
      </w:pPr>
      <w:r>
        <w:t xml:space="preserve">The County threatened to assess liquidated damaged against MWH as a result of the Project delays.  </w:t>
      </w:r>
    </w:p>
    <w:p>
      <w:pPr>
        <w:pStyle w:val="ListParagraph"/>
        <w:numPr>
          <w:ilvl w:val="0"/>
          <w:numId w:val="30"/>
        </w:numPr>
        <w:jc w:val="both"/>
      </w:pPr>
      <w:r>
        <w:t xml:space="preserve">B&amp;B continued to fall further behind, and, on January 12, 2016, MWH declared B&amp;B in default of the Subcontract and exercised its right under the Subcontract to supplement B&amp;B’s work and complete the Project at B&amp;B’s expense.  </w:t>
      </w:r>
    </w:p>
    <w:p>
      <w:pPr>
        <w:pStyle w:val="ListParagraph"/>
        <w:numPr>
          <w:ilvl w:val="0"/>
          <w:numId w:val="30"/>
        </w:numPr>
        <w:jc w:val="both"/>
      </w:pPr>
      <w:r>
        <w:t xml:space="preserve">To do so, MWH contracted with Curry Controls Company (“Curry Controls”), another licensed electrical subcontractor, to supplement B&amp;B’s work.  </w:t>
      </w:r>
    </w:p>
    <w:p>
      <w:pPr>
        <w:pStyle w:val="ListParagraph"/>
        <w:numPr>
          <w:ilvl w:val="0"/>
          <w:numId w:val="30"/>
        </w:numPr>
        <w:jc w:val="both"/>
      </w:pPr>
      <w:r>
        <w:t xml:space="preserve">B&amp;B and Curry Controls both continued to work on the Project until the Project was caught up.  </w:t>
      </w:r>
    </w:p>
    <w:p>
      <w:pPr>
        <w:pStyle w:val="ListParagraph"/>
        <w:numPr>
          <w:ilvl w:val="0"/>
          <w:numId w:val="30"/>
        </w:numPr>
        <w:jc w:val="both"/>
      </w:pPr>
      <w:r>
        <w:t xml:space="preserve">The Project reached substantial completion on August 18, 2016 and final completion on February 16, 2017.  </w:t>
      </w:r>
    </w:p>
    <w:p>
      <w:pPr>
        <w:pStyle w:val="ListParagraph"/>
        <w:numPr>
          <w:ilvl w:val="0"/>
          <w:numId w:val="30"/>
        </w:numPr>
        <w:jc w:val="both"/>
      </w:pPr>
      <w:r>
        <w:t xml:space="preserve">MWH ultimately paid B&amp;B $999,893.57, paid Curry Controls $467,273.99, and  directly paid eight of B&amp;B’s lower-tier subcontractors an amount totaling $186,136.39.  </w:t>
      </w:r>
    </w:p>
    <w:p>
      <w:pPr>
        <w:jc w:val="both"/>
      </w:pPr>
    </w:p>
    <w:p>
      <w:pPr>
        <w:pStyle w:val="ListParagraph"/>
        <w:numPr>
          <w:ilvl w:val="0"/>
          <w:numId w:val="31"/>
        </w:numPr>
        <w:jc w:val="both"/>
        <w:rPr>
          <w:b/>
        </w:rPr>
      </w:pPr>
      <w:r>
        <w:rPr>
          <w:b/>
        </w:rPr>
        <w:t>Rulings</w:t>
      </w:r>
    </w:p>
    <w:p>
      <w:pPr>
        <w:ind w:left="360"/>
        <w:jc w:val="both"/>
        <w:rPr>
          <w:b/>
        </w:rPr>
      </w:pPr>
    </w:p>
    <w:p>
      <w:pPr>
        <w:pStyle w:val="ListParagraph"/>
        <w:numPr>
          <w:ilvl w:val="0"/>
          <w:numId w:val="30"/>
        </w:numPr>
        <w:jc w:val="both"/>
      </w:pPr>
      <w:r>
        <w:t xml:space="preserve">The court found that B&amp;B was liable to MWH for its breaches of the Subcontract.  </w:t>
      </w:r>
    </w:p>
    <w:p>
      <w:pPr>
        <w:pStyle w:val="ListParagraph"/>
        <w:numPr>
          <w:ilvl w:val="0"/>
          <w:numId w:val="32"/>
        </w:numPr>
        <w:jc w:val="both"/>
      </w:pPr>
      <w:r>
        <w:t xml:space="preserve">The court explained that the Subcontract and the obligations therein were unambiguous and expressed that time was of the essence and that the court should not rewrite a contract to which the parties freely agreed.  </w:t>
      </w:r>
    </w:p>
    <w:p>
      <w:pPr>
        <w:pStyle w:val="ListParagraph"/>
        <w:numPr>
          <w:ilvl w:val="0"/>
          <w:numId w:val="30"/>
        </w:numPr>
        <w:jc w:val="both"/>
      </w:pPr>
      <w:r>
        <w:t xml:space="preserve">The court found that B&amp;B never pursued the remedy in the contract requiring that B&amp;B notify MWH if it was unable to comply with the schedule and request additional time by which to comply.  </w:t>
      </w:r>
    </w:p>
    <w:p>
      <w:pPr>
        <w:pStyle w:val="ListParagraph"/>
        <w:numPr>
          <w:ilvl w:val="0"/>
          <w:numId w:val="30"/>
        </w:numPr>
        <w:jc w:val="both"/>
      </w:pPr>
      <w:r>
        <w:t xml:space="preserve">The court also found that MWH established B&amp;B’s inability to comply with the Subcontract and was, therefore, entitled to declare B&amp;B in default and enforce its remedies under the contract.  </w:t>
      </w:r>
    </w:p>
    <w:p>
      <w:pPr>
        <w:pStyle w:val="ListParagraph"/>
        <w:numPr>
          <w:ilvl w:val="0"/>
          <w:numId w:val="30"/>
        </w:numPr>
        <w:jc w:val="both"/>
      </w:pPr>
      <w:r>
        <w:t xml:space="preserve">The court further determined that because B&amp;B breached the contract B&amp;B was required to indemnify MWH for its damages, losses, costs, and expenses incurred.  </w:t>
      </w:r>
    </w:p>
    <w:p>
      <w:pPr>
        <w:jc w:val="both"/>
      </w:pPr>
    </w:p>
    <w:p>
      <w:pPr>
        <w:pStyle w:val="ListParagraph"/>
        <w:numPr>
          <w:ilvl w:val="0"/>
          <w:numId w:val="28"/>
        </w:numPr>
        <w:rPr>
          <w:b/>
        </w:rPr>
      </w:pPr>
      <w:r>
        <w:rPr>
          <w:b/>
        </w:rPr>
        <w:t>Interesting Points and/or Key Points to Take Away</w:t>
      </w:r>
    </w:p>
    <w:p>
      <w:pPr>
        <w:pStyle w:val="ListParagraph"/>
        <w:numPr>
          <w:ilvl w:val="0"/>
          <w:numId w:val="33"/>
        </w:numPr>
        <w:jc w:val="both"/>
      </w:pPr>
      <w:r>
        <w:t xml:space="preserve">The court will enforce time is of the essence provisions and provisions entitling one party to step in and complete work on behalf of the other party and at that party’s expense so long as the contract is unambiguous and freely entered into by the parties.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2E3"/>
    <w:multiLevelType w:val="hybridMultilevel"/>
    <w:tmpl w:val="F7BC8D36"/>
    <w:lvl w:ilvl="0" w:tplc="BB7C0A2E">
      <w:start w:val="1"/>
      <w:numFmt w:val="bullet"/>
      <w:lvlText w:val="•"/>
      <w:lvlJc w:val="left"/>
      <w:pPr>
        <w:tabs>
          <w:tab w:val="num" w:pos="720"/>
        </w:tabs>
        <w:ind w:left="720" w:hanging="360"/>
      </w:pPr>
      <w:rPr>
        <w:rFonts w:ascii="Arial" w:hAnsi="Arial" w:hint="default"/>
      </w:rPr>
    </w:lvl>
    <w:lvl w:ilvl="1" w:tplc="DE922730" w:tentative="1">
      <w:start w:val="1"/>
      <w:numFmt w:val="bullet"/>
      <w:lvlText w:val="•"/>
      <w:lvlJc w:val="left"/>
      <w:pPr>
        <w:tabs>
          <w:tab w:val="num" w:pos="1440"/>
        </w:tabs>
        <w:ind w:left="1440" w:hanging="360"/>
      </w:pPr>
      <w:rPr>
        <w:rFonts w:ascii="Arial" w:hAnsi="Arial" w:hint="default"/>
      </w:rPr>
    </w:lvl>
    <w:lvl w:ilvl="2" w:tplc="DB865B16" w:tentative="1">
      <w:start w:val="1"/>
      <w:numFmt w:val="bullet"/>
      <w:lvlText w:val="•"/>
      <w:lvlJc w:val="left"/>
      <w:pPr>
        <w:tabs>
          <w:tab w:val="num" w:pos="2160"/>
        </w:tabs>
        <w:ind w:left="2160" w:hanging="360"/>
      </w:pPr>
      <w:rPr>
        <w:rFonts w:ascii="Arial" w:hAnsi="Arial" w:hint="default"/>
      </w:rPr>
    </w:lvl>
    <w:lvl w:ilvl="3" w:tplc="DA6AA20E" w:tentative="1">
      <w:start w:val="1"/>
      <w:numFmt w:val="bullet"/>
      <w:lvlText w:val="•"/>
      <w:lvlJc w:val="left"/>
      <w:pPr>
        <w:tabs>
          <w:tab w:val="num" w:pos="2880"/>
        </w:tabs>
        <w:ind w:left="2880" w:hanging="360"/>
      </w:pPr>
      <w:rPr>
        <w:rFonts w:ascii="Arial" w:hAnsi="Arial" w:hint="default"/>
      </w:rPr>
    </w:lvl>
    <w:lvl w:ilvl="4" w:tplc="96DCF54A" w:tentative="1">
      <w:start w:val="1"/>
      <w:numFmt w:val="bullet"/>
      <w:lvlText w:val="•"/>
      <w:lvlJc w:val="left"/>
      <w:pPr>
        <w:tabs>
          <w:tab w:val="num" w:pos="3600"/>
        </w:tabs>
        <w:ind w:left="3600" w:hanging="360"/>
      </w:pPr>
      <w:rPr>
        <w:rFonts w:ascii="Arial" w:hAnsi="Arial" w:hint="default"/>
      </w:rPr>
    </w:lvl>
    <w:lvl w:ilvl="5" w:tplc="BCA231A4" w:tentative="1">
      <w:start w:val="1"/>
      <w:numFmt w:val="bullet"/>
      <w:lvlText w:val="•"/>
      <w:lvlJc w:val="left"/>
      <w:pPr>
        <w:tabs>
          <w:tab w:val="num" w:pos="4320"/>
        </w:tabs>
        <w:ind w:left="4320" w:hanging="360"/>
      </w:pPr>
      <w:rPr>
        <w:rFonts w:ascii="Arial" w:hAnsi="Arial" w:hint="default"/>
      </w:rPr>
    </w:lvl>
    <w:lvl w:ilvl="6" w:tplc="CF2C6158" w:tentative="1">
      <w:start w:val="1"/>
      <w:numFmt w:val="bullet"/>
      <w:lvlText w:val="•"/>
      <w:lvlJc w:val="left"/>
      <w:pPr>
        <w:tabs>
          <w:tab w:val="num" w:pos="5040"/>
        </w:tabs>
        <w:ind w:left="5040" w:hanging="360"/>
      </w:pPr>
      <w:rPr>
        <w:rFonts w:ascii="Arial" w:hAnsi="Arial" w:hint="default"/>
      </w:rPr>
    </w:lvl>
    <w:lvl w:ilvl="7" w:tplc="D4F43DFE" w:tentative="1">
      <w:start w:val="1"/>
      <w:numFmt w:val="bullet"/>
      <w:lvlText w:val="•"/>
      <w:lvlJc w:val="left"/>
      <w:pPr>
        <w:tabs>
          <w:tab w:val="num" w:pos="5760"/>
        </w:tabs>
        <w:ind w:left="5760" w:hanging="360"/>
      </w:pPr>
      <w:rPr>
        <w:rFonts w:ascii="Arial" w:hAnsi="Arial" w:hint="default"/>
      </w:rPr>
    </w:lvl>
    <w:lvl w:ilvl="8" w:tplc="C8C01492" w:tentative="1">
      <w:start w:val="1"/>
      <w:numFmt w:val="bullet"/>
      <w:lvlText w:val="•"/>
      <w:lvlJc w:val="left"/>
      <w:pPr>
        <w:tabs>
          <w:tab w:val="num" w:pos="6480"/>
        </w:tabs>
        <w:ind w:left="6480" w:hanging="360"/>
      </w:pPr>
      <w:rPr>
        <w:rFonts w:ascii="Arial" w:hAnsi="Arial" w:hint="default"/>
      </w:rPr>
    </w:lvl>
  </w:abstractNum>
  <w:abstractNum w:abstractNumId="1">
    <w:nsid w:val="05C91A77"/>
    <w:multiLevelType w:val="hybridMultilevel"/>
    <w:tmpl w:val="D8D2AD5E"/>
    <w:lvl w:ilvl="0" w:tplc="9426D9BA">
      <w:start w:val="1"/>
      <w:numFmt w:val="bullet"/>
      <w:lvlText w:val="•"/>
      <w:lvlJc w:val="left"/>
      <w:pPr>
        <w:tabs>
          <w:tab w:val="num" w:pos="720"/>
        </w:tabs>
        <w:ind w:left="720" w:hanging="360"/>
      </w:pPr>
      <w:rPr>
        <w:rFonts w:ascii="Arial" w:hAnsi="Arial" w:hint="default"/>
      </w:rPr>
    </w:lvl>
    <w:lvl w:ilvl="1" w:tplc="3D6A615E" w:tentative="1">
      <w:start w:val="1"/>
      <w:numFmt w:val="bullet"/>
      <w:lvlText w:val="•"/>
      <w:lvlJc w:val="left"/>
      <w:pPr>
        <w:tabs>
          <w:tab w:val="num" w:pos="1440"/>
        </w:tabs>
        <w:ind w:left="1440" w:hanging="360"/>
      </w:pPr>
      <w:rPr>
        <w:rFonts w:ascii="Arial" w:hAnsi="Arial" w:hint="default"/>
      </w:rPr>
    </w:lvl>
    <w:lvl w:ilvl="2" w:tplc="B9C0ABA8" w:tentative="1">
      <w:start w:val="1"/>
      <w:numFmt w:val="bullet"/>
      <w:lvlText w:val="•"/>
      <w:lvlJc w:val="left"/>
      <w:pPr>
        <w:tabs>
          <w:tab w:val="num" w:pos="2160"/>
        </w:tabs>
        <w:ind w:left="2160" w:hanging="360"/>
      </w:pPr>
      <w:rPr>
        <w:rFonts w:ascii="Arial" w:hAnsi="Arial" w:hint="default"/>
      </w:rPr>
    </w:lvl>
    <w:lvl w:ilvl="3" w:tplc="BB624074" w:tentative="1">
      <w:start w:val="1"/>
      <w:numFmt w:val="bullet"/>
      <w:lvlText w:val="•"/>
      <w:lvlJc w:val="left"/>
      <w:pPr>
        <w:tabs>
          <w:tab w:val="num" w:pos="2880"/>
        </w:tabs>
        <w:ind w:left="2880" w:hanging="360"/>
      </w:pPr>
      <w:rPr>
        <w:rFonts w:ascii="Arial" w:hAnsi="Arial" w:hint="default"/>
      </w:rPr>
    </w:lvl>
    <w:lvl w:ilvl="4" w:tplc="0F80E65A" w:tentative="1">
      <w:start w:val="1"/>
      <w:numFmt w:val="bullet"/>
      <w:lvlText w:val="•"/>
      <w:lvlJc w:val="left"/>
      <w:pPr>
        <w:tabs>
          <w:tab w:val="num" w:pos="3600"/>
        </w:tabs>
        <w:ind w:left="3600" w:hanging="360"/>
      </w:pPr>
      <w:rPr>
        <w:rFonts w:ascii="Arial" w:hAnsi="Arial" w:hint="default"/>
      </w:rPr>
    </w:lvl>
    <w:lvl w:ilvl="5" w:tplc="C2863908" w:tentative="1">
      <w:start w:val="1"/>
      <w:numFmt w:val="bullet"/>
      <w:lvlText w:val="•"/>
      <w:lvlJc w:val="left"/>
      <w:pPr>
        <w:tabs>
          <w:tab w:val="num" w:pos="4320"/>
        </w:tabs>
        <w:ind w:left="4320" w:hanging="360"/>
      </w:pPr>
      <w:rPr>
        <w:rFonts w:ascii="Arial" w:hAnsi="Arial" w:hint="default"/>
      </w:rPr>
    </w:lvl>
    <w:lvl w:ilvl="6" w:tplc="6874C9F0" w:tentative="1">
      <w:start w:val="1"/>
      <w:numFmt w:val="bullet"/>
      <w:lvlText w:val="•"/>
      <w:lvlJc w:val="left"/>
      <w:pPr>
        <w:tabs>
          <w:tab w:val="num" w:pos="5040"/>
        </w:tabs>
        <w:ind w:left="5040" w:hanging="360"/>
      </w:pPr>
      <w:rPr>
        <w:rFonts w:ascii="Arial" w:hAnsi="Arial" w:hint="default"/>
      </w:rPr>
    </w:lvl>
    <w:lvl w:ilvl="7" w:tplc="86BC47D4" w:tentative="1">
      <w:start w:val="1"/>
      <w:numFmt w:val="bullet"/>
      <w:lvlText w:val="•"/>
      <w:lvlJc w:val="left"/>
      <w:pPr>
        <w:tabs>
          <w:tab w:val="num" w:pos="5760"/>
        </w:tabs>
        <w:ind w:left="5760" w:hanging="360"/>
      </w:pPr>
      <w:rPr>
        <w:rFonts w:ascii="Arial" w:hAnsi="Arial" w:hint="default"/>
      </w:rPr>
    </w:lvl>
    <w:lvl w:ilvl="8" w:tplc="FC641AE2" w:tentative="1">
      <w:start w:val="1"/>
      <w:numFmt w:val="bullet"/>
      <w:lvlText w:val="•"/>
      <w:lvlJc w:val="left"/>
      <w:pPr>
        <w:tabs>
          <w:tab w:val="num" w:pos="6480"/>
        </w:tabs>
        <w:ind w:left="6480" w:hanging="360"/>
      </w:pPr>
      <w:rPr>
        <w:rFonts w:ascii="Arial" w:hAnsi="Arial" w:hint="default"/>
      </w:rPr>
    </w:lvl>
  </w:abstractNum>
  <w:abstractNum w:abstractNumId="2">
    <w:nsid w:val="065A5826"/>
    <w:multiLevelType w:val="hybridMultilevel"/>
    <w:tmpl w:val="C994C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1669D3"/>
    <w:multiLevelType w:val="hybridMultilevel"/>
    <w:tmpl w:val="155CCE6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A0561CF"/>
    <w:multiLevelType w:val="hybridMultilevel"/>
    <w:tmpl w:val="A6C2F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3327B"/>
    <w:multiLevelType w:val="hybridMultilevel"/>
    <w:tmpl w:val="B436F1DA"/>
    <w:lvl w:ilvl="0" w:tplc="FBB010BA">
      <w:start w:val="1"/>
      <w:numFmt w:val="bullet"/>
      <w:lvlText w:val="•"/>
      <w:lvlJc w:val="left"/>
      <w:pPr>
        <w:tabs>
          <w:tab w:val="num" w:pos="720"/>
        </w:tabs>
        <w:ind w:left="720" w:hanging="360"/>
      </w:pPr>
      <w:rPr>
        <w:rFonts w:ascii="Arial" w:hAnsi="Arial" w:hint="default"/>
      </w:rPr>
    </w:lvl>
    <w:lvl w:ilvl="1" w:tplc="1D0E1F1E" w:tentative="1">
      <w:start w:val="1"/>
      <w:numFmt w:val="bullet"/>
      <w:lvlText w:val="•"/>
      <w:lvlJc w:val="left"/>
      <w:pPr>
        <w:tabs>
          <w:tab w:val="num" w:pos="1440"/>
        </w:tabs>
        <w:ind w:left="1440" w:hanging="360"/>
      </w:pPr>
      <w:rPr>
        <w:rFonts w:ascii="Arial" w:hAnsi="Arial" w:hint="default"/>
      </w:rPr>
    </w:lvl>
    <w:lvl w:ilvl="2" w:tplc="3FD66902" w:tentative="1">
      <w:start w:val="1"/>
      <w:numFmt w:val="bullet"/>
      <w:lvlText w:val="•"/>
      <w:lvlJc w:val="left"/>
      <w:pPr>
        <w:tabs>
          <w:tab w:val="num" w:pos="2160"/>
        </w:tabs>
        <w:ind w:left="2160" w:hanging="360"/>
      </w:pPr>
      <w:rPr>
        <w:rFonts w:ascii="Arial" w:hAnsi="Arial" w:hint="default"/>
      </w:rPr>
    </w:lvl>
    <w:lvl w:ilvl="3" w:tplc="EFBED874" w:tentative="1">
      <w:start w:val="1"/>
      <w:numFmt w:val="bullet"/>
      <w:lvlText w:val="•"/>
      <w:lvlJc w:val="left"/>
      <w:pPr>
        <w:tabs>
          <w:tab w:val="num" w:pos="2880"/>
        </w:tabs>
        <w:ind w:left="2880" w:hanging="360"/>
      </w:pPr>
      <w:rPr>
        <w:rFonts w:ascii="Arial" w:hAnsi="Arial" w:hint="default"/>
      </w:rPr>
    </w:lvl>
    <w:lvl w:ilvl="4" w:tplc="540EF6C8" w:tentative="1">
      <w:start w:val="1"/>
      <w:numFmt w:val="bullet"/>
      <w:lvlText w:val="•"/>
      <w:lvlJc w:val="left"/>
      <w:pPr>
        <w:tabs>
          <w:tab w:val="num" w:pos="3600"/>
        </w:tabs>
        <w:ind w:left="3600" w:hanging="360"/>
      </w:pPr>
      <w:rPr>
        <w:rFonts w:ascii="Arial" w:hAnsi="Arial" w:hint="default"/>
      </w:rPr>
    </w:lvl>
    <w:lvl w:ilvl="5" w:tplc="2048E608" w:tentative="1">
      <w:start w:val="1"/>
      <w:numFmt w:val="bullet"/>
      <w:lvlText w:val="•"/>
      <w:lvlJc w:val="left"/>
      <w:pPr>
        <w:tabs>
          <w:tab w:val="num" w:pos="4320"/>
        </w:tabs>
        <w:ind w:left="4320" w:hanging="360"/>
      </w:pPr>
      <w:rPr>
        <w:rFonts w:ascii="Arial" w:hAnsi="Arial" w:hint="default"/>
      </w:rPr>
    </w:lvl>
    <w:lvl w:ilvl="6" w:tplc="3FC86708" w:tentative="1">
      <w:start w:val="1"/>
      <w:numFmt w:val="bullet"/>
      <w:lvlText w:val="•"/>
      <w:lvlJc w:val="left"/>
      <w:pPr>
        <w:tabs>
          <w:tab w:val="num" w:pos="5040"/>
        </w:tabs>
        <w:ind w:left="5040" w:hanging="360"/>
      </w:pPr>
      <w:rPr>
        <w:rFonts w:ascii="Arial" w:hAnsi="Arial" w:hint="default"/>
      </w:rPr>
    </w:lvl>
    <w:lvl w:ilvl="7" w:tplc="07A6EB38" w:tentative="1">
      <w:start w:val="1"/>
      <w:numFmt w:val="bullet"/>
      <w:lvlText w:val="•"/>
      <w:lvlJc w:val="left"/>
      <w:pPr>
        <w:tabs>
          <w:tab w:val="num" w:pos="5760"/>
        </w:tabs>
        <w:ind w:left="5760" w:hanging="360"/>
      </w:pPr>
      <w:rPr>
        <w:rFonts w:ascii="Arial" w:hAnsi="Arial" w:hint="default"/>
      </w:rPr>
    </w:lvl>
    <w:lvl w:ilvl="8" w:tplc="6C62873C" w:tentative="1">
      <w:start w:val="1"/>
      <w:numFmt w:val="bullet"/>
      <w:lvlText w:val="•"/>
      <w:lvlJc w:val="left"/>
      <w:pPr>
        <w:tabs>
          <w:tab w:val="num" w:pos="6480"/>
        </w:tabs>
        <w:ind w:left="6480" w:hanging="360"/>
      </w:pPr>
      <w:rPr>
        <w:rFonts w:ascii="Arial" w:hAnsi="Arial" w:hint="default"/>
      </w:rPr>
    </w:lvl>
  </w:abstractNum>
  <w:abstractNum w:abstractNumId="6">
    <w:nsid w:val="1CBE60CF"/>
    <w:multiLevelType w:val="hybridMultilevel"/>
    <w:tmpl w:val="4E245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126090"/>
    <w:multiLevelType w:val="hybridMultilevel"/>
    <w:tmpl w:val="E8A6D4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A384B"/>
    <w:multiLevelType w:val="hybridMultilevel"/>
    <w:tmpl w:val="76AE9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772E9"/>
    <w:multiLevelType w:val="hybridMultilevel"/>
    <w:tmpl w:val="FEF22B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DF0B79"/>
    <w:multiLevelType w:val="hybridMultilevel"/>
    <w:tmpl w:val="9356BD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BD08DC"/>
    <w:multiLevelType w:val="hybridMultilevel"/>
    <w:tmpl w:val="CA8C0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7B11D4"/>
    <w:multiLevelType w:val="hybridMultilevel"/>
    <w:tmpl w:val="6876DD98"/>
    <w:lvl w:ilvl="0" w:tplc="8E6C5CD6">
      <w:start w:val="1"/>
      <w:numFmt w:val="bullet"/>
      <w:lvlText w:val="•"/>
      <w:lvlJc w:val="left"/>
      <w:pPr>
        <w:tabs>
          <w:tab w:val="num" w:pos="720"/>
        </w:tabs>
        <w:ind w:left="720" w:hanging="360"/>
      </w:pPr>
      <w:rPr>
        <w:rFonts w:ascii="Arial" w:hAnsi="Arial" w:hint="default"/>
      </w:rPr>
    </w:lvl>
    <w:lvl w:ilvl="1" w:tplc="1098FBB6">
      <w:start w:val="1"/>
      <w:numFmt w:val="bullet"/>
      <w:lvlText w:val="•"/>
      <w:lvlJc w:val="left"/>
      <w:pPr>
        <w:tabs>
          <w:tab w:val="num" w:pos="1440"/>
        </w:tabs>
        <w:ind w:left="1440" w:hanging="360"/>
      </w:pPr>
      <w:rPr>
        <w:rFonts w:ascii="Arial" w:hAnsi="Arial" w:hint="default"/>
      </w:rPr>
    </w:lvl>
    <w:lvl w:ilvl="2" w:tplc="2BEECCD4" w:tentative="1">
      <w:start w:val="1"/>
      <w:numFmt w:val="bullet"/>
      <w:lvlText w:val="•"/>
      <w:lvlJc w:val="left"/>
      <w:pPr>
        <w:tabs>
          <w:tab w:val="num" w:pos="2160"/>
        </w:tabs>
        <w:ind w:left="2160" w:hanging="360"/>
      </w:pPr>
      <w:rPr>
        <w:rFonts w:ascii="Arial" w:hAnsi="Arial" w:hint="default"/>
      </w:rPr>
    </w:lvl>
    <w:lvl w:ilvl="3" w:tplc="620E291E" w:tentative="1">
      <w:start w:val="1"/>
      <w:numFmt w:val="bullet"/>
      <w:lvlText w:val="•"/>
      <w:lvlJc w:val="left"/>
      <w:pPr>
        <w:tabs>
          <w:tab w:val="num" w:pos="2880"/>
        </w:tabs>
        <w:ind w:left="2880" w:hanging="360"/>
      </w:pPr>
      <w:rPr>
        <w:rFonts w:ascii="Arial" w:hAnsi="Arial" w:hint="default"/>
      </w:rPr>
    </w:lvl>
    <w:lvl w:ilvl="4" w:tplc="EABE3598" w:tentative="1">
      <w:start w:val="1"/>
      <w:numFmt w:val="bullet"/>
      <w:lvlText w:val="•"/>
      <w:lvlJc w:val="left"/>
      <w:pPr>
        <w:tabs>
          <w:tab w:val="num" w:pos="3600"/>
        </w:tabs>
        <w:ind w:left="3600" w:hanging="360"/>
      </w:pPr>
      <w:rPr>
        <w:rFonts w:ascii="Arial" w:hAnsi="Arial" w:hint="default"/>
      </w:rPr>
    </w:lvl>
    <w:lvl w:ilvl="5" w:tplc="7F3ED77C" w:tentative="1">
      <w:start w:val="1"/>
      <w:numFmt w:val="bullet"/>
      <w:lvlText w:val="•"/>
      <w:lvlJc w:val="left"/>
      <w:pPr>
        <w:tabs>
          <w:tab w:val="num" w:pos="4320"/>
        </w:tabs>
        <w:ind w:left="4320" w:hanging="360"/>
      </w:pPr>
      <w:rPr>
        <w:rFonts w:ascii="Arial" w:hAnsi="Arial" w:hint="default"/>
      </w:rPr>
    </w:lvl>
    <w:lvl w:ilvl="6" w:tplc="537AD518" w:tentative="1">
      <w:start w:val="1"/>
      <w:numFmt w:val="bullet"/>
      <w:lvlText w:val="•"/>
      <w:lvlJc w:val="left"/>
      <w:pPr>
        <w:tabs>
          <w:tab w:val="num" w:pos="5040"/>
        </w:tabs>
        <w:ind w:left="5040" w:hanging="360"/>
      </w:pPr>
      <w:rPr>
        <w:rFonts w:ascii="Arial" w:hAnsi="Arial" w:hint="default"/>
      </w:rPr>
    </w:lvl>
    <w:lvl w:ilvl="7" w:tplc="B32C18F2" w:tentative="1">
      <w:start w:val="1"/>
      <w:numFmt w:val="bullet"/>
      <w:lvlText w:val="•"/>
      <w:lvlJc w:val="left"/>
      <w:pPr>
        <w:tabs>
          <w:tab w:val="num" w:pos="5760"/>
        </w:tabs>
        <w:ind w:left="5760" w:hanging="360"/>
      </w:pPr>
      <w:rPr>
        <w:rFonts w:ascii="Arial" w:hAnsi="Arial" w:hint="default"/>
      </w:rPr>
    </w:lvl>
    <w:lvl w:ilvl="8" w:tplc="6F8A95DC" w:tentative="1">
      <w:start w:val="1"/>
      <w:numFmt w:val="bullet"/>
      <w:lvlText w:val="•"/>
      <w:lvlJc w:val="left"/>
      <w:pPr>
        <w:tabs>
          <w:tab w:val="num" w:pos="6480"/>
        </w:tabs>
        <w:ind w:left="6480" w:hanging="360"/>
      </w:pPr>
      <w:rPr>
        <w:rFonts w:ascii="Arial" w:hAnsi="Arial" w:hint="default"/>
      </w:rPr>
    </w:lvl>
  </w:abstractNum>
  <w:abstractNum w:abstractNumId="13">
    <w:nsid w:val="2CF44274"/>
    <w:multiLevelType w:val="hybridMultilevel"/>
    <w:tmpl w:val="AA6691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FBB4395"/>
    <w:multiLevelType w:val="hybridMultilevel"/>
    <w:tmpl w:val="B6789DA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nsid w:val="32F6533B"/>
    <w:multiLevelType w:val="hybridMultilevel"/>
    <w:tmpl w:val="94388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254F71"/>
    <w:multiLevelType w:val="hybridMultilevel"/>
    <w:tmpl w:val="872E7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46304D"/>
    <w:multiLevelType w:val="hybridMultilevel"/>
    <w:tmpl w:val="53EE4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800FA"/>
    <w:multiLevelType w:val="hybridMultilevel"/>
    <w:tmpl w:val="4FF60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F276F"/>
    <w:multiLevelType w:val="hybridMultilevel"/>
    <w:tmpl w:val="A28E9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503A17"/>
    <w:multiLevelType w:val="hybridMultilevel"/>
    <w:tmpl w:val="9036E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4C6685"/>
    <w:multiLevelType w:val="hybridMultilevel"/>
    <w:tmpl w:val="7D522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A92463"/>
    <w:multiLevelType w:val="hybridMultilevel"/>
    <w:tmpl w:val="4F746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BE2FB7"/>
    <w:multiLevelType w:val="hybridMultilevel"/>
    <w:tmpl w:val="694E2B5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440065BA"/>
    <w:multiLevelType w:val="hybridMultilevel"/>
    <w:tmpl w:val="B2B6A4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7901D67"/>
    <w:multiLevelType w:val="hybridMultilevel"/>
    <w:tmpl w:val="7BC46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BB06D36"/>
    <w:multiLevelType w:val="hybridMultilevel"/>
    <w:tmpl w:val="1D8AA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D22554D"/>
    <w:multiLevelType w:val="hybridMultilevel"/>
    <w:tmpl w:val="7E588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12C4F00"/>
    <w:multiLevelType w:val="hybridMultilevel"/>
    <w:tmpl w:val="8E9A216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9073586"/>
    <w:multiLevelType w:val="hybridMultilevel"/>
    <w:tmpl w:val="4A00335E"/>
    <w:lvl w:ilvl="0" w:tplc="1302B314">
      <w:start w:val="1"/>
      <w:numFmt w:val="bullet"/>
      <w:lvlText w:val="•"/>
      <w:lvlJc w:val="left"/>
      <w:pPr>
        <w:tabs>
          <w:tab w:val="num" w:pos="720"/>
        </w:tabs>
        <w:ind w:left="720" w:hanging="360"/>
      </w:pPr>
      <w:rPr>
        <w:rFonts w:ascii="Arial" w:hAnsi="Arial" w:hint="default"/>
      </w:rPr>
    </w:lvl>
    <w:lvl w:ilvl="1" w:tplc="9BAA3B3C" w:tentative="1">
      <w:start w:val="1"/>
      <w:numFmt w:val="bullet"/>
      <w:lvlText w:val="•"/>
      <w:lvlJc w:val="left"/>
      <w:pPr>
        <w:tabs>
          <w:tab w:val="num" w:pos="1440"/>
        </w:tabs>
        <w:ind w:left="1440" w:hanging="360"/>
      </w:pPr>
      <w:rPr>
        <w:rFonts w:ascii="Arial" w:hAnsi="Arial" w:hint="default"/>
      </w:rPr>
    </w:lvl>
    <w:lvl w:ilvl="2" w:tplc="C48E1A52" w:tentative="1">
      <w:start w:val="1"/>
      <w:numFmt w:val="bullet"/>
      <w:lvlText w:val="•"/>
      <w:lvlJc w:val="left"/>
      <w:pPr>
        <w:tabs>
          <w:tab w:val="num" w:pos="2160"/>
        </w:tabs>
        <w:ind w:left="2160" w:hanging="360"/>
      </w:pPr>
      <w:rPr>
        <w:rFonts w:ascii="Arial" w:hAnsi="Arial" w:hint="default"/>
      </w:rPr>
    </w:lvl>
    <w:lvl w:ilvl="3" w:tplc="089EF93E" w:tentative="1">
      <w:start w:val="1"/>
      <w:numFmt w:val="bullet"/>
      <w:lvlText w:val="•"/>
      <w:lvlJc w:val="left"/>
      <w:pPr>
        <w:tabs>
          <w:tab w:val="num" w:pos="2880"/>
        </w:tabs>
        <w:ind w:left="2880" w:hanging="360"/>
      </w:pPr>
      <w:rPr>
        <w:rFonts w:ascii="Arial" w:hAnsi="Arial" w:hint="default"/>
      </w:rPr>
    </w:lvl>
    <w:lvl w:ilvl="4" w:tplc="454A8D68" w:tentative="1">
      <w:start w:val="1"/>
      <w:numFmt w:val="bullet"/>
      <w:lvlText w:val="•"/>
      <w:lvlJc w:val="left"/>
      <w:pPr>
        <w:tabs>
          <w:tab w:val="num" w:pos="3600"/>
        </w:tabs>
        <w:ind w:left="3600" w:hanging="360"/>
      </w:pPr>
      <w:rPr>
        <w:rFonts w:ascii="Arial" w:hAnsi="Arial" w:hint="default"/>
      </w:rPr>
    </w:lvl>
    <w:lvl w:ilvl="5" w:tplc="3A566DFE" w:tentative="1">
      <w:start w:val="1"/>
      <w:numFmt w:val="bullet"/>
      <w:lvlText w:val="•"/>
      <w:lvlJc w:val="left"/>
      <w:pPr>
        <w:tabs>
          <w:tab w:val="num" w:pos="4320"/>
        </w:tabs>
        <w:ind w:left="4320" w:hanging="360"/>
      </w:pPr>
      <w:rPr>
        <w:rFonts w:ascii="Arial" w:hAnsi="Arial" w:hint="default"/>
      </w:rPr>
    </w:lvl>
    <w:lvl w:ilvl="6" w:tplc="1744060A" w:tentative="1">
      <w:start w:val="1"/>
      <w:numFmt w:val="bullet"/>
      <w:lvlText w:val="•"/>
      <w:lvlJc w:val="left"/>
      <w:pPr>
        <w:tabs>
          <w:tab w:val="num" w:pos="5040"/>
        </w:tabs>
        <w:ind w:left="5040" w:hanging="360"/>
      </w:pPr>
      <w:rPr>
        <w:rFonts w:ascii="Arial" w:hAnsi="Arial" w:hint="default"/>
      </w:rPr>
    </w:lvl>
    <w:lvl w:ilvl="7" w:tplc="2B42FEF0" w:tentative="1">
      <w:start w:val="1"/>
      <w:numFmt w:val="bullet"/>
      <w:lvlText w:val="•"/>
      <w:lvlJc w:val="left"/>
      <w:pPr>
        <w:tabs>
          <w:tab w:val="num" w:pos="5760"/>
        </w:tabs>
        <w:ind w:left="5760" w:hanging="360"/>
      </w:pPr>
      <w:rPr>
        <w:rFonts w:ascii="Arial" w:hAnsi="Arial" w:hint="default"/>
      </w:rPr>
    </w:lvl>
    <w:lvl w:ilvl="8" w:tplc="0748D9C4" w:tentative="1">
      <w:start w:val="1"/>
      <w:numFmt w:val="bullet"/>
      <w:lvlText w:val="•"/>
      <w:lvlJc w:val="left"/>
      <w:pPr>
        <w:tabs>
          <w:tab w:val="num" w:pos="6480"/>
        </w:tabs>
        <w:ind w:left="6480" w:hanging="360"/>
      </w:pPr>
      <w:rPr>
        <w:rFonts w:ascii="Arial" w:hAnsi="Arial" w:hint="default"/>
      </w:rPr>
    </w:lvl>
  </w:abstractNum>
  <w:abstractNum w:abstractNumId="30">
    <w:nsid w:val="5916690E"/>
    <w:multiLevelType w:val="hybridMultilevel"/>
    <w:tmpl w:val="39527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570995"/>
    <w:multiLevelType w:val="hybridMultilevel"/>
    <w:tmpl w:val="A54CE6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CF1484D"/>
    <w:multiLevelType w:val="hybridMultilevel"/>
    <w:tmpl w:val="F2A2BD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FFA3F86"/>
    <w:multiLevelType w:val="hybridMultilevel"/>
    <w:tmpl w:val="5CAA5D4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nsid w:val="623D0F5D"/>
    <w:multiLevelType w:val="hybridMultilevel"/>
    <w:tmpl w:val="3E3AC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3B86725"/>
    <w:multiLevelType w:val="hybridMultilevel"/>
    <w:tmpl w:val="97C6E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6B7DD7"/>
    <w:multiLevelType w:val="hybridMultilevel"/>
    <w:tmpl w:val="EE5CD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0861C11"/>
    <w:multiLevelType w:val="hybridMultilevel"/>
    <w:tmpl w:val="D600584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38C1126"/>
    <w:multiLevelType w:val="hybridMultilevel"/>
    <w:tmpl w:val="2EC6C226"/>
    <w:lvl w:ilvl="0" w:tplc="DFC636C8">
      <w:start w:val="1"/>
      <w:numFmt w:val="bullet"/>
      <w:lvlText w:val="•"/>
      <w:lvlJc w:val="left"/>
      <w:pPr>
        <w:tabs>
          <w:tab w:val="num" w:pos="720"/>
        </w:tabs>
        <w:ind w:left="720" w:hanging="360"/>
      </w:pPr>
      <w:rPr>
        <w:rFonts w:ascii="Arial" w:hAnsi="Arial" w:hint="default"/>
      </w:rPr>
    </w:lvl>
    <w:lvl w:ilvl="1" w:tplc="F4202ED6" w:tentative="1">
      <w:start w:val="1"/>
      <w:numFmt w:val="bullet"/>
      <w:lvlText w:val="•"/>
      <w:lvlJc w:val="left"/>
      <w:pPr>
        <w:tabs>
          <w:tab w:val="num" w:pos="1440"/>
        </w:tabs>
        <w:ind w:left="1440" w:hanging="360"/>
      </w:pPr>
      <w:rPr>
        <w:rFonts w:ascii="Arial" w:hAnsi="Arial" w:hint="default"/>
      </w:rPr>
    </w:lvl>
    <w:lvl w:ilvl="2" w:tplc="101C6700" w:tentative="1">
      <w:start w:val="1"/>
      <w:numFmt w:val="bullet"/>
      <w:lvlText w:val="•"/>
      <w:lvlJc w:val="left"/>
      <w:pPr>
        <w:tabs>
          <w:tab w:val="num" w:pos="2160"/>
        </w:tabs>
        <w:ind w:left="2160" w:hanging="360"/>
      </w:pPr>
      <w:rPr>
        <w:rFonts w:ascii="Arial" w:hAnsi="Arial" w:hint="default"/>
      </w:rPr>
    </w:lvl>
    <w:lvl w:ilvl="3" w:tplc="E8CC6C0A" w:tentative="1">
      <w:start w:val="1"/>
      <w:numFmt w:val="bullet"/>
      <w:lvlText w:val="•"/>
      <w:lvlJc w:val="left"/>
      <w:pPr>
        <w:tabs>
          <w:tab w:val="num" w:pos="2880"/>
        </w:tabs>
        <w:ind w:left="2880" w:hanging="360"/>
      </w:pPr>
      <w:rPr>
        <w:rFonts w:ascii="Arial" w:hAnsi="Arial" w:hint="default"/>
      </w:rPr>
    </w:lvl>
    <w:lvl w:ilvl="4" w:tplc="1EDAE3FA" w:tentative="1">
      <w:start w:val="1"/>
      <w:numFmt w:val="bullet"/>
      <w:lvlText w:val="•"/>
      <w:lvlJc w:val="left"/>
      <w:pPr>
        <w:tabs>
          <w:tab w:val="num" w:pos="3600"/>
        </w:tabs>
        <w:ind w:left="3600" w:hanging="360"/>
      </w:pPr>
      <w:rPr>
        <w:rFonts w:ascii="Arial" w:hAnsi="Arial" w:hint="default"/>
      </w:rPr>
    </w:lvl>
    <w:lvl w:ilvl="5" w:tplc="9E40AEA4" w:tentative="1">
      <w:start w:val="1"/>
      <w:numFmt w:val="bullet"/>
      <w:lvlText w:val="•"/>
      <w:lvlJc w:val="left"/>
      <w:pPr>
        <w:tabs>
          <w:tab w:val="num" w:pos="4320"/>
        </w:tabs>
        <w:ind w:left="4320" w:hanging="360"/>
      </w:pPr>
      <w:rPr>
        <w:rFonts w:ascii="Arial" w:hAnsi="Arial" w:hint="default"/>
      </w:rPr>
    </w:lvl>
    <w:lvl w:ilvl="6" w:tplc="5C1E757C" w:tentative="1">
      <w:start w:val="1"/>
      <w:numFmt w:val="bullet"/>
      <w:lvlText w:val="•"/>
      <w:lvlJc w:val="left"/>
      <w:pPr>
        <w:tabs>
          <w:tab w:val="num" w:pos="5040"/>
        </w:tabs>
        <w:ind w:left="5040" w:hanging="360"/>
      </w:pPr>
      <w:rPr>
        <w:rFonts w:ascii="Arial" w:hAnsi="Arial" w:hint="default"/>
      </w:rPr>
    </w:lvl>
    <w:lvl w:ilvl="7" w:tplc="8E2CD468" w:tentative="1">
      <w:start w:val="1"/>
      <w:numFmt w:val="bullet"/>
      <w:lvlText w:val="•"/>
      <w:lvlJc w:val="left"/>
      <w:pPr>
        <w:tabs>
          <w:tab w:val="num" w:pos="5760"/>
        </w:tabs>
        <w:ind w:left="5760" w:hanging="360"/>
      </w:pPr>
      <w:rPr>
        <w:rFonts w:ascii="Arial" w:hAnsi="Arial" w:hint="default"/>
      </w:rPr>
    </w:lvl>
    <w:lvl w:ilvl="8" w:tplc="48AED206" w:tentative="1">
      <w:start w:val="1"/>
      <w:numFmt w:val="bullet"/>
      <w:lvlText w:val="•"/>
      <w:lvlJc w:val="left"/>
      <w:pPr>
        <w:tabs>
          <w:tab w:val="num" w:pos="6480"/>
        </w:tabs>
        <w:ind w:left="6480" w:hanging="360"/>
      </w:pPr>
      <w:rPr>
        <w:rFonts w:ascii="Arial" w:hAnsi="Arial" w:hint="default"/>
      </w:rPr>
    </w:lvl>
  </w:abstractNum>
  <w:abstractNum w:abstractNumId="39">
    <w:nsid w:val="78047520"/>
    <w:multiLevelType w:val="hybridMultilevel"/>
    <w:tmpl w:val="3886F8D8"/>
    <w:lvl w:ilvl="0" w:tplc="127682A2">
      <w:start w:val="1"/>
      <w:numFmt w:val="bullet"/>
      <w:lvlText w:val="•"/>
      <w:lvlJc w:val="left"/>
      <w:pPr>
        <w:tabs>
          <w:tab w:val="num" w:pos="720"/>
        </w:tabs>
        <w:ind w:left="720" w:hanging="360"/>
      </w:pPr>
      <w:rPr>
        <w:rFonts w:ascii="Arial" w:hAnsi="Arial" w:hint="default"/>
      </w:rPr>
    </w:lvl>
    <w:lvl w:ilvl="1" w:tplc="F946785E" w:tentative="1">
      <w:start w:val="1"/>
      <w:numFmt w:val="bullet"/>
      <w:lvlText w:val="•"/>
      <w:lvlJc w:val="left"/>
      <w:pPr>
        <w:tabs>
          <w:tab w:val="num" w:pos="1440"/>
        </w:tabs>
        <w:ind w:left="1440" w:hanging="360"/>
      </w:pPr>
      <w:rPr>
        <w:rFonts w:ascii="Arial" w:hAnsi="Arial" w:hint="default"/>
      </w:rPr>
    </w:lvl>
    <w:lvl w:ilvl="2" w:tplc="1B4ED64E" w:tentative="1">
      <w:start w:val="1"/>
      <w:numFmt w:val="bullet"/>
      <w:lvlText w:val="•"/>
      <w:lvlJc w:val="left"/>
      <w:pPr>
        <w:tabs>
          <w:tab w:val="num" w:pos="2160"/>
        </w:tabs>
        <w:ind w:left="2160" w:hanging="360"/>
      </w:pPr>
      <w:rPr>
        <w:rFonts w:ascii="Arial" w:hAnsi="Arial" w:hint="default"/>
      </w:rPr>
    </w:lvl>
    <w:lvl w:ilvl="3" w:tplc="06FAEEC6" w:tentative="1">
      <w:start w:val="1"/>
      <w:numFmt w:val="bullet"/>
      <w:lvlText w:val="•"/>
      <w:lvlJc w:val="left"/>
      <w:pPr>
        <w:tabs>
          <w:tab w:val="num" w:pos="2880"/>
        </w:tabs>
        <w:ind w:left="2880" w:hanging="360"/>
      </w:pPr>
      <w:rPr>
        <w:rFonts w:ascii="Arial" w:hAnsi="Arial" w:hint="default"/>
      </w:rPr>
    </w:lvl>
    <w:lvl w:ilvl="4" w:tplc="C65077B0" w:tentative="1">
      <w:start w:val="1"/>
      <w:numFmt w:val="bullet"/>
      <w:lvlText w:val="•"/>
      <w:lvlJc w:val="left"/>
      <w:pPr>
        <w:tabs>
          <w:tab w:val="num" w:pos="3600"/>
        </w:tabs>
        <w:ind w:left="3600" w:hanging="360"/>
      </w:pPr>
      <w:rPr>
        <w:rFonts w:ascii="Arial" w:hAnsi="Arial" w:hint="default"/>
      </w:rPr>
    </w:lvl>
    <w:lvl w:ilvl="5" w:tplc="1570AD4A" w:tentative="1">
      <w:start w:val="1"/>
      <w:numFmt w:val="bullet"/>
      <w:lvlText w:val="•"/>
      <w:lvlJc w:val="left"/>
      <w:pPr>
        <w:tabs>
          <w:tab w:val="num" w:pos="4320"/>
        </w:tabs>
        <w:ind w:left="4320" w:hanging="360"/>
      </w:pPr>
      <w:rPr>
        <w:rFonts w:ascii="Arial" w:hAnsi="Arial" w:hint="default"/>
      </w:rPr>
    </w:lvl>
    <w:lvl w:ilvl="6" w:tplc="8D2C5576" w:tentative="1">
      <w:start w:val="1"/>
      <w:numFmt w:val="bullet"/>
      <w:lvlText w:val="•"/>
      <w:lvlJc w:val="left"/>
      <w:pPr>
        <w:tabs>
          <w:tab w:val="num" w:pos="5040"/>
        </w:tabs>
        <w:ind w:left="5040" w:hanging="360"/>
      </w:pPr>
      <w:rPr>
        <w:rFonts w:ascii="Arial" w:hAnsi="Arial" w:hint="default"/>
      </w:rPr>
    </w:lvl>
    <w:lvl w:ilvl="7" w:tplc="01B492F0" w:tentative="1">
      <w:start w:val="1"/>
      <w:numFmt w:val="bullet"/>
      <w:lvlText w:val="•"/>
      <w:lvlJc w:val="left"/>
      <w:pPr>
        <w:tabs>
          <w:tab w:val="num" w:pos="5760"/>
        </w:tabs>
        <w:ind w:left="5760" w:hanging="360"/>
      </w:pPr>
      <w:rPr>
        <w:rFonts w:ascii="Arial" w:hAnsi="Arial" w:hint="default"/>
      </w:rPr>
    </w:lvl>
    <w:lvl w:ilvl="8" w:tplc="8E2CD440" w:tentative="1">
      <w:start w:val="1"/>
      <w:numFmt w:val="bullet"/>
      <w:lvlText w:val="•"/>
      <w:lvlJc w:val="left"/>
      <w:pPr>
        <w:tabs>
          <w:tab w:val="num" w:pos="6480"/>
        </w:tabs>
        <w:ind w:left="6480" w:hanging="360"/>
      </w:pPr>
      <w:rPr>
        <w:rFonts w:ascii="Arial" w:hAnsi="Arial" w:hint="default"/>
      </w:rPr>
    </w:lvl>
  </w:abstractNum>
  <w:abstractNum w:abstractNumId="40">
    <w:nsid w:val="7DD9475B"/>
    <w:multiLevelType w:val="hybridMultilevel"/>
    <w:tmpl w:val="5BBE0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EA4314B"/>
    <w:multiLevelType w:val="hybridMultilevel"/>
    <w:tmpl w:val="8DC8C91E"/>
    <w:lvl w:ilvl="0" w:tplc="FC32AB48">
      <w:start w:val="1"/>
      <w:numFmt w:val="bullet"/>
      <w:lvlText w:val="•"/>
      <w:lvlJc w:val="left"/>
      <w:pPr>
        <w:tabs>
          <w:tab w:val="num" w:pos="720"/>
        </w:tabs>
        <w:ind w:left="720" w:hanging="360"/>
      </w:pPr>
      <w:rPr>
        <w:rFonts w:ascii="Arial" w:hAnsi="Arial" w:hint="default"/>
      </w:rPr>
    </w:lvl>
    <w:lvl w:ilvl="1" w:tplc="99C6EDC6" w:tentative="1">
      <w:start w:val="1"/>
      <w:numFmt w:val="bullet"/>
      <w:lvlText w:val="•"/>
      <w:lvlJc w:val="left"/>
      <w:pPr>
        <w:tabs>
          <w:tab w:val="num" w:pos="1440"/>
        </w:tabs>
        <w:ind w:left="1440" w:hanging="360"/>
      </w:pPr>
      <w:rPr>
        <w:rFonts w:ascii="Arial" w:hAnsi="Arial" w:hint="default"/>
      </w:rPr>
    </w:lvl>
    <w:lvl w:ilvl="2" w:tplc="65224832" w:tentative="1">
      <w:start w:val="1"/>
      <w:numFmt w:val="bullet"/>
      <w:lvlText w:val="•"/>
      <w:lvlJc w:val="left"/>
      <w:pPr>
        <w:tabs>
          <w:tab w:val="num" w:pos="2160"/>
        </w:tabs>
        <w:ind w:left="2160" w:hanging="360"/>
      </w:pPr>
      <w:rPr>
        <w:rFonts w:ascii="Arial" w:hAnsi="Arial" w:hint="default"/>
      </w:rPr>
    </w:lvl>
    <w:lvl w:ilvl="3" w:tplc="016CFE84" w:tentative="1">
      <w:start w:val="1"/>
      <w:numFmt w:val="bullet"/>
      <w:lvlText w:val="•"/>
      <w:lvlJc w:val="left"/>
      <w:pPr>
        <w:tabs>
          <w:tab w:val="num" w:pos="2880"/>
        </w:tabs>
        <w:ind w:left="2880" w:hanging="360"/>
      </w:pPr>
      <w:rPr>
        <w:rFonts w:ascii="Arial" w:hAnsi="Arial" w:hint="default"/>
      </w:rPr>
    </w:lvl>
    <w:lvl w:ilvl="4" w:tplc="CE288A4C" w:tentative="1">
      <w:start w:val="1"/>
      <w:numFmt w:val="bullet"/>
      <w:lvlText w:val="•"/>
      <w:lvlJc w:val="left"/>
      <w:pPr>
        <w:tabs>
          <w:tab w:val="num" w:pos="3600"/>
        </w:tabs>
        <w:ind w:left="3600" w:hanging="360"/>
      </w:pPr>
      <w:rPr>
        <w:rFonts w:ascii="Arial" w:hAnsi="Arial" w:hint="default"/>
      </w:rPr>
    </w:lvl>
    <w:lvl w:ilvl="5" w:tplc="2E2814BE" w:tentative="1">
      <w:start w:val="1"/>
      <w:numFmt w:val="bullet"/>
      <w:lvlText w:val="•"/>
      <w:lvlJc w:val="left"/>
      <w:pPr>
        <w:tabs>
          <w:tab w:val="num" w:pos="4320"/>
        </w:tabs>
        <w:ind w:left="4320" w:hanging="360"/>
      </w:pPr>
      <w:rPr>
        <w:rFonts w:ascii="Arial" w:hAnsi="Arial" w:hint="default"/>
      </w:rPr>
    </w:lvl>
    <w:lvl w:ilvl="6" w:tplc="015470DA" w:tentative="1">
      <w:start w:val="1"/>
      <w:numFmt w:val="bullet"/>
      <w:lvlText w:val="•"/>
      <w:lvlJc w:val="left"/>
      <w:pPr>
        <w:tabs>
          <w:tab w:val="num" w:pos="5040"/>
        </w:tabs>
        <w:ind w:left="5040" w:hanging="360"/>
      </w:pPr>
      <w:rPr>
        <w:rFonts w:ascii="Arial" w:hAnsi="Arial" w:hint="default"/>
      </w:rPr>
    </w:lvl>
    <w:lvl w:ilvl="7" w:tplc="B9A22B2C" w:tentative="1">
      <w:start w:val="1"/>
      <w:numFmt w:val="bullet"/>
      <w:lvlText w:val="•"/>
      <w:lvlJc w:val="left"/>
      <w:pPr>
        <w:tabs>
          <w:tab w:val="num" w:pos="5760"/>
        </w:tabs>
        <w:ind w:left="5760" w:hanging="360"/>
      </w:pPr>
      <w:rPr>
        <w:rFonts w:ascii="Arial" w:hAnsi="Arial" w:hint="default"/>
      </w:rPr>
    </w:lvl>
    <w:lvl w:ilvl="8" w:tplc="A600CA3A" w:tentative="1">
      <w:start w:val="1"/>
      <w:numFmt w:val="bullet"/>
      <w:lvlText w:val="•"/>
      <w:lvlJc w:val="left"/>
      <w:pPr>
        <w:tabs>
          <w:tab w:val="num" w:pos="6480"/>
        </w:tabs>
        <w:ind w:left="6480" w:hanging="360"/>
      </w:pPr>
      <w:rPr>
        <w:rFonts w:ascii="Arial" w:hAnsi="Arial" w:hint="default"/>
      </w:rPr>
    </w:lvl>
  </w:abstractNum>
  <w:num w:numId="1">
    <w:abstractNumId w:val="32"/>
  </w:num>
  <w:num w:numId="2">
    <w:abstractNumId w:val="24"/>
  </w:num>
  <w:num w:numId="3">
    <w:abstractNumId w:val="16"/>
  </w:num>
  <w:num w:numId="4">
    <w:abstractNumId w:val="9"/>
  </w:num>
  <w:num w:numId="5">
    <w:abstractNumId w:val="34"/>
  </w:num>
  <w:num w:numId="6">
    <w:abstractNumId w:val="25"/>
  </w:num>
  <w:num w:numId="7">
    <w:abstractNumId w:val="19"/>
  </w:num>
  <w:num w:numId="8">
    <w:abstractNumId w:val="7"/>
  </w:num>
  <w:num w:numId="9">
    <w:abstractNumId w:val="10"/>
  </w:num>
  <w:num w:numId="10">
    <w:abstractNumId w:val="28"/>
  </w:num>
  <w:num w:numId="11">
    <w:abstractNumId w:val="6"/>
  </w:num>
  <w:num w:numId="12">
    <w:abstractNumId w:val="27"/>
  </w:num>
  <w:num w:numId="13">
    <w:abstractNumId w:val="15"/>
  </w:num>
  <w:num w:numId="14">
    <w:abstractNumId w:val="22"/>
  </w:num>
  <w:num w:numId="15">
    <w:abstractNumId w:val="13"/>
  </w:num>
  <w:num w:numId="16">
    <w:abstractNumId w:val="33"/>
  </w:num>
  <w:num w:numId="17">
    <w:abstractNumId w:val="14"/>
  </w:num>
  <w:num w:numId="18">
    <w:abstractNumId w:val="21"/>
  </w:num>
  <w:num w:numId="19">
    <w:abstractNumId w:val="17"/>
  </w:num>
  <w:num w:numId="20">
    <w:abstractNumId w:val="20"/>
  </w:num>
  <w:num w:numId="21">
    <w:abstractNumId w:val="11"/>
  </w:num>
  <w:num w:numId="22">
    <w:abstractNumId w:val="4"/>
  </w:num>
  <w:num w:numId="23">
    <w:abstractNumId w:val="3"/>
  </w:num>
  <w:num w:numId="24">
    <w:abstractNumId w:val="23"/>
  </w:num>
  <w:num w:numId="25">
    <w:abstractNumId w:val="37"/>
  </w:num>
  <w:num w:numId="26">
    <w:abstractNumId w:val="40"/>
  </w:num>
  <w:num w:numId="27">
    <w:abstractNumId w:val="26"/>
  </w:num>
  <w:num w:numId="28">
    <w:abstractNumId w:val="8"/>
  </w:num>
  <w:num w:numId="29">
    <w:abstractNumId w:val="2"/>
  </w:num>
  <w:num w:numId="30">
    <w:abstractNumId w:val="30"/>
  </w:num>
  <w:num w:numId="31">
    <w:abstractNumId w:val="18"/>
  </w:num>
  <w:num w:numId="32">
    <w:abstractNumId w:val="31"/>
  </w:num>
  <w:num w:numId="33">
    <w:abstractNumId w:val="36"/>
  </w:num>
  <w:num w:numId="34">
    <w:abstractNumId w:val="1"/>
  </w:num>
  <w:num w:numId="35">
    <w:abstractNumId w:val="12"/>
  </w:num>
  <w:num w:numId="36">
    <w:abstractNumId w:val="0"/>
  </w:num>
  <w:num w:numId="37">
    <w:abstractNumId w:val="29"/>
  </w:num>
  <w:num w:numId="38">
    <w:abstractNumId w:val="5"/>
  </w:num>
  <w:num w:numId="39">
    <w:abstractNumId w:val="41"/>
  </w:num>
  <w:num w:numId="40">
    <w:abstractNumId w:val="39"/>
  </w:num>
  <w:num w:numId="41">
    <w:abstractNumId w:val="35"/>
  </w:num>
  <w:num w:numId="42">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qFormat="1"/>
    <w:lsdException w:name="Block Text" w:semiHidden="0" w:uiPriority="4"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3"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unhideWhenUsed/>
    <w:qFormat/>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pPr>
      <w:keepNext/>
      <w:keepLines/>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pPr>
      <w:keepNext/>
      <w:keepLines/>
      <w:outlineLvl w:val="3"/>
    </w:pPr>
    <w:rPr>
      <w:rFonts w:eastAsiaTheme="majorEastAsia" w:cstheme="majorBidi"/>
      <w:b/>
      <w:bCs/>
      <w:i/>
      <w:iCs/>
    </w:rPr>
  </w:style>
  <w:style w:type="paragraph" w:styleId="Heading5">
    <w:name w:val="heading 5"/>
    <w:basedOn w:val="Normal"/>
    <w:next w:val="Normal"/>
    <w:link w:val="Heading5Char"/>
    <w:uiPriority w:val="9"/>
    <w:unhideWhenUsed/>
    <w:pPr>
      <w:keepNext/>
      <w:keepLines/>
      <w:outlineLvl w:val="4"/>
    </w:pPr>
    <w:rPr>
      <w:rFonts w:eastAsiaTheme="majorEastAsia" w:cstheme="majorBidi"/>
    </w:rPr>
  </w:style>
  <w:style w:type="paragraph" w:styleId="Heading6">
    <w:name w:val="heading 6"/>
    <w:basedOn w:val="Normal"/>
    <w:next w:val="Normal"/>
    <w:link w:val="Heading6Char"/>
    <w:uiPriority w:val="9"/>
    <w:unhideWhenUsed/>
    <w:pPr>
      <w:keepNext/>
      <w:keepLines/>
      <w:outlineLvl w:val="5"/>
    </w:pPr>
    <w:rPr>
      <w:rFonts w:eastAsiaTheme="majorEastAsia" w:cstheme="majorBidi"/>
      <w:i/>
      <w:iCs/>
    </w:rPr>
  </w:style>
  <w:style w:type="paragraph" w:styleId="Heading7">
    <w:name w:val="heading 7"/>
    <w:basedOn w:val="Normal"/>
    <w:next w:val="Normal"/>
    <w:link w:val="Heading7Char"/>
    <w:uiPriority w:val="9"/>
    <w:unhideWhenUsed/>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pPr>
      <w:keepNext/>
      <w:keepLines/>
      <w:outlineLvl w:val="7"/>
    </w:pPr>
    <w:rPr>
      <w:rFonts w:eastAsiaTheme="majorEastAsia" w:cstheme="majorBidi"/>
      <w:sz w:val="20"/>
      <w:szCs w:val="20"/>
    </w:rPr>
  </w:style>
  <w:style w:type="paragraph" w:styleId="Heading9">
    <w:name w:val="heading 9"/>
    <w:basedOn w:val="Normal"/>
    <w:next w:val="Normal"/>
    <w:link w:val="Heading9Char"/>
    <w:uiPriority w:val="9"/>
    <w:unhideWhenUsed/>
    <w:pPr>
      <w:keepNext/>
      <w:keepLines/>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style>
  <w:style w:type="paragraph" w:styleId="BodyTextFirstIndent">
    <w:name w:val="Body Text First Indent"/>
    <w:basedOn w:val="BodyText"/>
    <w:link w:val="BodyTextFirstIndentChar"/>
    <w:uiPriority w:val="1"/>
    <w:qFormat/>
    <w:pPr>
      <w:ind w:firstLine="720"/>
    </w:pPr>
  </w:style>
  <w:style w:type="character" w:customStyle="1" w:styleId="BodyTextFirstIndentChar">
    <w:name w:val="Body Text First Indent Char"/>
    <w:basedOn w:val="BodyTextChar"/>
    <w:link w:val="BodyTextFirstIndent"/>
    <w:uiPriority w:val="1"/>
  </w:style>
  <w:style w:type="paragraph" w:styleId="BlockText">
    <w:name w:val="Block Text"/>
    <w:basedOn w:val="Normal"/>
    <w:uiPriority w:val="4"/>
    <w:pPr>
      <w:ind w:left="1152" w:right="1152"/>
    </w:pPr>
    <w:rPr>
      <w:rFonts w:eastAsiaTheme="minorEastAsia" w:cstheme="minorBidi"/>
      <w:iCs/>
    </w:rPr>
  </w:style>
  <w:style w:type="character" w:customStyle="1" w:styleId="Heading1Char">
    <w:name w:val="Heading 1 Char"/>
    <w:basedOn w:val="DefaultParagraphFont"/>
    <w:link w:val="Heading1"/>
    <w:uiPriority w:val="9"/>
    <w:rPr>
      <w:rFonts w:eastAsiaTheme="majorEastAsia" w:cstheme="majorBidi"/>
      <w:b/>
      <w:bCs/>
      <w:sz w:val="28"/>
      <w:szCs w:val="28"/>
    </w:rPr>
  </w:style>
  <w:style w:type="paragraph" w:styleId="Title">
    <w:name w:val="Title"/>
    <w:basedOn w:val="Normal"/>
    <w:next w:val="Normal"/>
    <w:link w:val="TitleChar"/>
    <w:uiPriority w:val="10"/>
    <w:unhideWhenUsed/>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Pr>
      <w:rFonts w:eastAsiaTheme="majorEastAsia" w:cstheme="majorBidi"/>
      <w:i/>
      <w:iCs/>
      <w:spacing w:val="15"/>
      <w:sz w:val="24"/>
      <w:szCs w:val="24"/>
    </w:rPr>
  </w:style>
  <w:style w:type="paragraph" w:styleId="NoSpacing">
    <w:name w:val="No Spacing"/>
    <w:uiPriority w:val="19"/>
    <w:qFormat/>
  </w:style>
  <w:style w:type="character" w:customStyle="1" w:styleId="Heading2Char">
    <w:name w:val="Heading 2 Char"/>
    <w:basedOn w:val="DefaultParagraphFont"/>
    <w:link w:val="Heading2"/>
    <w:uiPriority w:val="9"/>
    <w:rPr>
      <w:rFonts w:eastAsiaTheme="majorEastAsia" w:cstheme="majorBidi"/>
      <w:b/>
      <w:bCs/>
      <w:sz w:val="26"/>
      <w:szCs w:val="26"/>
    </w:r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rPr>
      <w:rFonts w:eastAsiaTheme="majorEastAsia" w:cstheme="majorBidi"/>
      <w:b/>
      <w:bCs/>
      <w: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
      <w:iCs/>
    </w:rPr>
  </w:style>
  <w:style w:type="character" w:customStyle="1" w:styleId="Heading7Char">
    <w:name w:val="Heading 7 Char"/>
    <w:basedOn w:val="DefaultParagraphFont"/>
    <w:link w:val="Heading7"/>
    <w:uiPriority w:val="9"/>
    <w:rPr>
      <w:rFonts w:eastAsiaTheme="majorEastAsia" w:cstheme="majorBidi"/>
      <w:i/>
      <w:iCs/>
    </w:rPr>
  </w:style>
  <w:style w:type="character" w:customStyle="1" w:styleId="Heading8Char">
    <w:name w:val="Heading 8 Char"/>
    <w:basedOn w:val="DefaultParagraphFont"/>
    <w:link w:val="Heading8"/>
    <w:uiPriority w:val="9"/>
    <w:rPr>
      <w:rFonts w:eastAsiaTheme="majorEastAsia" w:cstheme="majorBidi"/>
      <w:sz w:val="20"/>
      <w:szCs w:val="20"/>
    </w:rPr>
  </w:style>
  <w:style w:type="character" w:customStyle="1" w:styleId="Heading9Char">
    <w:name w:val="Heading 9 Char"/>
    <w:basedOn w:val="DefaultParagraphFont"/>
    <w:link w:val="Heading9"/>
    <w:uiPriority w:val="9"/>
    <w:rPr>
      <w:rFonts w:eastAsiaTheme="majorEastAsia" w:cstheme="majorBidi"/>
      <w:i/>
      <w:iCs/>
      <w:sz w:val="20"/>
      <w:szCs w:val="20"/>
    </w:r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qFormat="1"/>
    <w:lsdException w:name="Block Text" w:semiHidden="0" w:uiPriority="4"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3"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unhideWhenUsed/>
    <w:qFormat/>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pPr>
      <w:keepNext/>
      <w:keepLines/>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pPr>
      <w:keepNext/>
      <w:keepLines/>
      <w:outlineLvl w:val="3"/>
    </w:pPr>
    <w:rPr>
      <w:rFonts w:eastAsiaTheme="majorEastAsia" w:cstheme="majorBidi"/>
      <w:b/>
      <w:bCs/>
      <w:i/>
      <w:iCs/>
    </w:rPr>
  </w:style>
  <w:style w:type="paragraph" w:styleId="Heading5">
    <w:name w:val="heading 5"/>
    <w:basedOn w:val="Normal"/>
    <w:next w:val="Normal"/>
    <w:link w:val="Heading5Char"/>
    <w:uiPriority w:val="9"/>
    <w:unhideWhenUsed/>
    <w:pPr>
      <w:keepNext/>
      <w:keepLines/>
      <w:outlineLvl w:val="4"/>
    </w:pPr>
    <w:rPr>
      <w:rFonts w:eastAsiaTheme="majorEastAsia" w:cstheme="majorBidi"/>
    </w:rPr>
  </w:style>
  <w:style w:type="paragraph" w:styleId="Heading6">
    <w:name w:val="heading 6"/>
    <w:basedOn w:val="Normal"/>
    <w:next w:val="Normal"/>
    <w:link w:val="Heading6Char"/>
    <w:uiPriority w:val="9"/>
    <w:unhideWhenUsed/>
    <w:pPr>
      <w:keepNext/>
      <w:keepLines/>
      <w:outlineLvl w:val="5"/>
    </w:pPr>
    <w:rPr>
      <w:rFonts w:eastAsiaTheme="majorEastAsia" w:cstheme="majorBidi"/>
      <w:i/>
      <w:iCs/>
    </w:rPr>
  </w:style>
  <w:style w:type="paragraph" w:styleId="Heading7">
    <w:name w:val="heading 7"/>
    <w:basedOn w:val="Normal"/>
    <w:next w:val="Normal"/>
    <w:link w:val="Heading7Char"/>
    <w:uiPriority w:val="9"/>
    <w:unhideWhenUsed/>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pPr>
      <w:keepNext/>
      <w:keepLines/>
      <w:outlineLvl w:val="7"/>
    </w:pPr>
    <w:rPr>
      <w:rFonts w:eastAsiaTheme="majorEastAsia" w:cstheme="majorBidi"/>
      <w:sz w:val="20"/>
      <w:szCs w:val="20"/>
    </w:rPr>
  </w:style>
  <w:style w:type="paragraph" w:styleId="Heading9">
    <w:name w:val="heading 9"/>
    <w:basedOn w:val="Normal"/>
    <w:next w:val="Normal"/>
    <w:link w:val="Heading9Char"/>
    <w:uiPriority w:val="9"/>
    <w:unhideWhenUsed/>
    <w:pPr>
      <w:keepNext/>
      <w:keepLines/>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style>
  <w:style w:type="paragraph" w:styleId="BodyTextFirstIndent">
    <w:name w:val="Body Text First Indent"/>
    <w:basedOn w:val="BodyText"/>
    <w:link w:val="BodyTextFirstIndentChar"/>
    <w:uiPriority w:val="1"/>
    <w:qFormat/>
    <w:pPr>
      <w:ind w:firstLine="720"/>
    </w:pPr>
  </w:style>
  <w:style w:type="character" w:customStyle="1" w:styleId="BodyTextFirstIndentChar">
    <w:name w:val="Body Text First Indent Char"/>
    <w:basedOn w:val="BodyTextChar"/>
    <w:link w:val="BodyTextFirstIndent"/>
    <w:uiPriority w:val="1"/>
  </w:style>
  <w:style w:type="paragraph" w:styleId="BlockText">
    <w:name w:val="Block Text"/>
    <w:basedOn w:val="Normal"/>
    <w:uiPriority w:val="4"/>
    <w:pPr>
      <w:ind w:left="1152" w:right="1152"/>
    </w:pPr>
    <w:rPr>
      <w:rFonts w:eastAsiaTheme="minorEastAsia" w:cstheme="minorBidi"/>
      <w:iCs/>
    </w:rPr>
  </w:style>
  <w:style w:type="character" w:customStyle="1" w:styleId="Heading1Char">
    <w:name w:val="Heading 1 Char"/>
    <w:basedOn w:val="DefaultParagraphFont"/>
    <w:link w:val="Heading1"/>
    <w:uiPriority w:val="9"/>
    <w:rPr>
      <w:rFonts w:eastAsiaTheme="majorEastAsia" w:cstheme="majorBidi"/>
      <w:b/>
      <w:bCs/>
      <w:sz w:val="28"/>
      <w:szCs w:val="28"/>
    </w:rPr>
  </w:style>
  <w:style w:type="paragraph" w:styleId="Title">
    <w:name w:val="Title"/>
    <w:basedOn w:val="Normal"/>
    <w:next w:val="Normal"/>
    <w:link w:val="TitleChar"/>
    <w:uiPriority w:val="10"/>
    <w:unhideWhenUsed/>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Pr>
      <w:rFonts w:eastAsiaTheme="majorEastAsia" w:cstheme="majorBidi"/>
      <w:i/>
      <w:iCs/>
      <w:spacing w:val="15"/>
      <w:sz w:val="24"/>
      <w:szCs w:val="24"/>
    </w:rPr>
  </w:style>
  <w:style w:type="paragraph" w:styleId="NoSpacing">
    <w:name w:val="No Spacing"/>
    <w:uiPriority w:val="19"/>
    <w:qFormat/>
  </w:style>
  <w:style w:type="character" w:customStyle="1" w:styleId="Heading2Char">
    <w:name w:val="Heading 2 Char"/>
    <w:basedOn w:val="DefaultParagraphFont"/>
    <w:link w:val="Heading2"/>
    <w:uiPriority w:val="9"/>
    <w:rPr>
      <w:rFonts w:eastAsiaTheme="majorEastAsia" w:cstheme="majorBidi"/>
      <w:b/>
      <w:bCs/>
      <w:sz w:val="26"/>
      <w:szCs w:val="26"/>
    </w:r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rPr>
      <w:rFonts w:eastAsiaTheme="majorEastAsia" w:cstheme="majorBidi"/>
      <w:b/>
      <w:bCs/>
      <w: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
      <w:iCs/>
    </w:rPr>
  </w:style>
  <w:style w:type="character" w:customStyle="1" w:styleId="Heading7Char">
    <w:name w:val="Heading 7 Char"/>
    <w:basedOn w:val="DefaultParagraphFont"/>
    <w:link w:val="Heading7"/>
    <w:uiPriority w:val="9"/>
    <w:rPr>
      <w:rFonts w:eastAsiaTheme="majorEastAsia" w:cstheme="majorBidi"/>
      <w:i/>
      <w:iCs/>
    </w:rPr>
  </w:style>
  <w:style w:type="character" w:customStyle="1" w:styleId="Heading8Char">
    <w:name w:val="Heading 8 Char"/>
    <w:basedOn w:val="DefaultParagraphFont"/>
    <w:link w:val="Heading8"/>
    <w:uiPriority w:val="9"/>
    <w:rPr>
      <w:rFonts w:eastAsiaTheme="majorEastAsia" w:cstheme="majorBidi"/>
      <w:sz w:val="20"/>
      <w:szCs w:val="20"/>
    </w:rPr>
  </w:style>
  <w:style w:type="character" w:customStyle="1" w:styleId="Heading9Char">
    <w:name w:val="Heading 9 Char"/>
    <w:basedOn w:val="DefaultParagraphFont"/>
    <w:link w:val="Heading9"/>
    <w:uiPriority w:val="9"/>
    <w:rPr>
      <w:rFonts w:eastAsiaTheme="majorEastAsia" w:cstheme="majorBidi"/>
      <w:i/>
      <w:iCs/>
      <w:sz w:val="20"/>
      <w:szCs w:val="20"/>
    </w:r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63024">
      <w:bodyDiv w:val="1"/>
      <w:marLeft w:val="0"/>
      <w:marRight w:val="0"/>
      <w:marTop w:val="0"/>
      <w:marBottom w:val="0"/>
      <w:divBdr>
        <w:top w:val="none" w:sz="0" w:space="0" w:color="auto"/>
        <w:left w:val="none" w:sz="0" w:space="0" w:color="auto"/>
        <w:bottom w:val="none" w:sz="0" w:space="0" w:color="auto"/>
        <w:right w:val="none" w:sz="0" w:space="0" w:color="auto"/>
      </w:divBdr>
      <w:divsChild>
        <w:div w:id="1239487406">
          <w:marLeft w:val="547"/>
          <w:marRight w:val="0"/>
          <w:marTop w:val="106"/>
          <w:marBottom w:val="0"/>
          <w:divBdr>
            <w:top w:val="none" w:sz="0" w:space="0" w:color="auto"/>
            <w:left w:val="none" w:sz="0" w:space="0" w:color="auto"/>
            <w:bottom w:val="none" w:sz="0" w:space="0" w:color="auto"/>
            <w:right w:val="none" w:sz="0" w:space="0" w:color="auto"/>
          </w:divBdr>
        </w:div>
      </w:divsChild>
    </w:div>
    <w:div w:id="420415894">
      <w:bodyDiv w:val="1"/>
      <w:marLeft w:val="0"/>
      <w:marRight w:val="0"/>
      <w:marTop w:val="0"/>
      <w:marBottom w:val="0"/>
      <w:divBdr>
        <w:top w:val="none" w:sz="0" w:space="0" w:color="auto"/>
        <w:left w:val="none" w:sz="0" w:space="0" w:color="auto"/>
        <w:bottom w:val="none" w:sz="0" w:space="0" w:color="auto"/>
        <w:right w:val="none" w:sz="0" w:space="0" w:color="auto"/>
      </w:divBdr>
      <w:divsChild>
        <w:div w:id="1450323034">
          <w:marLeft w:val="547"/>
          <w:marRight w:val="0"/>
          <w:marTop w:val="154"/>
          <w:marBottom w:val="0"/>
          <w:divBdr>
            <w:top w:val="none" w:sz="0" w:space="0" w:color="auto"/>
            <w:left w:val="none" w:sz="0" w:space="0" w:color="auto"/>
            <w:bottom w:val="none" w:sz="0" w:space="0" w:color="auto"/>
            <w:right w:val="none" w:sz="0" w:space="0" w:color="auto"/>
          </w:divBdr>
        </w:div>
      </w:divsChild>
    </w:div>
    <w:div w:id="840511215">
      <w:bodyDiv w:val="1"/>
      <w:marLeft w:val="0"/>
      <w:marRight w:val="0"/>
      <w:marTop w:val="0"/>
      <w:marBottom w:val="0"/>
      <w:divBdr>
        <w:top w:val="none" w:sz="0" w:space="0" w:color="auto"/>
        <w:left w:val="none" w:sz="0" w:space="0" w:color="auto"/>
        <w:bottom w:val="none" w:sz="0" w:space="0" w:color="auto"/>
        <w:right w:val="none" w:sz="0" w:space="0" w:color="auto"/>
      </w:divBdr>
      <w:divsChild>
        <w:div w:id="1395156350">
          <w:marLeft w:val="547"/>
          <w:marRight w:val="0"/>
          <w:marTop w:val="96"/>
          <w:marBottom w:val="0"/>
          <w:divBdr>
            <w:top w:val="none" w:sz="0" w:space="0" w:color="auto"/>
            <w:left w:val="none" w:sz="0" w:space="0" w:color="auto"/>
            <w:bottom w:val="none" w:sz="0" w:space="0" w:color="auto"/>
            <w:right w:val="none" w:sz="0" w:space="0" w:color="auto"/>
          </w:divBdr>
        </w:div>
      </w:divsChild>
    </w:div>
    <w:div w:id="1021976298">
      <w:bodyDiv w:val="1"/>
      <w:marLeft w:val="0"/>
      <w:marRight w:val="0"/>
      <w:marTop w:val="0"/>
      <w:marBottom w:val="0"/>
      <w:divBdr>
        <w:top w:val="none" w:sz="0" w:space="0" w:color="auto"/>
        <w:left w:val="none" w:sz="0" w:space="0" w:color="auto"/>
        <w:bottom w:val="none" w:sz="0" w:space="0" w:color="auto"/>
        <w:right w:val="none" w:sz="0" w:space="0" w:color="auto"/>
      </w:divBdr>
      <w:divsChild>
        <w:div w:id="1520779613">
          <w:marLeft w:val="547"/>
          <w:marRight w:val="0"/>
          <w:marTop w:val="154"/>
          <w:marBottom w:val="0"/>
          <w:divBdr>
            <w:top w:val="none" w:sz="0" w:space="0" w:color="auto"/>
            <w:left w:val="none" w:sz="0" w:space="0" w:color="auto"/>
            <w:bottom w:val="none" w:sz="0" w:space="0" w:color="auto"/>
            <w:right w:val="none" w:sz="0" w:space="0" w:color="auto"/>
          </w:divBdr>
        </w:div>
        <w:div w:id="628126550">
          <w:marLeft w:val="547"/>
          <w:marRight w:val="0"/>
          <w:marTop w:val="154"/>
          <w:marBottom w:val="0"/>
          <w:divBdr>
            <w:top w:val="none" w:sz="0" w:space="0" w:color="auto"/>
            <w:left w:val="none" w:sz="0" w:space="0" w:color="auto"/>
            <w:bottom w:val="none" w:sz="0" w:space="0" w:color="auto"/>
            <w:right w:val="none" w:sz="0" w:space="0" w:color="auto"/>
          </w:divBdr>
        </w:div>
        <w:div w:id="1643459719">
          <w:marLeft w:val="547"/>
          <w:marRight w:val="0"/>
          <w:marTop w:val="154"/>
          <w:marBottom w:val="0"/>
          <w:divBdr>
            <w:top w:val="none" w:sz="0" w:space="0" w:color="auto"/>
            <w:left w:val="none" w:sz="0" w:space="0" w:color="auto"/>
            <w:bottom w:val="none" w:sz="0" w:space="0" w:color="auto"/>
            <w:right w:val="none" w:sz="0" w:space="0" w:color="auto"/>
          </w:divBdr>
        </w:div>
      </w:divsChild>
    </w:div>
    <w:div w:id="1144464631">
      <w:bodyDiv w:val="1"/>
      <w:marLeft w:val="0"/>
      <w:marRight w:val="0"/>
      <w:marTop w:val="0"/>
      <w:marBottom w:val="0"/>
      <w:divBdr>
        <w:top w:val="none" w:sz="0" w:space="0" w:color="auto"/>
        <w:left w:val="none" w:sz="0" w:space="0" w:color="auto"/>
        <w:bottom w:val="none" w:sz="0" w:space="0" w:color="auto"/>
        <w:right w:val="none" w:sz="0" w:space="0" w:color="auto"/>
      </w:divBdr>
      <w:divsChild>
        <w:div w:id="1578829349">
          <w:marLeft w:val="547"/>
          <w:marRight w:val="0"/>
          <w:marTop w:val="154"/>
          <w:marBottom w:val="0"/>
          <w:divBdr>
            <w:top w:val="none" w:sz="0" w:space="0" w:color="auto"/>
            <w:left w:val="none" w:sz="0" w:space="0" w:color="auto"/>
            <w:bottom w:val="none" w:sz="0" w:space="0" w:color="auto"/>
            <w:right w:val="none" w:sz="0" w:space="0" w:color="auto"/>
          </w:divBdr>
        </w:div>
      </w:divsChild>
    </w:div>
    <w:div w:id="1325933947">
      <w:bodyDiv w:val="1"/>
      <w:marLeft w:val="0"/>
      <w:marRight w:val="0"/>
      <w:marTop w:val="0"/>
      <w:marBottom w:val="0"/>
      <w:divBdr>
        <w:top w:val="none" w:sz="0" w:space="0" w:color="auto"/>
        <w:left w:val="none" w:sz="0" w:space="0" w:color="auto"/>
        <w:bottom w:val="none" w:sz="0" w:space="0" w:color="auto"/>
        <w:right w:val="none" w:sz="0" w:space="0" w:color="auto"/>
      </w:divBdr>
      <w:divsChild>
        <w:div w:id="1966541740">
          <w:marLeft w:val="547"/>
          <w:marRight w:val="0"/>
          <w:marTop w:val="154"/>
          <w:marBottom w:val="0"/>
          <w:divBdr>
            <w:top w:val="none" w:sz="0" w:space="0" w:color="auto"/>
            <w:left w:val="none" w:sz="0" w:space="0" w:color="auto"/>
            <w:bottom w:val="none" w:sz="0" w:space="0" w:color="auto"/>
            <w:right w:val="none" w:sz="0" w:space="0" w:color="auto"/>
          </w:divBdr>
        </w:div>
      </w:divsChild>
    </w:div>
    <w:div w:id="1465999531">
      <w:bodyDiv w:val="1"/>
      <w:marLeft w:val="0"/>
      <w:marRight w:val="0"/>
      <w:marTop w:val="0"/>
      <w:marBottom w:val="0"/>
      <w:divBdr>
        <w:top w:val="none" w:sz="0" w:space="0" w:color="auto"/>
        <w:left w:val="none" w:sz="0" w:space="0" w:color="auto"/>
        <w:bottom w:val="none" w:sz="0" w:space="0" w:color="auto"/>
        <w:right w:val="none" w:sz="0" w:space="0" w:color="auto"/>
      </w:divBdr>
      <w:divsChild>
        <w:div w:id="712656993">
          <w:marLeft w:val="547"/>
          <w:marRight w:val="0"/>
          <w:marTop w:val="154"/>
          <w:marBottom w:val="0"/>
          <w:divBdr>
            <w:top w:val="none" w:sz="0" w:space="0" w:color="auto"/>
            <w:left w:val="none" w:sz="0" w:space="0" w:color="auto"/>
            <w:bottom w:val="none" w:sz="0" w:space="0" w:color="auto"/>
            <w:right w:val="none" w:sz="0" w:space="0" w:color="auto"/>
          </w:divBdr>
        </w:div>
        <w:div w:id="1374307281">
          <w:marLeft w:val="547"/>
          <w:marRight w:val="0"/>
          <w:marTop w:val="154"/>
          <w:marBottom w:val="0"/>
          <w:divBdr>
            <w:top w:val="none" w:sz="0" w:space="0" w:color="auto"/>
            <w:left w:val="none" w:sz="0" w:space="0" w:color="auto"/>
            <w:bottom w:val="none" w:sz="0" w:space="0" w:color="auto"/>
            <w:right w:val="none" w:sz="0" w:space="0" w:color="auto"/>
          </w:divBdr>
        </w:div>
      </w:divsChild>
    </w:div>
    <w:div w:id="1487015953">
      <w:bodyDiv w:val="1"/>
      <w:marLeft w:val="0"/>
      <w:marRight w:val="0"/>
      <w:marTop w:val="0"/>
      <w:marBottom w:val="0"/>
      <w:divBdr>
        <w:top w:val="none" w:sz="0" w:space="0" w:color="auto"/>
        <w:left w:val="none" w:sz="0" w:space="0" w:color="auto"/>
        <w:bottom w:val="none" w:sz="0" w:space="0" w:color="auto"/>
        <w:right w:val="none" w:sz="0" w:space="0" w:color="auto"/>
      </w:divBdr>
      <w:divsChild>
        <w:div w:id="767772769">
          <w:marLeft w:val="0"/>
          <w:marRight w:val="0"/>
          <w:marTop w:val="240"/>
          <w:marBottom w:val="0"/>
          <w:divBdr>
            <w:top w:val="none" w:sz="0" w:space="0" w:color="auto"/>
            <w:left w:val="none" w:sz="0" w:space="0" w:color="auto"/>
            <w:bottom w:val="none" w:sz="0" w:space="0" w:color="auto"/>
            <w:right w:val="none" w:sz="0" w:space="0" w:color="auto"/>
          </w:divBdr>
          <w:divsChild>
            <w:div w:id="1751778392">
              <w:marLeft w:val="0"/>
              <w:marRight w:val="0"/>
              <w:marTop w:val="0"/>
              <w:marBottom w:val="0"/>
              <w:divBdr>
                <w:top w:val="none" w:sz="0" w:space="0" w:color="auto"/>
                <w:left w:val="none" w:sz="0" w:space="0" w:color="auto"/>
                <w:bottom w:val="none" w:sz="0" w:space="0" w:color="auto"/>
                <w:right w:val="none" w:sz="0" w:space="0" w:color="auto"/>
              </w:divBdr>
            </w:div>
          </w:divsChild>
        </w:div>
        <w:div w:id="1894385713">
          <w:marLeft w:val="0"/>
          <w:marRight w:val="0"/>
          <w:marTop w:val="240"/>
          <w:marBottom w:val="0"/>
          <w:divBdr>
            <w:top w:val="none" w:sz="0" w:space="0" w:color="auto"/>
            <w:left w:val="none" w:sz="0" w:space="0" w:color="auto"/>
            <w:bottom w:val="none" w:sz="0" w:space="0" w:color="auto"/>
            <w:right w:val="none" w:sz="0" w:space="0" w:color="auto"/>
          </w:divBdr>
          <w:divsChild>
            <w:div w:id="1085808622">
              <w:marLeft w:val="0"/>
              <w:marRight w:val="0"/>
              <w:marTop w:val="0"/>
              <w:marBottom w:val="0"/>
              <w:divBdr>
                <w:top w:val="none" w:sz="0" w:space="0" w:color="auto"/>
                <w:left w:val="none" w:sz="0" w:space="0" w:color="auto"/>
                <w:bottom w:val="none" w:sz="0" w:space="0" w:color="auto"/>
                <w:right w:val="none" w:sz="0" w:space="0" w:color="auto"/>
              </w:divBdr>
            </w:div>
          </w:divsChild>
        </w:div>
        <w:div w:id="194543493">
          <w:marLeft w:val="0"/>
          <w:marRight w:val="0"/>
          <w:marTop w:val="240"/>
          <w:marBottom w:val="0"/>
          <w:divBdr>
            <w:top w:val="none" w:sz="0" w:space="0" w:color="auto"/>
            <w:left w:val="none" w:sz="0" w:space="0" w:color="auto"/>
            <w:bottom w:val="none" w:sz="0" w:space="0" w:color="auto"/>
            <w:right w:val="none" w:sz="0" w:space="0" w:color="auto"/>
          </w:divBdr>
          <w:divsChild>
            <w:div w:id="1356885253">
              <w:marLeft w:val="0"/>
              <w:marRight w:val="0"/>
              <w:marTop w:val="0"/>
              <w:marBottom w:val="0"/>
              <w:divBdr>
                <w:top w:val="none" w:sz="0" w:space="0" w:color="auto"/>
                <w:left w:val="none" w:sz="0" w:space="0" w:color="auto"/>
                <w:bottom w:val="none" w:sz="0" w:space="0" w:color="auto"/>
                <w:right w:val="none" w:sz="0" w:space="0" w:color="auto"/>
              </w:divBdr>
            </w:div>
          </w:divsChild>
        </w:div>
        <w:div w:id="941649333">
          <w:marLeft w:val="0"/>
          <w:marRight w:val="0"/>
          <w:marTop w:val="240"/>
          <w:marBottom w:val="0"/>
          <w:divBdr>
            <w:top w:val="none" w:sz="0" w:space="0" w:color="auto"/>
            <w:left w:val="none" w:sz="0" w:space="0" w:color="auto"/>
            <w:bottom w:val="none" w:sz="0" w:space="0" w:color="auto"/>
            <w:right w:val="none" w:sz="0" w:space="0" w:color="auto"/>
          </w:divBdr>
        </w:div>
      </w:divsChild>
    </w:div>
    <w:div w:id="2090618855">
      <w:bodyDiv w:val="1"/>
      <w:marLeft w:val="0"/>
      <w:marRight w:val="0"/>
      <w:marTop w:val="0"/>
      <w:marBottom w:val="0"/>
      <w:divBdr>
        <w:top w:val="none" w:sz="0" w:space="0" w:color="auto"/>
        <w:left w:val="none" w:sz="0" w:space="0" w:color="auto"/>
        <w:bottom w:val="none" w:sz="0" w:space="0" w:color="auto"/>
        <w:right w:val="none" w:sz="0" w:space="0" w:color="auto"/>
      </w:divBdr>
      <w:divsChild>
        <w:div w:id="920676379">
          <w:marLeft w:val="547"/>
          <w:marRight w:val="0"/>
          <w:marTop w:val="154"/>
          <w:marBottom w:val="0"/>
          <w:divBdr>
            <w:top w:val="none" w:sz="0" w:space="0" w:color="auto"/>
            <w:left w:val="none" w:sz="0" w:space="0" w:color="auto"/>
            <w:bottom w:val="none" w:sz="0" w:space="0" w:color="auto"/>
            <w:right w:val="none" w:sz="0" w:space="0" w:color="auto"/>
          </w:divBdr>
        </w:div>
      </w:divsChild>
    </w:div>
    <w:div w:id="21237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3ACAA-B70D-4341-A07A-49DDE2DC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1528</TotalTime>
  <Pages>12</Pages>
  <Words>5204</Words>
  <Characters>29664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Porter</dc:creator>
  <cp:keywords/>
  <dc:description/>
  <cp:lastModifiedBy>Brian Porter</cp:lastModifiedBy>
  <cp:revision>26</cp:revision>
  <dcterms:created xsi:type="dcterms:W3CDTF">2018-05-09T12:04:00Z</dcterms:created>
  <dcterms:modified xsi:type="dcterms:W3CDTF">2018-05-11T22:26:00Z</dcterms:modified>
</cp:coreProperties>
</file>