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67EBF" w:rsidRPr="009A0BD2" w:rsidRDefault="00894F10" w:rsidP="00894F10">
      <w:pPr>
        <w:jc w:val="center"/>
        <w:rPr>
          <w:rFonts w:ascii="Times New Roman" w:hAnsi="Times New Roman" w:cs="Times New Roman"/>
          <w:sz w:val="28"/>
          <w:szCs w:val="28"/>
        </w:rPr>
      </w:pPr>
      <w:r w:rsidRPr="009A0BD2">
        <w:rPr>
          <w:rFonts w:ascii="Times New Roman" w:hAnsi="Times New Roman" w:cs="Times New Roman"/>
          <w:sz w:val="28"/>
          <w:szCs w:val="28"/>
        </w:rPr>
        <w:t xml:space="preserve">Update on </w:t>
      </w:r>
      <w:r w:rsidR="009C4230" w:rsidRPr="009A0BD2">
        <w:rPr>
          <w:rFonts w:ascii="Times New Roman" w:hAnsi="Times New Roman" w:cs="Times New Roman"/>
          <w:sz w:val="28"/>
          <w:szCs w:val="28"/>
        </w:rPr>
        <w:t>95.11(3)(c) Statute of Limitations &amp; Repose and Chapter 558</w:t>
      </w:r>
    </w:p>
    <w:p w:rsidR="009C4230" w:rsidRPr="009A0BD2" w:rsidRDefault="009C4230" w:rsidP="00894F10">
      <w:pPr>
        <w:jc w:val="center"/>
        <w:rPr>
          <w:rFonts w:ascii="Times New Roman" w:hAnsi="Times New Roman" w:cs="Times New Roman"/>
          <w:sz w:val="28"/>
          <w:szCs w:val="28"/>
        </w:rPr>
      </w:pPr>
      <w:r w:rsidRPr="009A0BD2">
        <w:rPr>
          <w:rFonts w:ascii="Times New Roman" w:hAnsi="Times New Roman" w:cs="Times New Roman"/>
          <w:sz w:val="28"/>
          <w:szCs w:val="28"/>
        </w:rPr>
        <w:t>by</w:t>
      </w:r>
    </w:p>
    <w:p w:rsidR="009C4230" w:rsidRPr="009A0BD2" w:rsidRDefault="009C4230" w:rsidP="00894F10">
      <w:pPr>
        <w:jc w:val="center"/>
        <w:rPr>
          <w:rFonts w:ascii="Times New Roman" w:hAnsi="Times New Roman" w:cs="Times New Roman"/>
          <w:sz w:val="28"/>
          <w:szCs w:val="28"/>
        </w:rPr>
      </w:pPr>
      <w:r w:rsidRPr="009A0BD2">
        <w:rPr>
          <w:rFonts w:ascii="Times New Roman" w:hAnsi="Times New Roman" w:cs="Times New Roman"/>
          <w:sz w:val="28"/>
          <w:szCs w:val="28"/>
        </w:rPr>
        <w:t>Barry B. Ansbacher</w:t>
      </w:r>
    </w:p>
    <w:p w:rsidR="009C4230" w:rsidRPr="009A0BD2" w:rsidRDefault="009C4230" w:rsidP="00894F10">
      <w:pPr>
        <w:jc w:val="center"/>
        <w:rPr>
          <w:rFonts w:ascii="Times New Roman" w:hAnsi="Times New Roman" w:cs="Times New Roman"/>
          <w:sz w:val="28"/>
          <w:szCs w:val="28"/>
        </w:rPr>
      </w:pPr>
    </w:p>
    <w:p w:rsidR="009C4230" w:rsidRPr="005A6321" w:rsidRDefault="00F90822" w:rsidP="00F90822">
      <w:pPr>
        <w:pStyle w:val="ListParagraph"/>
        <w:numPr>
          <w:ilvl w:val="0"/>
          <w:numId w:val="1"/>
        </w:numPr>
        <w:rPr>
          <w:rFonts w:ascii="Times New Roman" w:hAnsi="Times New Roman" w:cs="Times New Roman"/>
          <w:b/>
          <w:sz w:val="28"/>
          <w:szCs w:val="28"/>
        </w:rPr>
      </w:pPr>
      <w:r w:rsidRPr="005A6321">
        <w:rPr>
          <w:rFonts w:ascii="Times New Roman" w:hAnsi="Times New Roman" w:cs="Times New Roman"/>
          <w:b/>
          <w:sz w:val="28"/>
          <w:szCs w:val="28"/>
        </w:rPr>
        <w:t xml:space="preserve">95.11(3)(c) - </w:t>
      </w:r>
      <w:r w:rsidR="009C4230" w:rsidRPr="005A6321">
        <w:rPr>
          <w:rFonts w:ascii="Times New Roman" w:hAnsi="Times New Roman" w:cs="Times New Roman"/>
          <w:b/>
          <w:sz w:val="28"/>
          <w:szCs w:val="28"/>
        </w:rPr>
        <w:t>Deconstruction of the Statute</w:t>
      </w:r>
    </w:p>
    <w:p w:rsidR="009C4230" w:rsidRPr="009A0BD2" w:rsidRDefault="009C4230" w:rsidP="009C4230">
      <w:pPr>
        <w:rPr>
          <w:rStyle w:val="text"/>
          <w:rFonts w:ascii="Times New Roman" w:hAnsi="Times New Roman" w:cs="Times New Roman"/>
          <w:sz w:val="28"/>
          <w:szCs w:val="28"/>
          <w:shd w:val="clear" w:color="auto" w:fill="FFFFFF"/>
        </w:rPr>
      </w:pPr>
      <w:r w:rsidRPr="009A0BD2">
        <w:rPr>
          <w:rStyle w:val="sectionnumber"/>
          <w:rFonts w:ascii="Times New Roman" w:hAnsi="Times New Roman" w:cs="Times New Roman"/>
          <w:b/>
          <w:bCs/>
          <w:sz w:val="28"/>
          <w:szCs w:val="28"/>
          <w:shd w:val="clear" w:color="auto" w:fill="FFFFFF"/>
        </w:rPr>
        <w:t>95.11</w:t>
      </w:r>
      <w:r w:rsidRPr="009A0BD2">
        <w:rPr>
          <w:rStyle w:val="sectionnumber"/>
          <w:rFonts w:ascii="Times New Roman" w:hAnsi="Times New Roman" w:cs="Times New Roman"/>
          <w:b/>
          <w:bCs/>
          <w:sz w:val="28"/>
          <w:szCs w:val="28"/>
          <w:shd w:val="clear" w:color="auto" w:fill="FFFFFF"/>
        </w:rPr>
        <w:t> </w:t>
      </w:r>
      <w:r w:rsidRPr="009A0BD2">
        <w:rPr>
          <w:rStyle w:val="catchlinetext"/>
          <w:rFonts w:ascii="Times New Roman" w:hAnsi="Times New Roman" w:cs="Times New Roman"/>
          <w:b/>
          <w:bCs/>
          <w:sz w:val="28"/>
          <w:szCs w:val="28"/>
          <w:shd w:val="clear" w:color="auto" w:fill="FFFFFF"/>
        </w:rPr>
        <w:t>Limitations other than for the recovery of real property.</w:t>
      </w:r>
      <w:r w:rsidRPr="009A0BD2">
        <w:rPr>
          <w:rStyle w:val="emdash"/>
          <w:rFonts w:ascii="Times New Roman" w:hAnsi="Times New Roman" w:cs="Times New Roman"/>
          <w:sz w:val="28"/>
          <w:szCs w:val="28"/>
          <w:shd w:val="clear" w:color="auto" w:fill="FFFFFF"/>
        </w:rPr>
        <w:t>—</w:t>
      </w:r>
      <w:r w:rsidRPr="009A0BD2">
        <w:rPr>
          <w:rStyle w:val="text"/>
          <w:rFonts w:ascii="Times New Roman" w:hAnsi="Times New Roman" w:cs="Times New Roman"/>
          <w:sz w:val="28"/>
          <w:szCs w:val="28"/>
          <w:shd w:val="clear" w:color="auto" w:fill="FFFFFF"/>
        </w:rPr>
        <w:t>Actions other than for recovery of real property shall be commenced as follows:</w:t>
      </w:r>
    </w:p>
    <w:p w:rsidR="009C4230" w:rsidRPr="00824A21" w:rsidRDefault="009C4230" w:rsidP="009C4230">
      <w:pPr>
        <w:rPr>
          <w:rStyle w:val="emdash"/>
          <w:rFonts w:ascii="Times New Roman" w:hAnsi="Times New Roman" w:cs="Times New Roman"/>
          <w:color w:val="4472C4" w:themeColor="accent1"/>
          <w:sz w:val="28"/>
          <w:szCs w:val="28"/>
          <w:shd w:val="clear" w:color="auto" w:fill="FFFFFF"/>
        </w:rPr>
      </w:pPr>
      <w:r w:rsidRPr="00824A21">
        <w:rPr>
          <w:rStyle w:val="number"/>
          <w:rFonts w:ascii="Times New Roman" w:hAnsi="Times New Roman" w:cs="Times New Roman"/>
          <w:color w:val="4472C4" w:themeColor="accent1"/>
          <w:sz w:val="28"/>
          <w:szCs w:val="28"/>
          <w:shd w:val="clear" w:color="auto" w:fill="FFFFFF"/>
        </w:rPr>
        <w:t>(3)</w:t>
      </w:r>
      <w:r w:rsidRPr="00824A21">
        <w:rPr>
          <w:rStyle w:val="number"/>
          <w:rFonts w:ascii="Times New Roman" w:hAnsi="Times New Roman" w:cs="Times New Roman"/>
          <w:color w:val="4472C4" w:themeColor="accent1"/>
          <w:sz w:val="28"/>
          <w:szCs w:val="28"/>
          <w:shd w:val="clear" w:color="auto" w:fill="FFFFFF"/>
        </w:rPr>
        <w:t> </w:t>
      </w:r>
      <w:r w:rsidRPr="00824A21">
        <w:rPr>
          <w:rStyle w:val="text"/>
          <w:rFonts w:ascii="Times New Roman" w:hAnsi="Times New Roman" w:cs="Times New Roman"/>
          <w:color w:val="4472C4" w:themeColor="accent1"/>
          <w:sz w:val="28"/>
          <w:szCs w:val="28"/>
          <w:shd w:val="clear" w:color="auto" w:fill="FFFFFF"/>
        </w:rPr>
        <w:t>WITHIN FOUR YEARS.</w:t>
      </w:r>
      <w:r w:rsidRPr="00824A21">
        <w:rPr>
          <w:rStyle w:val="emdash"/>
          <w:rFonts w:ascii="Times New Roman" w:hAnsi="Times New Roman" w:cs="Times New Roman"/>
          <w:color w:val="4472C4" w:themeColor="accent1"/>
          <w:sz w:val="28"/>
          <w:szCs w:val="28"/>
          <w:shd w:val="clear" w:color="auto" w:fill="FFFFFF"/>
        </w:rPr>
        <w:t>—</w:t>
      </w:r>
    </w:p>
    <w:p w:rsidR="009C4230" w:rsidRPr="00824A21" w:rsidRDefault="009C4230" w:rsidP="009C4230">
      <w:pPr>
        <w:pBdr>
          <w:bottom w:val="single" w:sz="6" w:space="1" w:color="auto"/>
        </w:pBdr>
        <w:rPr>
          <w:rFonts w:ascii="Times New Roman" w:hAnsi="Times New Roman" w:cs="Times New Roman"/>
          <w:color w:val="4472C4" w:themeColor="accent1"/>
          <w:sz w:val="28"/>
          <w:szCs w:val="28"/>
        </w:rPr>
      </w:pPr>
      <w:r w:rsidRPr="00824A21">
        <w:rPr>
          <w:rFonts w:ascii="Times New Roman" w:hAnsi="Times New Roman" w:cs="Times New Roman"/>
          <w:color w:val="4472C4" w:themeColor="accent1"/>
          <w:sz w:val="28"/>
          <w:szCs w:val="28"/>
        </w:rPr>
        <w:t xml:space="preserve">(c) An action founded on the design, planning, or construction of an improvement to real property, with the time running from the date of actual possession by the owner, the date of the issuance of a certificate of occupancy, the date of abandonment of construction if not completed, or the date of completion or termination of the contract between the professional engineer, registered architect, or licensed contractor and his or her employer, whichever date is latest; except that, when the action involves a latent defect, the time runs from the time the defect is discovered or should have been discovered with the exercise of due diligence. In any event, the action must be commenced within 10 years after the date of actual possession by the owner, the date of the issuance of a certificate of occupancy, the date of abandonment of construction if not completed, or the date of completion or termination of the contract between the professional engineer, registered architect, or licensed contractor and his or her employer, whichever date is latest. </w:t>
      </w:r>
      <w:bookmarkStart w:id="0" w:name="_Hlk497912738"/>
      <w:r w:rsidRPr="00824A21">
        <w:rPr>
          <w:rFonts w:ascii="Times New Roman" w:hAnsi="Times New Roman" w:cs="Times New Roman"/>
          <w:color w:val="4472C4" w:themeColor="accent1"/>
          <w:sz w:val="28"/>
          <w:szCs w:val="28"/>
        </w:rPr>
        <w:t>Completion of the contract means the later of the date of final performance of all the contracted services or the date that final payment for such services becomes due without regard to the date final payment is made.</w:t>
      </w:r>
    </w:p>
    <w:bookmarkEnd w:id="0"/>
    <w:p w:rsidR="009C4230" w:rsidRPr="00824A21" w:rsidRDefault="009C4230" w:rsidP="009C4230">
      <w:pPr>
        <w:rPr>
          <w:rFonts w:ascii="Times New Roman" w:hAnsi="Times New Roman" w:cs="Times New Roman"/>
          <w:b/>
          <w:color w:val="4472C4" w:themeColor="accent1"/>
          <w:sz w:val="28"/>
          <w:szCs w:val="28"/>
        </w:rPr>
      </w:pPr>
      <w:r w:rsidRPr="00824A21">
        <w:rPr>
          <w:rFonts w:ascii="Times New Roman" w:hAnsi="Times New Roman" w:cs="Times New Roman"/>
          <w:b/>
          <w:color w:val="4472C4" w:themeColor="accent1"/>
          <w:sz w:val="28"/>
          <w:szCs w:val="28"/>
        </w:rPr>
        <w:t>Limitations:</w:t>
      </w:r>
    </w:p>
    <w:p w:rsidR="009C4230" w:rsidRPr="00824A21" w:rsidRDefault="009C4230" w:rsidP="009C4230">
      <w:pPr>
        <w:rPr>
          <w:rFonts w:ascii="Times New Roman" w:hAnsi="Times New Roman" w:cs="Times New Roman"/>
          <w:color w:val="4472C4" w:themeColor="accent1"/>
          <w:sz w:val="28"/>
          <w:szCs w:val="28"/>
        </w:rPr>
      </w:pPr>
      <w:r w:rsidRPr="00824A21">
        <w:rPr>
          <w:rFonts w:ascii="Times New Roman" w:hAnsi="Times New Roman" w:cs="Times New Roman"/>
          <w:color w:val="4472C4" w:themeColor="accent1"/>
          <w:sz w:val="28"/>
          <w:szCs w:val="28"/>
        </w:rPr>
        <w:t>[4 years] running from date of:</w:t>
      </w:r>
    </w:p>
    <w:p w:rsidR="009C4230" w:rsidRPr="00824A21" w:rsidRDefault="009C4230" w:rsidP="009C4230">
      <w:pPr>
        <w:pStyle w:val="ListParagraph"/>
        <w:numPr>
          <w:ilvl w:val="0"/>
          <w:numId w:val="2"/>
        </w:numPr>
        <w:rPr>
          <w:rFonts w:ascii="Times New Roman" w:hAnsi="Times New Roman" w:cs="Times New Roman"/>
          <w:b/>
          <w:color w:val="4472C4" w:themeColor="accent1"/>
          <w:sz w:val="28"/>
          <w:szCs w:val="28"/>
        </w:rPr>
      </w:pPr>
      <w:r w:rsidRPr="00824A21">
        <w:rPr>
          <w:rFonts w:ascii="Times New Roman" w:hAnsi="Times New Roman" w:cs="Times New Roman"/>
          <w:color w:val="4472C4" w:themeColor="accent1"/>
          <w:sz w:val="28"/>
          <w:szCs w:val="28"/>
        </w:rPr>
        <w:t>actual possession of the owner</w:t>
      </w:r>
    </w:p>
    <w:p w:rsidR="009C4230" w:rsidRPr="00824A21" w:rsidRDefault="009C4230" w:rsidP="009C4230">
      <w:pPr>
        <w:pStyle w:val="ListParagraph"/>
        <w:numPr>
          <w:ilvl w:val="0"/>
          <w:numId w:val="2"/>
        </w:numPr>
        <w:rPr>
          <w:rFonts w:ascii="Times New Roman" w:hAnsi="Times New Roman" w:cs="Times New Roman"/>
          <w:b/>
          <w:color w:val="4472C4" w:themeColor="accent1"/>
          <w:sz w:val="28"/>
          <w:szCs w:val="28"/>
        </w:rPr>
      </w:pPr>
      <w:r w:rsidRPr="00824A21">
        <w:rPr>
          <w:rFonts w:ascii="Times New Roman" w:hAnsi="Times New Roman" w:cs="Times New Roman"/>
          <w:color w:val="4472C4" w:themeColor="accent1"/>
          <w:sz w:val="28"/>
          <w:szCs w:val="28"/>
        </w:rPr>
        <w:t>issuance of a certificate of occupancy</w:t>
      </w:r>
    </w:p>
    <w:p w:rsidR="009C4230" w:rsidRPr="00824A21" w:rsidRDefault="009C4230" w:rsidP="009C4230">
      <w:pPr>
        <w:pStyle w:val="ListParagraph"/>
        <w:numPr>
          <w:ilvl w:val="0"/>
          <w:numId w:val="2"/>
        </w:numPr>
        <w:rPr>
          <w:rFonts w:ascii="Times New Roman" w:hAnsi="Times New Roman" w:cs="Times New Roman"/>
          <w:b/>
          <w:color w:val="4472C4" w:themeColor="accent1"/>
          <w:sz w:val="28"/>
          <w:szCs w:val="28"/>
        </w:rPr>
      </w:pPr>
      <w:r w:rsidRPr="00824A21">
        <w:rPr>
          <w:rFonts w:ascii="Times New Roman" w:hAnsi="Times New Roman" w:cs="Times New Roman"/>
          <w:color w:val="4472C4" w:themeColor="accent1"/>
          <w:sz w:val="28"/>
          <w:szCs w:val="28"/>
        </w:rPr>
        <w:t>abandonment of construction if not completed</w:t>
      </w:r>
    </w:p>
    <w:p w:rsidR="009C4230" w:rsidRPr="00824A21" w:rsidRDefault="009C4230" w:rsidP="009C4230">
      <w:pPr>
        <w:pStyle w:val="ListParagraph"/>
        <w:numPr>
          <w:ilvl w:val="0"/>
          <w:numId w:val="2"/>
        </w:numPr>
        <w:rPr>
          <w:rFonts w:ascii="Times New Roman" w:hAnsi="Times New Roman" w:cs="Times New Roman"/>
          <w:b/>
          <w:color w:val="4472C4" w:themeColor="accent1"/>
          <w:sz w:val="28"/>
          <w:szCs w:val="28"/>
        </w:rPr>
      </w:pPr>
      <w:r w:rsidRPr="00824A21">
        <w:rPr>
          <w:rFonts w:ascii="Times New Roman" w:hAnsi="Times New Roman" w:cs="Times New Roman"/>
          <w:color w:val="4472C4" w:themeColor="accent1"/>
          <w:sz w:val="28"/>
          <w:szCs w:val="28"/>
        </w:rPr>
        <w:t xml:space="preserve">the date of </w:t>
      </w:r>
      <w:r w:rsidRPr="00824A21">
        <w:rPr>
          <w:rFonts w:ascii="Times New Roman" w:hAnsi="Times New Roman" w:cs="Times New Roman"/>
          <w:color w:val="4472C4" w:themeColor="accent1"/>
          <w:sz w:val="28"/>
          <w:szCs w:val="28"/>
          <w:highlight w:val="yellow"/>
        </w:rPr>
        <w:t>completion</w:t>
      </w:r>
      <w:r w:rsidRPr="00824A21">
        <w:rPr>
          <w:rFonts w:ascii="Times New Roman" w:hAnsi="Times New Roman" w:cs="Times New Roman"/>
          <w:color w:val="4472C4" w:themeColor="accent1"/>
          <w:sz w:val="28"/>
          <w:szCs w:val="28"/>
        </w:rPr>
        <w:t xml:space="preserve"> or termination </w:t>
      </w:r>
      <w:r w:rsidRPr="00824A21">
        <w:rPr>
          <w:rFonts w:ascii="Times New Roman" w:hAnsi="Times New Roman" w:cs="Times New Roman"/>
          <w:color w:val="4472C4" w:themeColor="accent1"/>
          <w:sz w:val="28"/>
          <w:szCs w:val="28"/>
          <w:highlight w:val="yellow"/>
        </w:rPr>
        <w:t>of the contract</w:t>
      </w:r>
      <w:r w:rsidRPr="00824A21">
        <w:rPr>
          <w:rFonts w:ascii="Times New Roman" w:hAnsi="Times New Roman" w:cs="Times New Roman"/>
          <w:color w:val="4472C4" w:themeColor="accent1"/>
          <w:sz w:val="28"/>
          <w:szCs w:val="28"/>
        </w:rPr>
        <w:t xml:space="preserve"> between the professional engineer, registered architect, or licensed contractor and his or her employer</w:t>
      </w:r>
    </w:p>
    <w:p w:rsidR="009C4230" w:rsidRPr="00824A21" w:rsidRDefault="009C4230" w:rsidP="009C4230">
      <w:pPr>
        <w:pStyle w:val="ListParagraph"/>
        <w:numPr>
          <w:ilvl w:val="0"/>
          <w:numId w:val="2"/>
        </w:numPr>
        <w:rPr>
          <w:rFonts w:ascii="Times New Roman" w:hAnsi="Times New Roman" w:cs="Times New Roman"/>
          <w:b/>
          <w:color w:val="4472C4" w:themeColor="accent1"/>
          <w:sz w:val="28"/>
          <w:szCs w:val="28"/>
        </w:rPr>
      </w:pPr>
      <w:r w:rsidRPr="00824A21">
        <w:rPr>
          <w:rFonts w:ascii="Times New Roman" w:hAnsi="Times New Roman" w:cs="Times New Roman"/>
          <w:color w:val="4472C4" w:themeColor="accent1"/>
          <w:sz w:val="28"/>
          <w:szCs w:val="28"/>
          <w:u w:val="single"/>
        </w:rPr>
        <w:lastRenderedPageBreak/>
        <w:t>if latent</w:t>
      </w:r>
      <w:r w:rsidRPr="00824A21">
        <w:rPr>
          <w:rFonts w:ascii="Times New Roman" w:hAnsi="Times New Roman" w:cs="Times New Roman"/>
          <w:color w:val="4472C4" w:themeColor="accent1"/>
          <w:sz w:val="28"/>
          <w:szCs w:val="28"/>
        </w:rPr>
        <w:t xml:space="preserve"> time the defect is discovered or should have been discovered</w:t>
      </w:r>
    </w:p>
    <w:p w:rsidR="009C4230" w:rsidRPr="00824A21" w:rsidRDefault="009C4230" w:rsidP="009C4230">
      <w:pPr>
        <w:rPr>
          <w:rFonts w:ascii="Times New Roman" w:hAnsi="Times New Roman" w:cs="Times New Roman"/>
          <w:b/>
          <w:color w:val="4472C4" w:themeColor="accent1"/>
          <w:sz w:val="28"/>
          <w:szCs w:val="28"/>
        </w:rPr>
      </w:pPr>
      <w:r w:rsidRPr="00824A21">
        <w:rPr>
          <w:rFonts w:ascii="Times New Roman" w:hAnsi="Times New Roman" w:cs="Times New Roman"/>
          <w:b/>
          <w:color w:val="4472C4" w:themeColor="accent1"/>
          <w:sz w:val="28"/>
          <w:szCs w:val="28"/>
        </w:rPr>
        <w:t>Repose:</w:t>
      </w:r>
    </w:p>
    <w:p w:rsidR="009C4230" w:rsidRPr="00824A21" w:rsidRDefault="009C4230" w:rsidP="009C4230">
      <w:pPr>
        <w:rPr>
          <w:rFonts w:ascii="Times New Roman" w:hAnsi="Times New Roman" w:cs="Times New Roman"/>
          <w:color w:val="4472C4" w:themeColor="accent1"/>
          <w:sz w:val="28"/>
          <w:szCs w:val="28"/>
        </w:rPr>
      </w:pPr>
      <w:r w:rsidRPr="00824A21">
        <w:rPr>
          <w:rFonts w:ascii="Times New Roman" w:hAnsi="Times New Roman" w:cs="Times New Roman"/>
          <w:color w:val="4472C4" w:themeColor="accent1"/>
          <w:sz w:val="28"/>
          <w:szCs w:val="28"/>
        </w:rPr>
        <w:t>within 10 years after date of:</w:t>
      </w:r>
    </w:p>
    <w:p w:rsidR="009C4230" w:rsidRPr="00824A21" w:rsidRDefault="009C4230" w:rsidP="009C4230">
      <w:pPr>
        <w:pStyle w:val="ListParagraph"/>
        <w:numPr>
          <w:ilvl w:val="0"/>
          <w:numId w:val="3"/>
        </w:numPr>
        <w:rPr>
          <w:rFonts w:ascii="Times New Roman" w:hAnsi="Times New Roman" w:cs="Times New Roman"/>
          <w:b/>
          <w:color w:val="4472C4" w:themeColor="accent1"/>
          <w:sz w:val="28"/>
          <w:szCs w:val="28"/>
        </w:rPr>
      </w:pPr>
      <w:r w:rsidRPr="00824A21">
        <w:rPr>
          <w:rFonts w:ascii="Times New Roman" w:hAnsi="Times New Roman" w:cs="Times New Roman"/>
          <w:color w:val="4472C4" w:themeColor="accent1"/>
          <w:sz w:val="28"/>
          <w:szCs w:val="28"/>
        </w:rPr>
        <w:t>actual possession by the owner</w:t>
      </w:r>
    </w:p>
    <w:p w:rsidR="009C4230" w:rsidRPr="00824A21" w:rsidRDefault="009C4230" w:rsidP="009C4230">
      <w:pPr>
        <w:pStyle w:val="ListParagraph"/>
        <w:numPr>
          <w:ilvl w:val="0"/>
          <w:numId w:val="3"/>
        </w:numPr>
        <w:rPr>
          <w:rFonts w:ascii="Times New Roman" w:hAnsi="Times New Roman" w:cs="Times New Roman"/>
          <w:b/>
          <w:color w:val="4472C4" w:themeColor="accent1"/>
          <w:sz w:val="28"/>
          <w:szCs w:val="28"/>
        </w:rPr>
      </w:pPr>
      <w:r w:rsidRPr="00824A21">
        <w:rPr>
          <w:rFonts w:ascii="Times New Roman" w:hAnsi="Times New Roman" w:cs="Times New Roman"/>
          <w:color w:val="4472C4" w:themeColor="accent1"/>
          <w:sz w:val="28"/>
          <w:szCs w:val="28"/>
        </w:rPr>
        <w:t>issuance of a certificate of occupancy</w:t>
      </w:r>
    </w:p>
    <w:p w:rsidR="009C4230" w:rsidRPr="00824A21" w:rsidRDefault="009C4230" w:rsidP="009C4230">
      <w:pPr>
        <w:pStyle w:val="ListParagraph"/>
        <w:numPr>
          <w:ilvl w:val="0"/>
          <w:numId w:val="3"/>
        </w:numPr>
        <w:rPr>
          <w:rFonts w:ascii="Times New Roman" w:hAnsi="Times New Roman" w:cs="Times New Roman"/>
          <w:b/>
          <w:color w:val="4472C4" w:themeColor="accent1"/>
          <w:sz w:val="28"/>
          <w:szCs w:val="28"/>
        </w:rPr>
      </w:pPr>
      <w:r w:rsidRPr="00824A21">
        <w:rPr>
          <w:rFonts w:ascii="Times New Roman" w:hAnsi="Times New Roman" w:cs="Times New Roman"/>
          <w:color w:val="4472C4" w:themeColor="accent1"/>
          <w:sz w:val="28"/>
          <w:szCs w:val="28"/>
        </w:rPr>
        <w:t>abandonment of construction if not completed</w:t>
      </w:r>
    </w:p>
    <w:p w:rsidR="009C4230" w:rsidRPr="00824A21" w:rsidRDefault="009C4230" w:rsidP="009C4230">
      <w:pPr>
        <w:pStyle w:val="ListParagraph"/>
        <w:numPr>
          <w:ilvl w:val="0"/>
          <w:numId w:val="3"/>
        </w:numPr>
        <w:rPr>
          <w:rFonts w:ascii="Times New Roman" w:hAnsi="Times New Roman" w:cs="Times New Roman"/>
          <w:b/>
          <w:color w:val="4472C4" w:themeColor="accent1"/>
          <w:sz w:val="28"/>
          <w:szCs w:val="28"/>
        </w:rPr>
      </w:pPr>
      <w:r w:rsidRPr="00824A21">
        <w:rPr>
          <w:rFonts w:ascii="Times New Roman" w:hAnsi="Times New Roman" w:cs="Times New Roman"/>
          <w:color w:val="4472C4" w:themeColor="accent1"/>
          <w:sz w:val="28"/>
          <w:szCs w:val="28"/>
        </w:rPr>
        <w:t xml:space="preserve">the date of </w:t>
      </w:r>
      <w:r w:rsidRPr="00824A21">
        <w:rPr>
          <w:rFonts w:ascii="Times New Roman" w:hAnsi="Times New Roman" w:cs="Times New Roman"/>
          <w:color w:val="4472C4" w:themeColor="accent1"/>
          <w:sz w:val="28"/>
          <w:szCs w:val="28"/>
          <w:highlight w:val="yellow"/>
        </w:rPr>
        <w:t>completion</w:t>
      </w:r>
      <w:r w:rsidRPr="00824A21">
        <w:rPr>
          <w:rFonts w:ascii="Times New Roman" w:hAnsi="Times New Roman" w:cs="Times New Roman"/>
          <w:color w:val="4472C4" w:themeColor="accent1"/>
          <w:sz w:val="28"/>
          <w:szCs w:val="28"/>
        </w:rPr>
        <w:t xml:space="preserve"> or termination </w:t>
      </w:r>
      <w:r w:rsidRPr="00824A21">
        <w:rPr>
          <w:rFonts w:ascii="Times New Roman" w:hAnsi="Times New Roman" w:cs="Times New Roman"/>
          <w:color w:val="4472C4" w:themeColor="accent1"/>
          <w:sz w:val="28"/>
          <w:szCs w:val="28"/>
          <w:highlight w:val="yellow"/>
        </w:rPr>
        <w:t>of the contract</w:t>
      </w:r>
      <w:r w:rsidRPr="00824A21">
        <w:rPr>
          <w:rFonts w:ascii="Times New Roman" w:hAnsi="Times New Roman" w:cs="Times New Roman"/>
          <w:color w:val="4472C4" w:themeColor="accent1"/>
          <w:sz w:val="28"/>
          <w:szCs w:val="28"/>
        </w:rPr>
        <w:t xml:space="preserve"> between the professional engineer, registered architect, or licensed contractor and his or her employer</w:t>
      </w:r>
    </w:p>
    <w:p w:rsidR="009C4230" w:rsidRPr="00824A21" w:rsidRDefault="009C4230" w:rsidP="009C4230">
      <w:pPr>
        <w:pStyle w:val="ListParagraph"/>
        <w:numPr>
          <w:ilvl w:val="0"/>
          <w:numId w:val="3"/>
        </w:numPr>
        <w:rPr>
          <w:rFonts w:ascii="Times New Roman" w:hAnsi="Times New Roman" w:cs="Times New Roman"/>
          <w:b/>
          <w:color w:val="4472C4" w:themeColor="accent1"/>
          <w:sz w:val="28"/>
          <w:szCs w:val="28"/>
        </w:rPr>
      </w:pPr>
      <w:r w:rsidRPr="00824A21">
        <w:rPr>
          <w:rFonts w:ascii="Times New Roman" w:hAnsi="Times New Roman" w:cs="Times New Roman"/>
          <w:color w:val="4472C4" w:themeColor="accent1"/>
          <w:sz w:val="28"/>
          <w:szCs w:val="28"/>
          <w:u w:val="single"/>
        </w:rPr>
        <w:t>if latent</w:t>
      </w:r>
      <w:r w:rsidRPr="00824A21">
        <w:rPr>
          <w:rFonts w:ascii="Times New Roman" w:hAnsi="Times New Roman" w:cs="Times New Roman"/>
          <w:color w:val="4472C4" w:themeColor="accent1"/>
          <w:sz w:val="28"/>
          <w:szCs w:val="28"/>
        </w:rPr>
        <w:t xml:space="preserve"> time the defect is discovered or should have been discovered</w:t>
      </w:r>
    </w:p>
    <w:p w:rsidR="00F90822" w:rsidRPr="009A0BD2" w:rsidRDefault="00F90822" w:rsidP="00F90822">
      <w:pPr>
        <w:rPr>
          <w:rFonts w:ascii="Times New Roman" w:hAnsi="Times New Roman" w:cs="Times New Roman"/>
          <w:sz w:val="28"/>
          <w:szCs w:val="28"/>
        </w:rPr>
      </w:pPr>
    </w:p>
    <w:p w:rsidR="00F90822" w:rsidRPr="005A6321" w:rsidRDefault="00F90822" w:rsidP="00F90822">
      <w:pPr>
        <w:pStyle w:val="ListParagraph"/>
        <w:numPr>
          <w:ilvl w:val="0"/>
          <w:numId w:val="1"/>
        </w:numPr>
        <w:rPr>
          <w:rFonts w:ascii="Times New Roman" w:hAnsi="Times New Roman" w:cs="Times New Roman"/>
          <w:b/>
          <w:sz w:val="28"/>
          <w:szCs w:val="28"/>
        </w:rPr>
      </w:pPr>
      <w:r w:rsidRPr="005A6321">
        <w:rPr>
          <w:rFonts w:ascii="Times New Roman" w:hAnsi="Times New Roman" w:cs="Times New Roman"/>
          <w:b/>
          <w:sz w:val="28"/>
          <w:szCs w:val="28"/>
        </w:rPr>
        <w:t xml:space="preserve">2017 </w:t>
      </w:r>
      <w:r w:rsidR="00762812" w:rsidRPr="005A6321">
        <w:rPr>
          <w:rFonts w:ascii="Times New Roman" w:hAnsi="Times New Roman" w:cs="Times New Roman"/>
          <w:b/>
          <w:sz w:val="28"/>
          <w:szCs w:val="28"/>
        </w:rPr>
        <w:t xml:space="preserve">Concern – </w:t>
      </w:r>
      <w:r w:rsidR="00762812" w:rsidRPr="009A0BD2">
        <w:rPr>
          <w:rFonts w:ascii="Times New Roman" w:hAnsi="Times New Roman" w:cs="Times New Roman"/>
          <w:b/>
          <w:i/>
          <w:sz w:val="28"/>
          <w:szCs w:val="28"/>
        </w:rPr>
        <w:t>When is the Contract</w:t>
      </w:r>
      <w:r w:rsidR="005A6321">
        <w:rPr>
          <w:rFonts w:ascii="Times New Roman" w:hAnsi="Times New Roman" w:cs="Times New Roman"/>
          <w:b/>
          <w:i/>
          <w:sz w:val="28"/>
          <w:szCs w:val="28"/>
        </w:rPr>
        <w:t xml:space="preserve"> “Completed</w:t>
      </w:r>
      <w:r w:rsidR="005A6321" w:rsidRPr="009A0BD2">
        <w:rPr>
          <w:rFonts w:ascii="Times New Roman" w:hAnsi="Times New Roman" w:cs="Times New Roman"/>
          <w:b/>
          <w:i/>
          <w:sz w:val="28"/>
          <w:szCs w:val="28"/>
        </w:rPr>
        <w:t>?</w:t>
      </w:r>
      <w:r w:rsidR="005A6321">
        <w:rPr>
          <w:rFonts w:ascii="Times New Roman" w:hAnsi="Times New Roman" w:cs="Times New Roman"/>
          <w:b/>
          <w:i/>
          <w:sz w:val="28"/>
          <w:szCs w:val="28"/>
        </w:rPr>
        <w:t>”</w:t>
      </w:r>
    </w:p>
    <w:p w:rsidR="00F90822" w:rsidRPr="005A6321" w:rsidRDefault="00F90822" w:rsidP="00F90822">
      <w:pPr>
        <w:pStyle w:val="ListParagraph"/>
        <w:numPr>
          <w:ilvl w:val="1"/>
          <w:numId w:val="1"/>
        </w:numPr>
        <w:rPr>
          <w:rFonts w:ascii="Times New Roman" w:hAnsi="Times New Roman" w:cs="Times New Roman"/>
          <w:b/>
          <w:sz w:val="28"/>
          <w:szCs w:val="28"/>
        </w:rPr>
      </w:pPr>
      <w:r w:rsidRPr="005A6321">
        <w:rPr>
          <w:rFonts w:ascii="Times New Roman" w:hAnsi="Times New Roman" w:cs="Times New Roman"/>
          <w:i/>
          <w:sz w:val="28"/>
          <w:szCs w:val="28"/>
        </w:rPr>
        <w:t xml:space="preserve">Cypress Fairway Cond. v. Bergeron Constr. Co. </w:t>
      </w:r>
      <w:r w:rsidRPr="005A6321">
        <w:rPr>
          <w:rFonts w:ascii="Times New Roman" w:hAnsi="Times New Roman" w:cs="Times New Roman"/>
          <w:sz w:val="28"/>
          <w:szCs w:val="28"/>
        </w:rPr>
        <w:t>164 So.</w:t>
      </w:r>
      <w:r w:rsidR="0023144E" w:rsidRPr="005A6321">
        <w:rPr>
          <w:rFonts w:ascii="Times New Roman" w:hAnsi="Times New Roman" w:cs="Times New Roman"/>
          <w:sz w:val="28"/>
          <w:szCs w:val="28"/>
        </w:rPr>
        <w:t xml:space="preserve"> </w:t>
      </w:r>
      <w:r w:rsidRPr="005A6321">
        <w:rPr>
          <w:rFonts w:ascii="Times New Roman" w:hAnsi="Times New Roman" w:cs="Times New Roman"/>
          <w:sz w:val="28"/>
          <w:szCs w:val="28"/>
        </w:rPr>
        <w:t>3d 706 (Fla. 5</w:t>
      </w:r>
      <w:r w:rsidRPr="005A6321">
        <w:rPr>
          <w:rFonts w:ascii="Times New Roman" w:hAnsi="Times New Roman" w:cs="Times New Roman"/>
          <w:sz w:val="28"/>
          <w:szCs w:val="28"/>
          <w:vertAlign w:val="superscript"/>
        </w:rPr>
        <w:t>th</w:t>
      </w:r>
      <w:r w:rsidRPr="005A6321">
        <w:rPr>
          <w:rFonts w:ascii="Times New Roman" w:hAnsi="Times New Roman" w:cs="Times New Roman"/>
          <w:sz w:val="28"/>
          <w:szCs w:val="28"/>
        </w:rPr>
        <w:t xml:space="preserve"> DCA 2015).</w:t>
      </w:r>
    </w:p>
    <w:p w:rsidR="009C4230" w:rsidRPr="005A6321" w:rsidRDefault="00BF6C56" w:rsidP="0023144E">
      <w:pPr>
        <w:pStyle w:val="ListParagraph"/>
        <w:numPr>
          <w:ilvl w:val="2"/>
          <w:numId w:val="1"/>
        </w:numPr>
        <w:rPr>
          <w:rFonts w:ascii="Times New Roman" w:hAnsi="Times New Roman" w:cs="Times New Roman"/>
          <w:b/>
          <w:vanish/>
          <w:sz w:val="28"/>
          <w:szCs w:val="28"/>
        </w:rPr>
      </w:pPr>
      <w:r w:rsidRPr="005A6321">
        <w:rPr>
          <w:rFonts w:ascii="Times New Roman" w:hAnsi="Times New Roman" w:cs="Times New Roman"/>
          <w:sz w:val="28"/>
          <w:szCs w:val="28"/>
        </w:rPr>
        <w:t xml:space="preserve">The trial court granted summary judgment against the condominium association bringing a construction defect claim based on application of the ten-year statute of repose. The association asserted that the underlying contract with the defendant was never “completed” until payment was actually made for the work.  The appellate court </w:t>
      </w:r>
      <w:r w:rsidR="0023144E" w:rsidRPr="005A6321">
        <w:rPr>
          <w:rFonts w:ascii="Times New Roman" w:hAnsi="Times New Roman" w:cs="Times New Roman"/>
          <w:sz w:val="28"/>
          <w:szCs w:val="28"/>
        </w:rPr>
        <w:t xml:space="preserve">in </w:t>
      </w:r>
      <w:r w:rsidR="0023144E" w:rsidRPr="005A6321">
        <w:rPr>
          <w:rFonts w:ascii="Times New Roman" w:hAnsi="Times New Roman" w:cs="Times New Roman"/>
          <w:i/>
          <w:sz w:val="28"/>
          <w:szCs w:val="28"/>
        </w:rPr>
        <w:t>Cypress</w:t>
      </w:r>
      <w:r w:rsidR="0023144E" w:rsidRPr="005A6321">
        <w:rPr>
          <w:rFonts w:ascii="Times New Roman" w:hAnsi="Times New Roman" w:cs="Times New Roman"/>
          <w:sz w:val="28"/>
          <w:szCs w:val="28"/>
        </w:rPr>
        <w:t xml:space="preserve"> </w:t>
      </w:r>
      <w:r w:rsidRPr="005A6321">
        <w:rPr>
          <w:rFonts w:ascii="Times New Roman" w:hAnsi="Times New Roman" w:cs="Times New Roman"/>
          <w:sz w:val="28"/>
          <w:szCs w:val="28"/>
        </w:rPr>
        <w:t>agreed with this position, finding that completion of the contract require</w:t>
      </w:r>
      <w:r w:rsidR="004A5E5E">
        <w:rPr>
          <w:rFonts w:ascii="Times New Roman" w:hAnsi="Times New Roman" w:cs="Times New Roman"/>
          <w:sz w:val="28"/>
          <w:szCs w:val="28"/>
        </w:rPr>
        <w:t>s</w:t>
      </w:r>
      <w:r w:rsidRPr="005A6321">
        <w:rPr>
          <w:rFonts w:ascii="Times New Roman" w:hAnsi="Times New Roman" w:cs="Times New Roman"/>
          <w:sz w:val="28"/>
          <w:szCs w:val="28"/>
        </w:rPr>
        <w:t xml:space="preserve"> performance by both sides, and reversed.</w:t>
      </w:r>
    </w:p>
    <w:p w:rsidR="0023144E" w:rsidRPr="005A6321" w:rsidRDefault="0023144E" w:rsidP="00BF6C56">
      <w:pPr>
        <w:pStyle w:val="ListParagraph"/>
        <w:numPr>
          <w:ilvl w:val="1"/>
          <w:numId w:val="1"/>
        </w:numPr>
        <w:rPr>
          <w:rFonts w:ascii="Times New Roman" w:hAnsi="Times New Roman" w:cs="Times New Roman"/>
          <w:b/>
          <w:vanish/>
          <w:sz w:val="28"/>
          <w:szCs w:val="28"/>
        </w:rPr>
      </w:pPr>
      <w:r w:rsidRPr="005A6321">
        <w:rPr>
          <w:rFonts w:ascii="Times New Roman" w:hAnsi="Times New Roman" w:cs="Times New Roman"/>
          <w:sz w:val="28"/>
          <w:szCs w:val="28"/>
        </w:rPr>
        <w:t xml:space="preserve">In response to </w:t>
      </w:r>
      <w:r w:rsidRPr="005A6321">
        <w:rPr>
          <w:rFonts w:ascii="Times New Roman" w:hAnsi="Times New Roman" w:cs="Times New Roman"/>
          <w:i/>
          <w:sz w:val="28"/>
          <w:szCs w:val="28"/>
        </w:rPr>
        <w:t>Cypress</w:t>
      </w:r>
      <w:r w:rsidRPr="005A6321">
        <w:rPr>
          <w:rFonts w:ascii="Times New Roman" w:hAnsi="Times New Roman" w:cs="Times New Roman"/>
          <w:sz w:val="28"/>
          <w:szCs w:val="28"/>
        </w:rPr>
        <w:t xml:space="preserve"> House Bill 377, Chapter 2017-101 Law of Florida was passed in 2017.</w:t>
      </w:r>
    </w:p>
    <w:p w:rsidR="0023144E" w:rsidRPr="005A6321" w:rsidRDefault="0023144E" w:rsidP="0023144E">
      <w:pPr>
        <w:pStyle w:val="ListParagraph"/>
        <w:numPr>
          <w:ilvl w:val="2"/>
          <w:numId w:val="1"/>
        </w:numPr>
        <w:rPr>
          <w:rFonts w:ascii="Times New Roman" w:hAnsi="Times New Roman" w:cs="Times New Roman"/>
          <w:b/>
          <w:sz w:val="28"/>
          <w:szCs w:val="28"/>
        </w:rPr>
      </w:pPr>
      <w:r w:rsidRPr="005A6321">
        <w:rPr>
          <w:rFonts w:ascii="Times New Roman" w:hAnsi="Times New Roman" w:cs="Times New Roman"/>
          <w:sz w:val="28"/>
          <w:szCs w:val="28"/>
        </w:rPr>
        <w:t>Change added “Completion of the contract means the later of the date of final performance of all the contracted services or the date that final payment for such services becomes due without regard to the date final payment is made.”</w:t>
      </w:r>
    </w:p>
    <w:p w:rsidR="0023144E" w:rsidRPr="005A6321" w:rsidRDefault="0023144E" w:rsidP="0023144E">
      <w:pPr>
        <w:pStyle w:val="ListParagraph"/>
        <w:numPr>
          <w:ilvl w:val="2"/>
          <w:numId w:val="1"/>
        </w:numPr>
        <w:rPr>
          <w:rFonts w:ascii="Times New Roman" w:hAnsi="Times New Roman" w:cs="Times New Roman"/>
          <w:b/>
          <w:vanish/>
          <w:sz w:val="28"/>
          <w:szCs w:val="28"/>
        </w:rPr>
      </w:pPr>
      <w:r w:rsidRPr="005A6321">
        <w:rPr>
          <w:rFonts w:ascii="Times New Roman" w:hAnsi="Times New Roman" w:cs="Times New Roman"/>
          <w:sz w:val="28"/>
          <w:szCs w:val="28"/>
        </w:rPr>
        <w:t>“Completion of the contract” is now based on date payment is due, not when paid in addition to completion of the contracted work under the contract.</w:t>
      </w:r>
    </w:p>
    <w:p w:rsidR="0023144E" w:rsidRPr="005A6321" w:rsidRDefault="0023144E" w:rsidP="0023144E">
      <w:pPr>
        <w:pStyle w:val="ListParagraph"/>
        <w:numPr>
          <w:ilvl w:val="0"/>
          <w:numId w:val="1"/>
        </w:numPr>
        <w:rPr>
          <w:rFonts w:ascii="Times New Roman" w:hAnsi="Times New Roman" w:cs="Times New Roman"/>
          <w:b/>
          <w:vanish/>
          <w:sz w:val="28"/>
          <w:szCs w:val="28"/>
        </w:rPr>
      </w:pPr>
      <w:r w:rsidRPr="005A6321">
        <w:rPr>
          <w:rFonts w:ascii="Times New Roman" w:hAnsi="Times New Roman" w:cs="Times New Roman"/>
          <w:b/>
          <w:sz w:val="28"/>
          <w:szCs w:val="28"/>
        </w:rPr>
        <w:t xml:space="preserve">2018 </w:t>
      </w:r>
      <w:r w:rsidR="00762812" w:rsidRPr="005A6321">
        <w:rPr>
          <w:rFonts w:ascii="Times New Roman" w:hAnsi="Times New Roman" w:cs="Times New Roman"/>
          <w:b/>
          <w:sz w:val="28"/>
          <w:szCs w:val="28"/>
        </w:rPr>
        <w:t xml:space="preserve">Concern – </w:t>
      </w:r>
      <w:r w:rsidR="00762812" w:rsidRPr="009A0BD2">
        <w:rPr>
          <w:rFonts w:ascii="Times New Roman" w:hAnsi="Times New Roman" w:cs="Times New Roman"/>
          <w:b/>
          <w:i/>
          <w:sz w:val="28"/>
          <w:szCs w:val="28"/>
        </w:rPr>
        <w:t>When is Work Under the Contract Completed</w:t>
      </w:r>
      <w:r w:rsidR="004A5E5E">
        <w:rPr>
          <w:rFonts w:ascii="Times New Roman" w:hAnsi="Times New Roman" w:cs="Times New Roman"/>
          <w:b/>
          <w:sz w:val="28"/>
          <w:szCs w:val="28"/>
        </w:rPr>
        <w:t>?</w:t>
      </w:r>
    </w:p>
    <w:p w:rsidR="0023144E" w:rsidRPr="005A6321" w:rsidRDefault="0023144E" w:rsidP="0023144E">
      <w:pPr>
        <w:pStyle w:val="ListParagraph"/>
        <w:numPr>
          <w:ilvl w:val="1"/>
          <w:numId w:val="1"/>
        </w:numPr>
        <w:rPr>
          <w:rFonts w:ascii="Times New Roman" w:hAnsi="Times New Roman" w:cs="Times New Roman"/>
          <w:b/>
          <w:vanish/>
          <w:sz w:val="28"/>
          <w:szCs w:val="28"/>
        </w:rPr>
      </w:pPr>
      <w:r w:rsidRPr="005A6321">
        <w:rPr>
          <w:rFonts w:ascii="Times New Roman" w:hAnsi="Times New Roman" w:cs="Times New Roman"/>
          <w:i/>
          <w:sz w:val="28"/>
          <w:szCs w:val="28"/>
        </w:rPr>
        <w:t xml:space="preserve">Busch v. Lennar Homes, LLC </w:t>
      </w:r>
      <w:r w:rsidRPr="005A6321">
        <w:rPr>
          <w:rFonts w:ascii="Times New Roman" w:hAnsi="Times New Roman" w:cs="Times New Roman"/>
          <w:sz w:val="28"/>
          <w:szCs w:val="28"/>
        </w:rPr>
        <w:t>219 So. 3d 93 (Fla. 5</w:t>
      </w:r>
      <w:r w:rsidRPr="005A6321">
        <w:rPr>
          <w:rFonts w:ascii="Times New Roman" w:hAnsi="Times New Roman" w:cs="Times New Roman"/>
          <w:sz w:val="28"/>
          <w:szCs w:val="28"/>
          <w:vertAlign w:val="superscript"/>
        </w:rPr>
        <w:t>th</w:t>
      </w:r>
      <w:r w:rsidRPr="005A6321">
        <w:rPr>
          <w:rFonts w:ascii="Times New Roman" w:hAnsi="Times New Roman" w:cs="Times New Roman"/>
          <w:sz w:val="28"/>
          <w:szCs w:val="28"/>
        </w:rPr>
        <w:t xml:space="preserve"> DCA 2017).</w:t>
      </w:r>
    </w:p>
    <w:p w:rsidR="0023144E" w:rsidRPr="005A6321" w:rsidRDefault="0023144E" w:rsidP="0023144E">
      <w:pPr>
        <w:pStyle w:val="ListParagraph"/>
        <w:numPr>
          <w:ilvl w:val="2"/>
          <w:numId w:val="1"/>
        </w:numPr>
        <w:rPr>
          <w:rFonts w:ascii="Times New Roman" w:hAnsi="Times New Roman" w:cs="Times New Roman"/>
          <w:b/>
          <w:vanish/>
          <w:sz w:val="28"/>
          <w:szCs w:val="28"/>
        </w:rPr>
      </w:pPr>
      <w:r w:rsidRPr="005A6321">
        <w:rPr>
          <w:rFonts w:ascii="Times New Roman" w:hAnsi="Times New Roman" w:cs="Times New Roman"/>
          <w:sz w:val="28"/>
          <w:szCs w:val="28"/>
        </w:rPr>
        <w:lastRenderedPageBreak/>
        <w:t>The trial court dismissed a homeowner</w:t>
      </w:r>
      <w:r w:rsidR="004A5E5E">
        <w:rPr>
          <w:rFonts w:ascii="Times New Roman" w:hAnsi="Times New Roman" w:cs="Times New Roman"/>
          <w:sz w:val="28"/>
          <w:szCs w:val="28"/>
        </w:rPr>
        <w:t>’</w:t>
      </w:r>
      <w:r w:rsidRPr="005A6321">
        <w:rPr>
          <w:rFonts w:ascii="Times New Roman" w:hAnsi="Times New Roman" w:cs="Times New Roman"/>
          <w:sz w:val="28"/>
          <w:szCs w:val="28"/>
        </w:rPr>
        <w:t xml:space="preserve">s construction defect complaint </w:t>
      </w:r>
      <w:r w:rsidR="00762812" w:rsidRPr="005A6321">
        <w:rPr>
          <w:rFonts w:ascii="Times New Roman" w:hAnsi="Times New Roman" w:cs="Times New Roman"/>
          <w:sz w:val="28"/>
          <w:szCs w:val="28"/>
        </w:rPr>
        <w:t xml:space="preserve">with prejudice </w:t>
      </w:r>
      <w:r w:rsidRPr="005A6321">
        <w:rPr>
          <w:rFonts w:ascii="Times New Roman" w:hAnsi="Times New Roman" w:cs="Times New Roman"/>
          <w:sz w:val="28"/>
          <w:szCs w:val="28"/>
        </w:rPr>
        <w:t>based on application of the statute of repose.</w:t>
      </w:r>
    </w:p>
    <w:p w:rsidR="0023144E" w:rsidRPr="005A6321" w:rsidRDefault="004A5E5E" w:rsidP="0023144E">
      <w:pPr>
        <w:pStyle w:val="ListParagraph"/>
        <w:numPr>
          <w:ilvl w:val="2"/>
          <w:numId w:val="1"/>
        </w:numPr>
        <w:rPr>
          <w:rFonts w:ascii="Times New Roman" w:hAnsi="Times New Roman" w:cs="Times New Roman"/>
          <w:b/>
          <w:vanish/>
          <w:sz w:val="28"/>
          <w:szCs w:val="28"/>
        </w:rPr>
      </w:pPr>
      <w:r>
        <w:rPr>
          <w:rFonts w:ascii="Times New Roman" w:hAnsi="Times New Roman" w:cs="Times New Roman"/>
          <w:sz w:val="28"/>
          <w:szCs w:val="28"/>
        </w:rPr>
        <w:t xml:space="preserve">Issue on appeal: </w:t>
      </w:r>
      <w:r w:rsidR="00762812" w:rsidRPr="005A6321">
        <w:rPr>
          <w:rFonts w:ascii="Times New Roman" w:hAnsi="Times New Roman" w:cs="Times New Roman"/>
          <w:sz w:val="28"/>
          <w:szCs w:val="28"/>
        </w:rPr>
        <w:t>whether the factual allegations in the complaint establish that limitations or repose applies.</w:t>
      </w:r>
    </w:p>
    <w:p w:rsidR="00762812" w:rsidRPr="005A6321" w:rsidRDefault="00762812" w:rsidP="0023144E">
      <w:pPr>
        <w:pStyle w:val="ListParagraph"/>
        <w:numPr>
          <w:ilvl w:val="2"/>
          <w:numId w:val="1"/>
        </w:numPr>
        <w:rPr>
          <w:rFonts w:ascii="Times New Roman" w:hAnsi="Times New Roman" w:cs="Times New Roman"/>
          <w:b/>
          <w:sz w:val="28"/>
          <w:szCs w:val="28"/>
        </w:rPr>
      </w:pPr>
      <w:r w:rsidRPr="005A6321">
        <w:rPr>
          <w:rFonts w:ascii="Times New Roman" w:hAnsi="Times New Roman" w:cs="Times New Roman"/>
          <w:sz w:val="28"/>
          <w:szCs w:val="28"/>
        </w:rPr>
        <w:t>The lawsuit was filed more than ten</w:t>
      </w:r>
      <w:r w:rsidR="004A5E5E">
        <w:rPr>
          <w:rFonts w:ascii="Times New Roman" w:hAnsi="Times New Roman" w:cs="Times New Roman"/>
          <w:sz w:val="28"/>
          <w:szCs w:val="28"/>
        </w:rPr>
        <w:t xml:space="preserve"> y</w:t>
      </w:r>
      <w:r w:rsidRPr="005A6321">
        <w:rPr>
          <w:rFonts w:ascii="Times New Roman" w:hAnsi="Times New Roman" w:cs="Times New Roman"/>
          <w:sz w:val="28"/>
          <w:szCs w:val="28"/>
        </w:rPr>
        <w:t>ears after closing. The builder moved for dismissal claiming the contract was completed at closing</w:t>
      </w:r>
      <w:r w:rsidR="004A5E5E">
        <w:rPr>
          <w:rFonts w:ascii="Times New Roman" w:hAnsi="Times New Roman" w:cs="Times New Roman"/>
          <w:sz w:val="28"/>
          <w:szCs w:val="28"/>
        </w:rPr>
        <w:t xml:space="preserve"> and</w:t>
      </w:r>
      <w:r w:rsidRPr="005A6321">
        <w:rPr>
          <w:rFonts w:ascii="Times New Roman" w:hAnsi="Times New Roman" w:cs="Times New Roman"/>
          <w:sz w:val="28"/>
          <w:szCs w:val="28"/>
        </w:rPr>
        <w:t xml:space="preserve"> invoking repose.</w:t>
      </w:r>
    </w:p>
    <w:p w:rsidR="00762812" w:rsidRPr="005A6321" w:rsidRDefault="00762812" w:rsidP="0023144E">
      <w:pPr>
        <w:pStyle w:val="ListParagraph"/>
        <w:numPr>
          <w:ilvl w:val="2"/>
          <w:numId w:val="1"/>
        </w:numPr>
        <w:rPr>
          <w:rFonts w:ascii="Times New Roman" w:hAnsi="Times New Roman" w:cs="Times New Roman"/>
          <w:b/>
          <w:sz w:val="28"/>
          <w:szCs w:val="28"/>
        </w:rPr>
      </w:pPr>
      <w:r w:rsidRPr="005A6321">
        <w:rPr>
          <w:rFonts w:ascii="Times New Roman" w:hAnsi="Times New Roman" w:cs="Times New Roman"/>
          <w:sz w:val="28"/>
          <w:szCs w:val="28"/>
        </w:rPr>
        <w:t>The contract provided for two inspections prior to closing. The first inspection was to identify defects and prepare a punchlist</w:t>
      </w:r>
      <w:r w:rsidR="004A5E5E">
        <w:rPr>
          <w:rFonts w:ascii="Times New Roman" w:hAnsi="Times New Roman" w:cs="Times New Roman"/>
          <w:sz w:val="28"/>
          <w:szCs w:val="28"/>
        </w:rPr>
        <w:t>.</w:t>
      </w:r>
      <w:r w:rsidRPr="005A6321">
        <w:rPr>
          <w:rFonts w:ascii="Times New Roman" w:hAnsi="Times New Roman" w:cs="Times New Roman"/>
          <w:sz w:val="28"/>
          <w:szCs w:val="28"/>
        </w:rPr>
        <w:t xml:space="preserve"> </w:t>
      </w:r>
      <w:r w:rsidR="004A5E5E">
        <w:rPr>
          <w:rFonts w:ascii="Times New Roman" w:hAnsi="Times New Roman" w:cs="Times New Roman"/>
          <w:sz w:val="28"/>
          <w:szCs w:val="28"/>
        </w:rPr>
        <w:t>T</w:t>
      </w:r>
      <w:r w:rsidRPr="005A6321">
        <w:rPr>
          <w:rFonts w:ascii="Times New Roman" w:hAnsi="Times New Roman" w:cs="Times New Roman"/>
          <w:sz w:val="28"/>
          <w:szCs w:val="28"/>
        </w:rPr>
        <w:t xml:space="preserve">he second inspection was to verify if all punchlist items were completed. Items not fixed by the time of the second inspection could be corrected by the builder within a reasonable time </w:t>
      </w:r>
      <w:r w:rsidRPr="005A6321">
        <w:rPr>
          <w:rFonts w:ascii="Times New Roman" w:hAnsi="Times New Roman" w:cs="Times New Roman"/>
          <w:sz w:val="28"/>
          <w:szCs w:val="28"/>
          <w:u w:val="single"/>
        </w:rPr>
        <w:t>after</w:t>
      </w:r>
      <w:r w:rsidRPr="005A6321">
        <w:rPr>
          <w:rFonts w:ascii="Times New Roman" w:hAnsi="Times New Roman" w:cs="Times New Roman"/>
          <w:sz w:val="28"/>
          <w:szCs w:val="28"/>
        </w:rPr>
        <w:t xml:space="preserve"> closing.</w:t>
      </w:r>
    </w:p>
    <w:p w:rsidR="00762812" w:rsidRPr="005A6321" w:rsidRDefault="00762812" w:rsidP="0023144E">
      <w:pPr>
        <w:pStyle w:val="ListParagraph"/>
        <w:numPr>
          <w:ilvl w:val="2"/>
          <w:numId w:val="1"/>
        </w:numPr>
        <w:rPr>
          <w:rFonts w:ascii="Times New Roman" w:hAnsi="Times New Roman" w:cs="Times New Roman"/>
          <w:b/>
          <w:sz w:val="28"/>
          <w:szCs w:val="28"/>
        </w:rPr>
      </w:pPr>
      <w:r w:rsidRPr="005A6321">
        <w:rPr>
          <w:rFonts w:ascii="Times New Roman" w:hAnsi="Times New Roman" w:cs="Times New Roman"/>
          <w:sz w:val="28"/>
          <w:szCs w:val="28"/>
        </w:rPr>
        <w:t>Because the possibility exist</w:t>
      </w:r>
      <w:r w:rsidR="004A5E5E">
        <w:rPr>
          <w:rFonts w:ascii="Times New Roman" w:hAnsi="Times New Roman" w:cs="Times New Roman"/>
          <w:sz w:val="28"/>
          <w:szCs w:val="28"/>
        </w:rPr>
        <w:t>ed</w:t>
      </w:r>
      <w:r w:rsidRPr="005A6321">
        <w:rPr>
          <w:rFonts w:ascii="Times New Roman" w:hAnsi="Times New Roman" w:cs="Times New Roman"/>
          <w:sz w:val="28"/>
          <w:szCs w:val="28"/>
        </w:rPr>
        <w:t xml:space="preserve"> that the builder performed or was required to perform work after the closing date, the closing was not a definitive time for completion of the contract and therefore factual inquiry was required by the trial court. The matter could not be adjudicated on the complaint alone, and the dismissal was reversed.</w:t>
      </w:r>
    </w:p>
    <w:p w:rsidR="00762812" w:rsidRPr="005A6321" w:rsidRDefault="0068014A" w:rsidP="00762812">
      <w:pPr>
        <w:pStyle w:val="ListParagraph"/>
        <w:numPr>
          <w:ilvl w:val="1"/>
          <w:numId w:val="1"/>
        </w:numPr>
        <w:rPr>
          <w:rFonts w:ascii="Times New Roman" w:hAnsi="Times New Roman" w:cs="Times New Roman"/>
          <w:b/>
          <w:sz w:val="28"/>
          <w:szCs w:val="28"/>
        </w:rPr>
      </w:pPr>
      <w:r w:rsidRPr="005A6321">
        <w:rPr>
          <w:rFonts w:ascii="Times New Roman" w:hAnsi="Times New Roman" w:cs="Times New Roman"/>
          <w:sz w:val="28"/>
          <w:szCs w:val="28"/>
        </w:rPr>
        <w:t>Senate Bill 536 (2018)</w:t>
      </w:r>
    </w:p>
    <w:p w:rsidR="0068014A" w:rsidRPr="005A6321" w:rsidRDefault="0068014A" w:rsidP="0068014A">
      <w:pPr>
        <w:pStyle w:val="ListParagraph"/>
        <w:numPr>
          <w:ilvl w:val="2"/>
          <w:numId w:val="1"/>
        </w:numPr>
        <w:rPr>
          <w:rFonts w:ascii="Times New Roman" w:hAnsi="Times New Roman" w:cs="Times New Roman"/>
          <w:b/>
          <w:sz w:val="28"/>
          <w:szCs w:val="28"/>
        </w:rPr>
      </w:pPr>
      <w:r w:rsidRPr="005A6321">
        <w:rPr>
          <w:rFonts w:ascii="Times New Roman" w:hAnsi="Times New Roman" w:cs="Times New Roman"/>
          <w:sz w:val="28"/>
          <w:szCs w:val="28"/>
        </w:rPr>
        <w:t>Lines 49-53</w:t>
      </w:r>
      <w:r w:rsidR="004918BF" w:rsidRPr="005A6321">
        <w:rPr>
          <w:rFonts w:ascii="Times New Roman" w:hAnsi="Times New Roman" w:cs="Times New Roman"/>
          <w:sz w:val="28"/>
          <w:szCs w:val="28"/>
        </w:rPr>
        <w:t>:</w:t>
      </w:r>
    </w:p>
    <w:p w:rsidR="0068014A" w:rsidRPr="005A6321" w:rsidRDefault="0068014A" w:rsidP="0068014A">
      <w:pPr>
        <w:rPr>
          <w:rFonts w:ascii="Times New Roman" w:hAnsi="Times New Roman" w:cs="Times New Roman"/>
          <w:b/>
          <w:sz w:val="28"/>
          <w:szCs w:val="28"/>
        </w:rPr>
      </w:pPr>
      <w:r w:rsidRPr="005A6321">
        <w:rPr>
          <w:rFonts w:ascii="Times New Roman" w:hAnsi="Times New Roman" w:cs="Times New Roman"/>
          <w:b/>
          <w:noProof/>
          <w:sz w:val="28"/>
          <w:szCs w:val="28"/>
        </w:rPr>
        <w:drawing>
          <wp:inline distT="0" distB="0" distL="0" distR="0">
            <wp:extent cx="7077456" cy="117043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077456" cy="1170432"/>
                    </a:xfrm>
                    <a:prstGeom prst="rect">
                      <a:avLst/>
                    </a:prstGeom>
                    <a:noFill/>
                    <a:ln>
                      <a:noFill/>
                    </a:ln>
                  </pic:spPr>
                </pic:pic>
              </a:graphicData>
            </a:graphic>
          </wp:inline>
        </w:drawing>
      </w:r>
    </w:p>
    <w:p w:rsidR="0068014A" w:rsidRPr="005A6321" w:rsidRDefault="0068014A" w:rsidP="0068014A">
      <w:pPr>
        <w:pStyle w:val="ListParagraph"/>
        <w:numPr>
          <w:ilvl w:val="2"/>
          <w:numId w:val="1"/>
        </w:numPr>
        <w:rPr>
          <w:rFonts w:ascii="Times New Roman" w:hAnsi="Times New Roman" w:cs="Times New Roman"/>
          <w:b/>
          <w:sz w:val="28"/>
          <w:szCs w:val="28"/>
        </w:rPr>
      </w:pPr>
      <w:r w:rsidRPr="005A6321">
        <w:rPr>
          <w:rFonts w:ascii="Times New Roman" w:hAnsi="Times New Roman" w:cs="Times New Roman"/>
          <w:sz w:val="28"/>
          <w:szCs w:val="28"/>
        </w:rPr>
        <w:t xml:space="preserve">The proposed language is a response to </w:t>
      </w:r>
      <w:r w:rsidRPr="005A6321">
        <w:rPr>
          <w:rFonts w:ascii="Times New Roman" w:hAnsi="Times New Roman" w:cs="Times New Roman"/>
          <w:i/>
          <w:sz w:val="28"/>
          <w:szCs w:val="28"/>
        </w:rPr>
        <w:t>Bush v. Lennar</w:t>
      </w:r>
      <w:r w:rsidRPr="005A6321">
        <w:rPr>
          <w:rFonts w:ascii="Times New Roman" w:hAnsi="Times New Roman" w:cs="Times New Roman"/>
          <w:sz w:val="28"/>
          <w:szCs w:val="28"/>
        </w:rPr>
        <w:t>. The sponsor interprets the case as determining substantively that punchlist work actually extended the repose period in that case.</w:t>
      </w:r>
    </w:p>
    <w:p w:rsidR="009809CB" w:rsidRPr="005A6321" w:rsidRDefault="009809CB" w:rsidP="0068014A">
      <w:pPr>
        <w:pStyle w:val="ListParagraph"/>
        <w:numPr>
          <w:ilvl w:val="2"/>
          <w:numId w:val="1"/>
        </w:numPr>
        <w:rPr>
          <w:rFonts w:ascii="Times New Roman" w:hAnsi="Times New Roman" w:cs="Times New Roman"/>
          <w:b/>
          <w:sz w:val="28"/>
          <w:szCs w:val="28"/>
        </w:rPr>
      </w:pPr>
      <w:r w:rsidRPr="005A6321">
        <w:rPr>
          <w:rFonts w:ascii="Times New Roman" w:hAnsi="Times New Roman" w:cs="Times New Roman"/>
          <w:sz w:val="28"/>
          <w:szCs w:val="28"/>
        </w:rPr>
        <w:t xml:space="preserve">Bill language confuses final government inspection required by building code </w:t>
      </w:r>
      <w:r w:rsidR="004A5E5E">
        <w:rPr>
          <w:rFonts w:ascii="Times New Roman" w:hAnsi="Times New Roman" w:cs="Times New Roman"/>
          <w:sz w:val="28"/>
          <w:szCs w:val="28"/>
        </w:rPr>
        <w:t>with</w:t>
      </w:r>
      <w:r w:rsidR="004A5E5E" w:rsidRPr="005A6321">
        <w:rPr>
          <w:rFonts w:ascii="Times New Roman" w:hAnsi="Times New Roman" w:cs="Times New Roman"/>
          <w:sz w:val="28"/>
          <w:szCs w:val="28"/>
        </w:rPr>
        <w:t xml:space="preserve"> </w:t>
      </w:r>
      <w:r w:rsidRPr="005A6321">
        <w:rPr>
          <w:rFonts w:ascii="Times New Roman" w:hAnsi="Times New Roman" w:cs="Times New Roman"/>
          <w:sz w:val="28"/>
          <w:szCs w:val="28"/>
        </w:rPr>
        <w:t>completion of contractual obligations.</w:t>
      </w:r>
    </w:p>
    <w:p w:rsidR="009809CB" w:rsidRPr="00614432" w:rsidRDefault="009809CB" w:rsidP="0068014A">
      <w:pPr>
        <w:pStyle w:val="ListParagraph"/>
        <w:numPr>
          <w:ilvl w:val="2"/>
          <w:numId w:val="1"/>
        </w:numPr>
        <w:rPr>
          <w:rFonts w:ascii="Times New Roman" w:hAnsi="Times New Roman" w:cs="Times New Roman"/>
          <w:b/>
          <w:sz w:val="28"/>
          <w:szCs w:val="28"/>
        </w:rPr>
      </w:pPr>
      <w:r w:rsidRPr="005A6321">
        <w:rPr>
          <w:rFonts w:ascii="Times New Roman" w:hAnsi="Times New Roman" w:cs="Times New Roman"/>
          <w:sz w:val="28"/>
          <w:szCs w:val="28"/>
        </w:rPr>
        <w:t>Bill presumes that Florida has adopted the “continuing repair” doctrine by common-law.</w:t>
      </w:r>
    </w:p>
    <w:p w:rsidR="00614432" w:rsidRPr="005A6321" w:rsidRDefault="00614432" w:rsidP="00614432">
      <w:pPr>
        <w:pStyle w:val="ListParagraph"/>
        <w:numPr>
          <w:ilvl w:val="3"/>
          <w:numId w:val="1"/>
        </w:numPr>
        <w:rPr>
          <w:rFonts w:ascii="Times New Roman" w:hAnsi="Times New Roman" w:cs="Times New Roman"/>
          <w:b/>
          <w:sz w:val="28"/>
          <w:szCs w:val="28"/>
        </w:rPr>
      </w:pPr>
      <w:r>
        <w:rPr>
          <w:rFonts w:ascii="Times New Roman" w:hAnsi="Times New Roman" w:cs="Times New Roman"/>
          <w:sz w:val="28"/>
          <w:szCs w:val="28"/>
        </w:rPr>
        <w:t xml:space="preserve">See. </w:t>
      </w:r>
      <w:r>
        <w:rPr>
          <w:rFonts w:ascii="Times New Roman" w:hAnsi="Times New Roman" w:cs="Times New Roman"/>
          <w:i/>
          <w:sz w:val="28"/>
          <w:szCs w:val="28"/>
        </w:rPr>
        <w:t>Alexander v. Suncoast Builders</w:t>
      </w:r>
      <w:r>
        <w:rPr>
          <w:rFonts w:ascii="Times New Roman" w:hAnsi="Times New Roman" w:cs="Times New Roman"/>
          <w:sz w:val="28"/>
          <w:szCs w:val="28"/>
        </w:rPr>
        <w:t xml:space="preserve"> 837 So. 2d 1056 (Fla. 3</w:t>
      </w:r>
      <w:r w:rsidRPr="00614432">
        <w:rPr>
          <w:rFonts w:ascii="Times New Roman" w:hAnsi="Times New Roman" w:cs="Times New Roman"/>
          <w:sz w:val="28"/>
          <w:szCs w:val="28"/>
          <w:vertAlign w:val="superscript"/>
        </w:rPr>
        <w:t>rd</w:t>
      </w:r>
      <w:r>
        <w:rPr>
          <w:rFonts w:ascii="Times New Roman" w:hAnsi="Times New Roman" w:cs="Times New Roman"/>
          <w:sz w:val="28"/>
          <w:szCs w:val="28"/>
        </w:rPr>
        <w:t xml:space="preserve"> DCA 2002). Patent defect claim was not barred by </w:t>
      </w:r>
      <w:r w:rsidR="00A60E39">
        <w:rPr>
          <w:rFonts w:ascii="Times New Roman" w:hAnsi="Times New Roman" w:cs="Times New Roman"/>
          <w:sz w:val="28"/>
          <w:szCs w:val="28"/>
        </w:rPr>
        <w:t xml:space="preserve">statute </w:t>
      </w:r>
      <w:r w:rsidR="00A60E39">
        <w:rPr>
          <w:rFonts w:ascii="Times New Roman" w:hAnsi="Times New Roman" w:cs="Times New Roman"/>
          <w:sz w:val="28"/>
          <w:szCs w:val="28"/>
        </w:rPr>
        <w:lastRenderedPageBreak/>
        <w:t>of limitations, because the claim was brought within four-years of abandonment of work.</w:t>
      </w:r>
      <w:r w:rsidR="00A7311A">
        <w:rPr>
          <w:rFonts w:ascii="Times New Roman" w:hAnsi="Times New Roman" w:cs="Times New Roman"/>
          <w:sz w:val="28"/>
          <w:szCs w:val="28"/>
        </w:rPr>
        <w:t xml:space="preserve"> The court recognized that continuing repair doctrine was not a basis for tolling, but found that it was not applicable in the instant case.</w:t>
      </w:r>
      <w:bookmarkStart w:id="1" w:name="_GoBack"/>
      <w:bookmarkEnd w:id="1"/>
    </w:p>
    <w:p w:rsidR="0068014A" w:rsidRPr="005A6321" w:rsidRDefault="00824A21" w:rsidP="00824A21">
      <w:pPr>
        <w:pStyle w:val="ListParagraph"/>
        <w:keepNext/>
        <w:numPr>
          <w:ilvl w:val="0"/>
          <w:numId w:val="1"/>
        </w:numPr>
        <w:rPr>
          <w:rFonts w:ascii="Times New Roman" w:hAnsi="Times New Roman" w:cs="Times New Roman"/>
          <w:b/>
          <w:sz w:val="28"/>
          <w:szCs w:val="28"/>
        </w:rPr>
      </w:pPr>
      <w:r>
        <w:rPr>
          <w:rFonts w:ascii="Times New Roman" w:hAnsi="Times New Roman" w:cs="Times New Roman"/>
          <w:b/>
          <w:sz w:val="28"/>
          <w:szCs w:val="28"/>
        </w:rPr>
        <w:t>Third Party</w:t>
      </w:r>
      <w:r w:rsidR="009809CB" w:rsidRPr="005A6321">
        <w:rPr>
          <w:rFonts w:ascii="Times New Roman" w:hAnsi="Times New Roman" w:cs="Times New Roman"/>
          <w:b/>
          <w:sz w:val="28"/>
          <w:szCs w:val="28"/>
        </w:rPr>
        <w:t xml:space="preserve"> Claims and Statute of Repose</w:t>
      </w:r>
    </w:p>
    <w:p w:rsidR="009809CB" w:rsidRPr="005A6321" w:rsidRDefault="009809CB" w:rsidP="009809CB">
      <w:pPr>
        <w:pStyle w:val="ListParagraph"/>
        <w:numPr>
          <w:ilvl w:val="1"/>
          <w:numId w:val="1"/>
        </w:numPr>
        <w:rPr>
          <w:rFonts w:ascii="Times New Roman" w:hAnsi="Times New Roman" w:cs="Times New Roman"/>
          <w:b/>
          <w:sz w:val="28"/>
          <w:szCs w:val="28"/>
        </w:rPr>
      </w:pPr>
      <w:r w:rsidRPr="005A6321">
        <w:rPr>
          <w:rFonts w:ascii="Times New Roman" w:hAnsi="Times New Roman" w:cs="Times New Roman"/>
          <w:sz w:val="28"/>
          <w:szCs w:val="28"/>
        </w:rPr>
        <w:t>Case law has distinguished the limitation provisions in s. 95.11(3)(c) from the repose provisions in the same section.</w:t>
      </w:r>
    </w:p>
    <w:p w:rsidR="009809CB" w:rsidRPr="005A6321" w:rsidRDefault="009809CB" w:rsidP="00824A21">
      <w:pPr>
        <w:pStyle w:val="ListParagraph"/>
        <w:numPr>
          <w:ilvl w:val="2"/>
          <w:numId w:val="1"/>
        </w:numPr>
        <w:rPr>
          <w:rFonts w:ascii="Times New Roman" w:hAnsi="Times New Roman" w:cs="Times New Roman"/>
          <w:b/>
          <w:sz w:val="28"/>
          <w:szCs w:val="28"/>
        </w:rPr>
      </w:pPr>
      <w:r w:rsidRPr="005A6321">
        <w:rPr>
          <w:rFonts w:ascii="Times New Roman" w:hAnsi="Times New Roman" w:cs="Times New Roman"/>
          <w:i/>
          <w:sz w:val="28"/>
          <w:szCs w:val="28"/>
        </w:rPr>
        <w:t xml:space="preserve">Sabal Chase Homeowners Ass’n v. Walt Disney World Co. </w:t>
      </w:r>
      <w:r w:rsidRPr="005A6321">
        <w:rPr>
          <w:rFonts w:ascii="Times New Roman" w:hAnsi="Times New Roman" w:cs="Times New Roman"/>
          <w:sz w:val="28"/>
          <w:szCs w:val="28"/>
        </w:rPr>
        <w:t>726 So. 2d 796 (Fla. 3</w:t>
      </w:r>
      <w:r w:rsidRPr="005A6321">
        <w:rPr>
          <w:rFonts w:ascii="Times New Roman" w:hAnsi="Times New Roman" w:cs="Times New Roman"/>
          <w:sz w:val="28"/>
          <w:szCs w:val="28"/>
          <w:vertAlign w:val="superscript"/>
        </w:rPr>
        <w:t>rd</w:t>
      </w:r>
      <w:r w:rsidRPr="005A6321">
        <w:rPr>
          <w:rFonts w:ascii="Times New Roman" w:hAnsi="Times New Roman" w:cs="Times New Roman"/>
          <w:sz w:val="28"/>
          <w:szCs w:val="28"/>
        </w:rPr>
        <w:t xml:space="preserve"> DCA 1999).</w:t>
      </w:r>
    </w:p>
    <w:p w:rsidR="009809CB" w:rsidRPr="005A6321" w:rsidRDefault="009809CB" w:rsidP="00824A21">
      <w:pPr>
        <w:pStyle w:val="ListParagraph"/>
        <w:numPr>
          <w:ilvl w:val="3"/>
          <w:numId w:val="1"/>
        </w:numPr>
        <w:rPr>
          <w:rFonts w:ascii="Times New Roman" w:hAnsi="Times New Roman" w:cs="Times New Roman"/>
          <w:b/>
          <w:sz w:val="28"/>
          <w:szCs w:val="28"/>
        </w:rPr>
      </w:pPr>
      <w:r w:rsidRPr="005A6321">
        <w:rPr>
          <w:rFonts w:ascii="Times New Roman" w:hAnsi="Times New Roman" w:cs="Times New Roman"/>
          <w:sz w:val="28"/>
          <w:szCs w:val="28"/>
        </w:rPr>
        <w:t xml:space="preserve">Majority in </w:t>
      </w:r>
      <w:r w:rsidRPr="005A6321">
        <w:rPr>
          <w:rFonts w:ascii="Times New Roman" w:hAnsi="Times New Roman" w:cs="Times New Roman"/>
          <w:i/>
          <w:sz w:val="28"/>
          <w:szCs w:val="28"/>
        </w:rPr>
        <w:t>Sabal Chase</w:t>
      </w:r>
      <w:r w:rsidR="004A5E5E">
        <w:rPr>
          <w:rFonts w:ascii="Times New Roman" w:hAnsi="Times New Roman" w:cs="Times New Roman"/>
          <w:sz w:val="28"/>
          <w:szCs w:val="28"/>
        </w:rPr>
        <w:t xml:space="preserve">: </w:t>
      </w:r>
      <w:r w:rsidRPr="005A6321">
        <w:rPr>
          <w:rFonts w:ascii="Times New Roman" w:hAnsi="Times New Roman" w:cs="Times New Roman"/>
          <w:sz w:val="28"/>
          <w:szCs w:val="28"/>
        </w:rPr>
        <w:t xml:space="preserve">in the context of determining if the tolling under s. 718.124 Fla. Stat. applied,  distinguished the repose provisions in s. 95.11(3)(c) from the </w:t>
      </w:r>
      <w:r w:rsidR="00BE7F0B">
        <w:rPr>
          <w:rFonts w:ascii="Times New Roman" w:hAnsi="Times New Roman" w:cs="Times New Roman"/>
          <w:sz w:val="28"/>
          <w:szCs w:val="28"/>
        </w:rPr>
        <w:t>limitations</w:t>
      </w:r>
      <w:r w:rsidR="00BE7F0B" w:rsidRPr="005A6321">
        <w:rPr>
          <w:rFonts w:ascii="Times New Roman" w:hAnsi="Times New Roman" w:cs="Times New Roman"/>
          <w:sz w:val="28"/>
          <w:szCs w:val="28"/>
        </w:rPr>
        <w:t xml:space="preserve"> </w:t>
      </w:r>
      <w:r w:rsidRPr="005A6321">
        <w:rPr>
          <w:rFonts w:ascii="Times New Roman" w:hAnsi="Times New Roman" w:cs="Times New Roman"/>
          <w:sz w:val="28"/>
          <w:szCs w:val="28"/>
        </w:rPr>
        <w:t>provisions.</w:t>
      </w:r>
    </w:p>
    <w:p w:rsidR="009809CB" w:rsidRPr="005A6321" w:rsidRDefault="00BE7F0B" w:rsidP="00824A21">
      <w:pPr>
        <w:pStyle w:val="ListParagraph"/>
        <w:numPr>
          <w:ilvl w:val="3"/>
          <w:numId w:val="1"/>
        </w:numPr>
        <w:rPr>
          <w:rFonts w:ascii="Times New Roman" w:hAnsi="Times New Roman" w:cs="Times New Roman"/>
          <w:b/>
          <w:sz w:val="28"/>
          <w:szCs w:val="28"/>
        </w:rPr>
      </w:pPr>
      <w:r>
        <w:rPr>
          <w:rFonts w:ascii="Times New Roman" w:hAnsi="Times New Roman" w:cs="Times New Roman"/>
          <w:sz w:val="28"/>
          <w:szCs w:val="28"/>
        </w:rPr>
        <w:t>D</w:t>
      </w:r>
      <w:r w:rsidR="009809CB" w:rsidRPr="005A6321">
        <w:rPr>
          <w:rFonts w:ascii="Times New Roman" w:hAnsi="Times New Roman" w:cs="Times New Roman"/>
          <w:sz w:val="28"/>
          <w:szCs w:val="28"/>
        </w:rPr>
        <w:t xml:space="preserve">issent in </w:t>
      </w:r>
      <w:r w:rsidR="009809CB" w:rsidRPr="005A6321">
        <w:rPr>
          <w:rFonts w:ascii="Times New Roman" w:hAnsi="Times New Roman" w:cs="Times New Roman"/>
          <w:i/>
          <w:sz w:val="28"/>
          <w:szCs w:val="28"/>
        </w:rPr>
        <w:t>Sabal Chase</w:t>
      </w:r>
      <w:r>
        <w:rPr>
          <w:rFonts w:ascii="Times New Roman" w:hAnsi="Times New Roman" w:cs="Times New Roman"/>
          <w:sz w:val="28"/>
          <w:szCs w:val="28"/>
        </w:rPr>
        <w:t xml:space="preserve">: </w:t>
      </w:r>
      <w:r w:rsidR="009809CB" w:rsidRPr="005A6321">
        <w:rPr>
          <w:rFonts w:ascii="Times New Roman" w:hAnsi="Times New Roman" w:cs="Times New Roman"/>
          <w:sz w:val="28"/>
          <w:szCs w:val="28"/>
        </w:rPr>
        <w:t>interpreted “statute of limitations” to include statutes of repose</w:t>
      </w:r>
      <w:r>
        <w:rPr>
          <w:rFonts w:ascii="Times New Roman" w:hAnsi="Times New Roman" w:cs="Times New Roman"/>
          <w:sz w:val="28"/>
          <w:szCs w:val="28"/>
        </w:rPr>
        <w:t>,</w:t>
      </w:r>
      <w:r w:rsidR="009809CB" w:rsidRPr="005A6321">
        <w:rPr>
          <w:rFonts w:ascii="Times New Roman" w:hAnsi="Times New Roman" w:cs="Times New Roman"/>
          <w:sz w:val="28"/>
          <w:szCs w:val="28"/>
        </w:rPr>
        <w:t xml:space="preserve"> citing Black’s Law Dictionary and applying statutory interpretation in the manner that would result in the longest period.</w:t>
      </w:r>
    </w:p>
    <w:p w:rsidR="00824A21" w:rsidRPr="00824A21" w:rsidRDefault="00824A21" w:rsidP="009809CB">
      <w:pPr>
        <w:pStyle w:val="ListParagraph"/>
        <w:numPr>
          <w:ilvl w:val="1"/>
          <w:numId w:val="1"/>
        </w:numPr>
        <w:rPr>
          <w:rFonts w:ascii="Times New Roman" w:hAnsi="Times New Roman" w:cs="Times New Roman"/>
          <w:b/>
          <w:sz w:val="28"/>
          <w:szCs w:val="28"/>
        </w:rPr>
      </w:pPr>
      <w:r>
        <w:rPr>
          <w:rFonts w:ascii="Times New Roman" w:hAnsi="Times New Roman" w:cs="Times New Roman"/>
          <w:sz w:val="28"/>
          <w:szCs w:val="28"/>
        </w:rPr>
        <w:t>Basis for third-party claims:</w:t>
      </w:r>
    </w:p>
    <w:p w:rsidR="00A10FA3" w:rsidRPr="00A10FA3" w:rsidRDefault="00824A21" w:rsidP="00824A21">
      <w:pPr>
        <w:pStyle w:val="ListParagraph"/>
        <w:numPr>
          <w:ilvl w:val="2"/>
          <w:numId w:val="1"/>
        </w:numPr>
        <w:rPr>
          <w:rFonts w:ascii="Times New Roman" w:hAnsi="Times New Roman" w:cs="Times New Roman"/>
          <w:b/>
          <w:sz w:val="28"/>
          <w:szCs w:val="28"/>
        </w:rPr>
      </w:pPr>
      <w:r>
        <w:rPr>
          <w:rFonts w:ascii="Times New Roman" w:hAnsi="Times New Roman" w:cs="Times New Roman"/>
          <w:sz w:val="28"/>
          <w:szCs w:val="28"/>
        </w:rPr>
        <w:t>Contribution</w:t>
      </w:r>
      <w:r w:rsidR="00AE693F">
        <w:rPr>
          <w:rFonts w:ascii="Times New Roman" w:hAnsi="Times New Roman" w:cs="Times New Roman"/>
          <w:sz w:val="28"/>
          <w:szCs w:val="28"/>
        </w:rPr>
        <w:t xml:space="preserve">. Right of one tortfeasor to </w:t>
      </w:r>
      <w:r w:rsidR="00B57243">
        <w:rPr>
          <w:rFonts w:ascii="Times New Roman" w:hAnsi="Times New Roman" w:cs="Times New Roman"/>
          <w:sz w:val="28"/>
          <w:szCs w:val="28"/>
        </w:rPr>
        <w:t xml:space="preserve">collect from a joint tortfeasor to pay his or her share of the damages paid to the injured party. </w:t>
      </w:r>
    </w:p>
    <w:p w:rsidR="00824A21" w:rsidRPr="00A10FA3" w:rsidRDefault="00B57243" w:rsidP="00A10FA3">
      <w:pPr>
        <w:pStyle w:val="ListParagraph"/>
        <w:numPr>
          <w:ilvl w:val="3"/>
          <w:numId w:val="1"/>
        </w:numPr>
        <w:rPr>
          <w:rFonts w:ascii="Times New Roman" w:hAnsi="Times New Roman" w:cs="Times New Roman"/>
          <w:b/>
          <w:sz w:val="28"/>
          <w:szCs w:val="28"/>
        </w:rPr>
      </w:pPr>
      <w:r>
        <w:rPr>
          <w:rFonts w:ascii="Times New Roman" w:hAnsi="Times New Roman" w:cs="Times New Roman"/>
          <w:sz w:val="28"/>
          <w:szCs w:val="28"/>
        </w:rPr>
        <w:t>Governed in Florida by s. 768.31 Fla. Stat. Uniform Contribution Among Tortfeasors Act.</w:t>
      </w:r>
    </w:p>
    <w:p w:rsidR="00A10FA3" w:rsidRPr="00824A21" w:rsidRDefault="00A10FA3" w:rsidP="00A10FA3">
      <w:pPr>
        <w:pStyle w:val="ListParagraph"/>
        <w:numPr>
          <w:ilvl w:val="3"/>
          <w:numId w:val="1"/>
        </w:numPr>
        <w:rPr>
          <w:rFonts w:ascii="Times New Roman" w:hAnsi="Times New Roman" w:cs="Times New Roman"/>
          <w:b/>
          <w:sz w:val="28"/>
          <w:szCs w:val="28"/>
        </w:rPr>
      </w:pPr>
      <w:r>
        <w:rPr>
          <w:rFonts w:ascii="Times New Roman" w:hAnsi="Times New Roman" w:cs="Times New Roman"/>
          <w:sz w:val="28"/>
          <w:szCs w:val="28"/>
        </w:rPr>
        <w:t xml:space="preserve"> Tortfeasor seeking contribution must commence contribution action within one-year after discharging common liability claim.</w:t>
      </w:r>
    </w:p>
    <w:p w:rsidR="00824A21" w:rsidRPr="00A10FA3" w:rsidRDefault="00A10FA3" w:rsidP="00824A21">
      <w:pPr>
        <w:pStyle w:val="ListParagraph"/>
        <w:numPr>
          <w:ilvl w:val="2"/>
          <w:numId w:val="1"/>
        </w:numPr>
        <w:rPr>
          <w:rFonts w:ascii="Times New Roman" w:hAnsi="Times New Roman" w:cs="Times New Roman"/>
          <w:b/>
          <w:sz w:val="28"/>
          <w:szCs w:val="28"/>
        </w:rPr>
      </w:pPr>
      <w:r>
        <w:rPr>
          <w:rFonts w:ascii="Times New Roman" w:hAnsi="Times New Roman" w:cs="Times New Roman"/>
          <w:sz w:val="28"/>
          <w:szCs w:val="28"/>
        </w:rPr>
        <w:t xml:space="preserve">Indemnity (Common Law or Contractual). </w:t>
      </w:r>
      <w:r w:rsidR="000B64AD">
        <w:rPr>
          <w:rFonts w:ascii="Times New Roman" w:hAnsi="Times New Roman" w:cs="Times New Roman"/>
          <w:sz w:val="28"/>
          <w:szCs w:val="28"/>
        </w:rPr>
        <w:t>The duty, under common law or contract, to make good any loss, damage, or liability incurred by another party.</w:t>
      </w:r>
    </w:p>
    <w:p w:rsidR="00A10FA3" w:rsidRPr="00A10FA3" w:rsidRDefault="00A10FA3" w:rsidP="00A10FA3">
      <w:pPr>
        <w:pStyle w:val="ListParagraph"/>
        <w:numPr>
          <w:ilvl w:val="2"/>
          <w:numId w:val="1"/>
        </w:numPr>
        <w:rPr>
          <w:rFonts w:ascii="Times New Roman" w:hAnsi="Times New Roman" w:cs="Times New Roman"/>
          <w:b/>
          <w:sz w:val="28"/>
          <w:szCs w:val="28"/>
        </w:rPr>
      </w:pPr>
      <w:r>
        <w:rPr>
          <w:rFonts w:ascii="Times New Roman" w:hAnsi="Times New Roman" w:cs="Times New Roman"/>
          <w:sz w:val="28"/>
          <w:szCs w:val="28"/>
        </w:rPr>
        <w:t xml:space="preserve">Subrogation. </w:t>
      </w:r>
      <w:r w:rsidRPr="00A10FA3">
        <w:rPr>
          <w:rFonts w:ascii="Times New Roman" w:hAnsi="Times New Roman" w:cs="Times New Roman"/>
          <w:sz w:val="28"/>
          <w:szCs w:val="28"/>
        </w:rPr>
        <w:t>Subrogation is the substitution of one person in the place of another with reference to a lawful claim or right</w:t>
      </w:r>
      <w:r>
        <w:rPr>
          <w:rFonts w:ascii="Times New Roman" w:hAnsi="Times New Roman" w:cs="Times New Roman"/>
          <w:sz w:val="28"/>
          <w:szCs w:val="28"/>
        </w:rPr>
        <w:t>.</w:t>
      </w:r>
    </w:p>
    <w:p w:rsidR="00A10FA3" w:rsidRPr="00A10FA3" w:rsidRDefault="00A10FA3" w:rsidP="00A10FA3">
      <w:pPr>
        <w:pStyle w:val="ListParagraph"/>
        <w:numPr>
          <w:ilvl w:val="3"/>
          <w:numId w:val="1"/>
        </w:numPr>
        <w:rPr>
          <w:rFonts w:ascii="Times New Roman" w:hAnsi="Times New Roman" w:cs="Times New Roman"/>
          <w:b/>
          <w:sz w:val="28"/>
          <w:szCs w:val="28"/>
        </w:rPr>
      </w:pPr>
      <w:r w:rsidRPr="00A10FA3">
        <w:rPr>
          <w:rFonts w:ascii="Times New Roman" w:hAnsi="Times New Roman" w:cs="Times New Roman"/>
          <w:sz w:val="28"/>
          <w:szCs w:val="28"/>
        </w:rPr>
        <w:t xml:space="preserve">Florida recognizes  two types of subrogation: conventional subrogation and equitable or legal subrogation. Conventional subrogation arises or flows from a contract between the parties establishing an agreement that the party paying the debt will have the rights and remedies of the </w:t>
      </w:r>
      <w:r w:rsidRPr="00A10FA3">
        <w:rPr>
          <w:rFonts w:ascii="Times New Roman" w:hAnsi="Times New Roman" w:cs="Times New Roman"/>
          <w:sz w:val="28"/>
          <w:szCs w:val="28"/>
        </w:rPr>
        <w:lastRenderedPageBreak/>
        <w:t>original creditor.</w:t>
      </w:r>
      <w:r>
        <w:rPr>
          <w:rFonts w:ascii="Times New Roman" w:hAnsi="Times New Roman" w:cs="Times New Roman"/>
          <w:sz w:val="28"/>
          <w:szCs w:val="28"/>
        </w:rPr>
        <w:t xml:space="preserve"> </w:t>
      </w:r>
      <w:r w:rsidRPr="00A10FA3">
        <w:rPr>
          <w:rFonts w:ascii="Times New Roman" w:hAnsi="Times New Roman" w:cs="Times New Roman"/>
          <w:i/>
          <w:sz w:val="28"/>
          <w:szCs w:val="28"/>
        </w:rPr>
        <w:t>Intervest Constr. of Jax, Inc. v. Gen. Fid. Ins. Co.,</w:t>
      </w:r>
      <w:r w:rsidRPr="00A10FA3">
        <w:rPr>
          <w:rFonts w:ascii="Times New Roman" w:hAnsi="Times New Roman" w:cs="Times New Roman"/>
          <w:sz w:val="28"/>
          <w:szCs w:val="28"/>
        </w:rPr>
        <w:t xml:space="preserve"> 133 So. 3d 494, 504 (Fla. 2014)</w:t>
      </w:r>
    </w:p>
    <w:p w:rsidR="00A10FA3" w:rsidRPr="000B64AD" w:rsidRDefault="000B64AD" w:rsidP="000B64AD">
      <w:pPr>
        <w:pStyle w:val="ListParagraph"/>
        <w:numPr>
          <w:ilvl w:val="3"/>
          <w:numId w:val="1"/>
        </w:numPr>
        <w:rPr>
          <w:rFonts w:ascii="Times New Roman" w:hAnsi="Times New Roman" w:cs="Times New Roman"/>
          <w:b/>
          <w:sz w:val="28"/>
          <w:szCs w:val="28"/>
        </w:rPr>
      </w:pPr>
      <w:r w:rsidRPr="000B64AD">
        <w:rPr>
          <w:rFonts w:ascii="Times New Roman" w:hAnsi="Times New Roman" w:cs="Times New Roman"/>
          <w:sz w:val="28"/>
          <w:szCs w:val="28"/>
        </w:rPr>
        <w:t>The doctrine of equitable subrogation is not created by a contract, but by the legal consequences of the acts and relationships of the parties</w:t>
      </w:r>
      <w:r>
        <w:rPr>
          <w:rFonts w:ascii="Helvetica" w:hAnsi="Helvetica" w:cs="Helvetica"/>
          <w:color w:val="373739"/>
          <w:sz w:val="21"/>
          <w:szCs w:val="21"/>
          <w:shd w:val="clear" w:color="auto" w:fill="FFFFFF"/>
        </w:rPr>
        <w:t>. </w:t>
      </w:r>
      <w:r w:rsidRPr="000B64AD">
        <w:rPr>
          <w:rFonts w:ascii="Times New Roman" w:hAnsi="Times New Roman" w:cs="Times New Roman"/>
          <w:i/>
          <w:sz w:val="28"/>
          <w:szCs w:val="28"/>
        </w:rPr>
        <w:t>Dade Cty. Sch. Bd. v. Radio Station</w:t>
      </w:r>
      <w:r w:rsidRPr="000B64AD">
        <w:rPr>
          <w:rFonts w:ascii="Times New Roman" w:hAnsi="Times New Roman" w:cs="Times New Roman"/>
          <w:sz w:val="28"/>
          <w:szCs w:val="28"/>
        </w:rPr>
        <w:t xml:space="preserve"> Wqba, 731 So. 2d 638, 640 (Fla. 1999)</w:t>
      </w:r>
      <w:r>
        <w:rPr>
          <w:rFonts w:ascii="Times New Roman" w:hAnsi="Times New Roman" w:cs="Times New Roman"/>
          <w:sz w:val="28"/>
          <w:szCs w:val="28"/>
        </w:rPr>
        <w:t>.</w:t>
      </w:r>
    </w:p>
    <w:p w:rsidR="009809CB" w:rsidRPr="005A6321" w:rsidRDefault="009809CB" w:rsidP="009809CB">
      <w:pPr>
        <w:pStyle w:val="ListParagraph"/>
        <w:numPr>
          <w:ilvl w:val="1"/>
          <w:numId w:val="1"/>
        </w:numPr>
        <w:rPr>
          <w:rFonts w:ascii="Times New Roman" w:hAnsi="Times New Roman" w:cs="Times New Roman"/>
          <w:b/>
          <w:sz w:val="28"/>
          <w:szCs w:val="28"/>
        </w:rPr>
      </w:pPr>
      <w:r w:rsidRPr="005A6321">
        <w:rPr>
          <w:rFonts w:ascii="Times New Roman" w:hAnsi="Times New Roman" w:cs="Times New Roman"/>
          <w:sz w:val="28"/>
          <w:szCs w:val="28"/>
        </w:rPr>
        <w:t xml:space="preserve">Historically, indemnity claims </w:t>
      </w:r>
      <w:r w:rsidR="00F73469" w:rsidRPr="005A6321">
        <w:rPr>
          <w:rFonts w:ascii="Times New Roman" w:hAnsi="Times New Roman" w:cs="Times New Roman"/>
          <w:sz w:val="28"/>
          <w:szCs w:val="28"/>
        </w:rPr>
        <w:t>run from the time the indemnitee pays a judgment or makes a voluntary payment on its legal liability.</w:t>
      </w:r>
    </w:p>
    <w:p w:rsidR="00F73469" w:rsidRPr="005A6321" w:rsidRDefault="00F73469" w:rsidP="00F73469">
      <w:pPr>
        <w:pStyle w:val="ListParagraph"/>
        <w:numPr>
          <w:ilvl w:val="1"/>
          <w:numId w:val="1"/>
        </w:numPr>
        <w:rPr>
          <w:rFonts w:ascii="Times New Roman" w:hAnsi="Times New Roman" w:cs="Times New Roman"/>
          <w:b/>
          <w:sz w:val="28"/>
          <w:szCs w:val="28"/>
        </w:rPr>
      </w:pPr>
      <w:r w:rsidRPr="005A6321">
        <w:rPr>
          <w:rFonts w:ascii="Times New Roman" w:hAnsi="Times New Roman" w:cs="Times New Roman"/>
          <w:i/>
          <w:sz w:val="28"/>
          <w:szCs w:val="28"/>
        </w:rPr>
        <w:t xml:space="preserve">Developers Sur. &amp; Indem. Co. v. Italian Cast Stone, Inc. </w:t>
      </w:r>
      <w:r w:rsidRPr="005A6321">
        <w:rPr>
          <w:rFonts w:ascii="Times New Roman" w:hAnsi="Times New Roman" w:cs="Times New Roman"/>
          <w:sz w:val="28"/>
          <w:szCs w:val="28"/>
        </w:rPr>
        <w:t>2017 U.S. Dist LEXIS 118931 (U.S. District Court, Middle District of Florida 2017)</w:t>
      </w:r>
    </w:p>
    <w:p w:rsidR="00F73469" w:rsidRPr="005A6321" w:rsidRDefault="00F73469" w:rsidP="00F73469">
      <w:pPr>
        <w:pStyle w:val="ListParagraph"/>
        <w:numPr>
          <w:ilvl w:val="2"/>
          <w:numId w:val="1"/>
        </w:numPr>
        <w:rPr>
          <w:rFonts w:ascii="Times New Roman" w:hAnsi="Times New Roman" w:cs="Times New Roman"/>
          <w:b/>
          <w:sz w:val="28"/>
          <w:szCs w:val="28"/>
        </w:rPr>
      </w:pPr>
      <w:r w:rsidRPr="005A6321">
        <w:rPr>
          <w:rFonts w:ascii="Times New Roman" w:hAnsi="Times New Roman" w:cs="Times New Roman"/>
          <w:sz w:val="28"/>
          <w:szCs w:val="28"/>
        </w:rPr>
        <w:t>In this case a subcontractor executed an indemnity agreement to procure bonds. The contractor sued the subcontractor</w:t>
      </w:r>
      <w:r w:rsidR="00BE7F0B">
        <w:rPr>
          <w:rFonts w:ascii="Times New Roman" w:hAnsi="Times New Roman" w:cs="Times New Roman"/>
          <w:sz w:val="28"/>
          <w:szCs w:val="28"/>
        </w:rPr>
        <w:t>—</w:t>
      </w:r>
      <w:r w:rsidRPr="005A6321">
        <w:rPr>
          <w:rFonts w:ascii="Times New Roman" w:hAnsi="Times New Roman" w:cs="Times New Roman"/>
          <w:sz w:val="28"/>
          <w:szCs w:val="28"/>
        </w:rPr>
        <w:t>alleging defective work</w:t>
      </w:r>
      <w:r w:rsidR="00BE7F0B">
        <w:rPr>
          <w:rFonts w:ascii="Times New Roman" w:hAnsi="Times New Roman" w:cs="Times New Roman"/>
          <w:sz w:val="28"/>
          <w:szCs w:val="28"/>
        </w:rPr>
        <w:t>—as well as the</w:t>
      </w:r>
      <w:r w:rsidRPr="005A6321">
        <w:rPr>
          <w:rFonts w:ascii="Times New Roman" w:hAnsi="Times New Roman" w:cs="Times New Roman"/>
          <w:sz w:val="28"/>
          <w:szCs w:val="28"/>
        </w:rPr>
        <w:t xml:space="preserve"> bond company in state court. The bond company settled the state court action by payment of $250,000</w:t>
      </w:r>
      <w:r w:rsidR="003D5305">
        <w:rPr>
          <w:rFonts w:ascii="Times New Roman" w:hAnsi="Times New Roman" w:cs="Times New Roman"/>
          <w:sz w:val="28"/>
          <w:szCs w:val="28"/>
        </w:rPr>
        <w:t>,</w:t>
      </w:r>
      <w:r w:rsidRPr="005A6321">
        <w:rPr>
          <w:rFonts w:ascii="Times New Roman" w:hAnsi="Times New Roman" w:cs="Times New Roman"/>
          <w:sz w:val="28"/>
          <w:szCs w:val="28"/>
        </w:rPr>
        <w:t xml:space="preserve"> but reserved its indemnity claims against the subcontractor. The subcontractor also agreed to pay $150,000 in partial settlement to the bond company but ultimately failed to pay the full settlement amount. This led the bond company to sue for breach of the settlement agreement for the balance due and for enforcement of the indemnity agreement to recover the $250,000 it paid to settle the claims brought by the contractor.</w:t>
      </w:r>
      <w:r w:rsidR="004918BF" w:rsidRPr="005A6321">
        <w:rPr>
          <w:rFonts w:ascii="Times New Roman" w:hAnsi="Times New Roman" w:cs="Times New Roman"/>
          <w:sz w:val="28"/>
          <w:szCs w:val="28"/>
        </w:rPr>
        <w:t xml:space="preserve"> The subcontractor moved to dismiss the bond company’s suit as time-barred.</w:t>
      </w:r>
    </w:p>
    <w:p w:rsidR="00F73469" w:rsidRPr="005A6321" w:rsidRDefault="004918BF" w:rsidP="00F73469">
      <w:pPr>
        <w:pStyle w:val="ListParagraph"/>
        <w:numPr>
          <w:ilvl w:val="2"/>
          <w:numId w:val="1"/>
        </w:numPr>
        <w:rPr>
          <w:rFonts w:ascii="Times New Roman" w:hAnsi="Times New Roman" w:cs="Times New Roman"/>
          <w:b/>
          <w:sz w:val="28"/>
          <w:szCs w:val="28"/>
        </w:rPr>
      </w:pPr>
      <w:r w:rsidRPr="005A6321">
        <w:rPr>
          <w:rFonts w:ascii="Times New Roman" w:hAnsi="Times New Roman" w:cs="Times New Roman"/>
          <w:sz w:val="28"/>
          <w:szCs w:val="28"/>
        </w:rPr>
        <w:t>The federal court rejected the bond company’s argument that the 5-year limitation applied for breach of an indemnity contract, finding that the indemnity contract related to the improvements to real estate</w:t>
      </w:r>
      <w:r w:rsidR="00BE7F0B">
        <w:rPr>
          <w:rFonts w:ascii="Times New Roman" w:hAnsi="Times New Roman" w:cs="Times New Roman"/>
          <w:sz w:val="28"/>
          <w:szCs w:val="28"/>
        </w:rPr>
        <w:t>,</w:t>
      </w:r>
      <w:r w:rsidRPr="005A6321">
        <w:rPr>
          <w:rFonts w:ascii="Times New Roman" w:hAnsi="Times New Roman" w:cs="Times New Roman"/>
          <w:sz w:val="28"/>
          <w:szCs w:val="28"/>
        </w:rPr>
        <w:t xml:space="preserve"> making s. 95.11(3)(c) applicable. Therefore the limitation period was 4</w:t>
      </w:r>
      <w:r w:rsidR="000B64AD">
        <w:rPr>
          <w:rFonts w:ascii="Times New Roman" w:hAnsi="Times New Roman" w:cs="Times New Roman"/>
          <w:sz w:val="28"/>
          <w:szCs w:val="28"/>
        </w:rPr>
        <w:t>-</w:t>
      </w:r>
      <w:r w:rsidRPr="005A6321">
        <w:rPr>
          <w:rFonts w:ascii="Times New Roman" w:hAnsi="Times New Roman" w:cs="Times New Roman"/>
          <w:sz w:val="28"/>
          <w:szCs w:val="28"/>
        </w:rPr>
        <w:t xml:space="preserve">years running from the date the bond company made </w:t>
      </w:r>
      <w:r w:rsidR="00BE7F0B">
        <w:rPr>
          <w:rFonts w:ascii="Times New Roman" w:hAnsi="Times New Roman" w:cs="Times New Roman"/>
          <w:sz w:val="28"/>
          <w:szCs w:val="28"/>
        </w:rPr>
        <w:t xml:space="preserve">the </w:t>
      </w:r>
      <w:r w:rsidRPr="005A6321">
        <w:rPr>
          <w:rFonts w:ascii="Times New Roman" w:hAnsi="Times New Roman" w:cs="Times New Roman"/>
          <w:sz w:val="28"/>
          <w:szCs w:val="28"/>
        </w:rPr>
        <w:t>payments it was seeking to recover.</w:t>
      </w:r>
    </w:p>
    <w:p w:rsidR="004918BF" w:rsidRPr="000B64AD" w:rsidRDefault="000B64AD" w:rsidP="004918BF">
      <w:pPr>
        <w:pStyle w:val="ListParagraph"/>
        <w:numPr>
          <w:ilvl w:val="1"/>
          <w:numId w:val="1"/>
        </w:numPr>
        <w:rPr>
          <w:rFonts w:ascii="Times New Roman" w:hAnsi="Times New Roman" w:cs="Times New Roman"/>
          <w:b/>
          <w:sz w:val="28"/>
          <w:szCs w:val="28"/>
        </w:rPr>
      </w:pPr>
      <w:r>
        <w:rPr>
          <w:rFonts w:ascii="Times New Roman" w:hAnsi="Times New Roman" w:cs="Times New Roman"/>
          <w:i/>
          <w:sz w:val="28"/>
          <w:szCs w:val="28"/>
        </w:rPr>
        <w:t>State v. Echeverri</w:t>
      </w:r>
      <w:r>
        <w:rPr>
          <w:rFonts w:ascii="Times New Roman" w:hAnsi="Times New Roman" w:cs="Times New Roman"/>
          <w:sz w:val="28"/>
          <w:szCs w:val="28"/>
        </w:rPr>
        <w:t xml:space="preserve"> 736 So. 2d 791, (Fla. 3</w:t>
      </w:r>
      <w:r w:rsidRPr="000B64AD">
        <w:rPr>
          <w:rFonts w:ascii="Times New Roman" w:hAnsi="Times New Roman" w:cs="Times New Roman"/>
          <w:sz w:val="28"/>
          <w:szCs w:val="28"/>
          <w:vertAlign w:val="superscript"/>
        </w:rPr>
        <w:t>rd</w:t>
      </w:r>
      <w:r>
        <w:rPr>
          <w:rFonts w:ascii="Times New Roman" w:hAnsi="Times New Roman" w:cs="Times New Roman"/>
          <w:sz w:val="28"/>
          <w:szCs w:val="28"/>
        </w:rPr>
        <w:t xml:space="preserve"> DCA 1999).</w:t>
      </w:r>
    </w:p>
    <w:p w:rsidR="000B64AD" w:rsidRPr="000B64AD" w:rsidRDefault="000B64AD" w:rsidP="000B64AD">
      <w:pPr>
        <w:pStyle w:val="ListParagraph"/>
        <w:numPr>
          <w:ilvl w:val="2"/>
          <w:numId w:val="1"/>
        </w:numPr>
        <w:rPr>
          <w:rFonts w:ascii="Times New Roman" w:hAnsi="Times New Roman" w:cs="Times New Roman"/>
          <w:b/>
          <w:sz w:val="28"/>
          <w:szCs w:val="28"/>
        </w:rPr>
      </w:pPr>
      <w:r>
        <w:rPr>
          <w:rFonts w:ascii="Times New Roman" w:hAnsi="Times New Roman" w:cs="Times New Roman"/>
          <w:sz w:val="28"/>
          <w:szCs w:val="28"/>
        </w:rPr>
        <w:t>In a case arising out of a wrongful death action from a state road exit ramp accident, the State of Florida asserted a claim for indemnity and for contribution against the general contractor and designer. The trial court dismissed the State’s cross-claim based on s. 95(11)(3)(c) Fla. Stat. statute of repose.</w:t>
      </w:r>
    </w:p>
    <w:p w:rsidR="000B64AD" w:rsidRPr="00B804F5" w:rsidRDefault="000B64AD" w:rsidP="000B64AD">
      <w:pPr>
        <w:pStyle w:val="ListParagraph"/>
        <w:numPr>
          <w:ilvl w:val="2"/>
          <w:numId w:val="1"/>
        </w:numPr>
        <w:rPr>
          <w:rFonts w:ascii="Times New Roman" w:hAnsi="Times New Roman" w:cs="Times New Roman"/>
          <w:b/>
          <w:sz w:val="28"/>
          <w:szCs w:val="28"/>
        </w:rPr>
      </w:pPr>
      <w:r>
        <w:rPr>
          <w:rFonts w:ascii="Times New Roman" w:hAnsi="Times New Roman" w:cs="Times New Roman"/>
          <w:sz w:val="28"/>
          <w:szCs w:val="28"/>
        </w:rPr>
        <w:lastRenderedPageBreak/>
        <w:t xml:space="preserve">The court ruled that contribution claims are subject to the statute of repose if they arise out of </w:t>
      </w:r>
      <w:r w:rsidR="00B804F5">
        <w:rPr>
          <w:rFonts w:ascii="Times New Roman" w:hAnsi="Times New Roman" w:cs="Times New Roman"/>
          <w:sz w:val="28"/>
          <w:szCs w:val="28"/>
        </w:rPr>
        <w:t>the design, planning, or construction of an improvement to real property.</w:t>
      </w:r>
    </w:p>
    <w:p w:rsidR="00B804F5" w:rsidRPr="005A6321" w:rsidRDefault="00B804F5" w:rsidP="000B64AD">
      <w:pPr>
        <w:pStyle w:val="ListParagraph"/>
        <w:numPr>
          <w:ilvl w:val="2"/>
          <w:numId w:val="1"/>
        </w:numPr>
        <w:rPr>
          <w:rFonts w:ascii="Times New Roman" w:hAnsi="Times New Roman" w:cs="Times New Roman"/>
          <w:b/>
          <w:sz w:val="28"/>
          <w:szCs w:val="28"/>
        </w:rPr>
      </w:pPr>
      <w:r>
        <w:rPr>
          <w:rFonts w:ascii="Times New Roman" w:hAnsi="Times New Roman" w:cs="Times New Roman"/>
          <w:sz w:val="28"/>
          <w:szCs w:val="28"/>
        </w:rPr>
        <w:t>The ruling appears to extend to a claim under indemnity; however, the court noted that there was no basis for an indemnity claim in the case under review.</w:t>
      </w:r>
    </w:p>
    <w:p w:rsidR="004918BF" w:rsidRPr="005A6321" w:rsidRDefault="004918BF" w:rsidP="004918BF">
      <w:pPr>
        <w:pStyle w:val="ListParagraph"/>
        <w:numPr>
          <w:ilvl w:val="1"/>
          <w:numId w:val="1"/>
        </w:numPr>
        <w:rPr>
          <w:rFonts w:ascii="Times New Roman" w:hAnsi="Times New Roman" w:cs="Times New Roman"/>
          <w:b/>
          <w:sz w:val="28"/>
          <w:szCs w:val="28"/>
        </w:rPr>
      </w:pPr>
      <w:r w:rsidRPr="005A6321">
        <w:rPr>
          <w:rFonts w:ascii="Times New Roman" w:hAnsi="Times New Roman" w:cs="Times New Roman"/>
          <w:sz w:val="28"/>
          <w:szCs w:val="28"/>
        </w:rPr>
        <w:t>Senate Bill 536 (2018)</w:t>
      </w:r>
    </w:p>
    <w:p w:rsidR="004918BF" w:rsidRPr="005A6321" w:rsidRDefault="004918BF" w:rsidP="004918BF">
      <w:pPr>
        <w:pStyle w:val="ListParagraph"/>
        <w:numPr>
          <w:ilvl w:val="2"/>
          <w:numId w:val="1"/>
        </w:numPr>
        <w:rPr>
          <w:rFonts w:ascii="Times New Roman" w:hAnsi="Times New Roman" w:cs="Times New Roman"/>
          <w:b/>
          <w:sz w:val="28"/>
          <w:szCs w:val="28"/>
        </w:rPr>
      </w:pPr>
      <w:r w:rsidRPr="005A6321">
        <w:rPr>
          <w:rFonts w:ascii="Times New Roman" w:hAnsi="Times New Roman" w:cs="Times New Roman"/>
          <w:sz w:val="28"/>
          <w:szCs w:val="28"/>
        </w:rPr>
        <w:t>Lines 38-43:</w:t>
      </w:r>
    </w:p>
    <w:p w:rsidR="004918BF" w:rsidRPr="005A6321" w:rsidRDefault="00A7311A" w:rsidP="004918BF">
      <w:pPr>
        <w:rPr>
          <w:rFonts w:ascii="Times New Roman" w:hAnsi="Times New Roman" w:cs="Times New Roman"/>
          <w:b/>
          <w:sz w:val="28"/>
          <w:szCs w:val="28"/>
        </w:rPr>
      </w:pPr>
      <w:r>
        <w:rPr>
          <w:rFonts w:ascii="Times New Roman" w:hAnsi="Times New Roman" w:cs="Times New Roman"/>
          <w:b/>
          <w:sz w:val="28"/>
          <w:szCs w:val="28"/>
        </w:rPr>
      </w:r>
      <w:r>
        <w:rPr>
          <w:rFonts w:ascii="Times New Roman" w:hAnsi="Times New Roman" w:cs="Times New Roman"/>
          <w:b/>
          <w:sz w:val="28"/>
          <w:szCs w:val="28"/>
        </w:rPr>
        <w:pict>
          <v:group id="_x0000_s1028" editas="canvas" style="width:468pt;height:113pt;mso-position-horizontal-relative:char;mso-position-vertical-relative:line" coordsize="9360,226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9360;height:2260" o:preferrelative="f">
              <v:fill o:detectmouseclick="t"/>
              <v:path o:extrusionok="t" o:connecttype="none"/>
              <o:lock v:ext="edit" text="t"/>
            </v:shape>
            <v:shape id="_x0000_s1029" type="#_x0000_t75" style="position:absolute;width:9367;height:2267">
              <v:imagedata r:id="rId9" o:title=""/>
            </v:shape>
            <w10:wrap type="none"/>
            <w10:anchorlock/>
          </v:group>
        </w:pict>
      </w:r>
    </w:p>
    <w:p w:rsidR="004918BF" w:rsidRPr="005A6321" w:rsidRDefault="004918BF" w:rsidP="004918BF">
      <w:pPr>
        <w:pStyle w:val="ListParagraph"/>
        <w:numPr>
          <w:ilvl w:val="2"/>
          <w:numId w:val="1"/>
        </w:numPr>
        <w:rPr>
          <w:rFonts w:ascii="Times New Roman" w:hAnsi="Times New Roman" w:cs="Times New Roman"/>
          <w:b/>
          <w:sz w:val="28"/>
          <w:szCs w:val="28"/>
        </w:rPr>
      </w:pPr>
      <w:r w:rsidRPr="005A6321">
        <w:rPr>
          <w:rFonts w:ascii="Times New Roman" w:hAnsi="Times New Roman" w:cs="Times New Roman"/>
          <w:sz w:val="28"/>
          <w:szCs w:val="28"/>
        </w:rPr>
        <w:t>Bill seeks to give defendants a window to bring downstream claims that might be barred by repose.</w:t>
      </w:r>
    </w:p>
    <w:p w:rsidR="004918BF" w:rsidRPr="005A6321" w:rsidRDefault="004918BF" w:rsidP="004918BF">
      <w:pPr>
        <w:pStyle w:val="ListParagraph"/>
        <w:numPr>
          <w:ilvl w:val="0"/>
          <w:numId w:val="1"/>
        </w:numPr>
        <w:rPr>
          <w:rFonts w:ascii="Times New Roman" w:hAnsi="Times New Roman" w:cs="Times New Roman"/>
          <w:b/>
          <w:sz w:val="28"/>
          <w:szCs w:val="28"/>
        </w:rPr>
      </w:pPr>
      <w:r w:rsidRPr="005A6321">
        <w:rPr>
          <w:rFonts w:ascii="Times New Roman" w:hAnsi="Times New Roman" w:cs="Times New Roman"/>
          <w:b/>
          <w:sz w:val="28"/>
          <w:szCs w:val="28"/>
        </w:rPr>
        <w:t>Chapter 558 Amendments in 2018</w:t>
      </w:r>
    </w:p>
    <w:p w:rsidR="004918BF" w:rsidRPr="005A6321" w:rsidRDefault="004918BF" w:rsidP="004918BF">
      <w:pPr>
        <w:pStyle w:val="ListParagraph"/>
        <w:numPr>
          <w:ilvl w:val="1"/>
          <w:numId w:val="1"/>
        </w:numPr>
        <w:rPr>
          <w:rFonts w:ascii="Times New Roman" w:hAnsi="Times New Roman" w:cs="Times New Roman"/>
          <w:b/>
          <w:sz w:val="28"/>
          <w:szCs w:val="28"/>
        </w:rPr>
      </w:pPr>
      <w:r w:rsidRPr="005A6321">
        <w:rPr>
          <w:rFonts w:ascii="Times New Roman" w:hAnsi="Times New Roman" w:cs="Times New Roman"/>
          <w:sz w:val="28"/>
          <w:szCs w:val="28"/>
        </w:rPr>
        <w:t>Senate Bill 680 (2018)</w:t>
      </w:r>
    </w:p>
    <w:p w:rsidR="004918BF" w:rsidRPr="005A6321" w:rsidRDefault="004918BF" w:rsidP="004918BF">
      <w:pPr>
        <w:pStyle w:val="ListParagraph"/>
        <w:numPr>
          <w:ilvl w:val="2"/>
          <w:numId w:val="1"/>
        </w:numPr>
        <w:rPr>
          <w:rFonts w:ascii="Times New Roman" w:hAnsi="Times New Roman" w:cs="Times New Roman"/>
          <w:b/>
          <w:sz w:val="28"/>
          <w:szCs w:val="28"/>
        </w:rPr>
      </w:pPr>
      <w:r w:rsidRPr="005A6321">
        <w:rPr>
          <w:rFonts w:ascii="Times New Roman" w:hAnsi="Times New Roman" w:cs="Times New Roman"/>
          <w:sz w:val="28"/>
          <w:szCs w:val="28"/>
        </w:rPr>
        <w:t>Line 28: Requires claim to be “personally signed</w:t>
      </w:r>
      <w:r w:rsidR="00BE7F0B">
        <w:rPr>
          <w:rFonts w:ascii="Times New Roman" w:hAnsi="Times New Roman" w:cs="Times New Roman"/>
          <w:sz w:val="28"/>
          <w:szCs w:val="28"/>
        </w:rPr>
        <w:t>.</w:t>
      </w:r>
      <w:r w:rsidRPr="005A6321">
        <w:rPr>
          <w:rFonts w:ascii="Times New Roman" w:hAnsi="Times New Roman" w:cs="Times New Roman"/>
          <w:sz w:val="28"/>
          <w:szCs w:val="28"/>
        </w:rPr>
        <w:t>”</w:t>
      </w:r>
    </w:p>
    <w:p w:rsidR="004918BF" w:rsidRPr="005A6321" w:rsidRDefault="004918BF" w:rsidP="004918BF">
      <w:pPr>
        <w:pStyle w:val="ListParagraph"/>
        <w:numPr>
          <w:ilvl w:val="2"/>
          <w:numId w:val="1"/>
        </w:numPr>
        <w:rPr>
          <w:rFonts w:ascii="Times New Roman" w:hAnsi="Times New Roman" w:cs="Times New Roman"/>
          <w:b/>
          <w:sz w:val="28"/>
          <w:szCs w:val="28"/>
        </w:rPr>
      </w:pPr>
      <w:r w:rsidRPr="005A6321">
        <w:rPr>
          <w:rFonts w:ascii="Times New Roman" w:hAnsi="Times New Roman" w:cs="Times New Roman"/>
          <w:sz w:val="28"/>
          <w:szCs w:val="28"/>
        </w:rPr>
        <w:t>Line 54: Requires claimant and any consultants to be “physically present at the inspection</w:t>
      </w:r>
      <w:r w:rsidR="00BE7F0B">
        <w:rPr>
          <w:rFonts w:ascii="Times New Roman" w:hAnsi="Times New Roman" w:cs="Times New Roman"/>
          <w:sz w:val="28"/>
          <w:szCs w:val="28"/>
        </w:rPr>
        <w:t>.</w:t>
      </w:r>
      <w:r w:rsidRPr="005A6321">
        <w:rPr>
          <w:rFonts w:ascii="Times New Roman" w:hAnsi="Times New Roman" w:cs="Times New Roman"/>
          <w:sz w:val="28"/>
          <w:szCs w:val="28"/>
        </w:rPr>
        <w:t>”</w:t>
      </w:r>
    </w:p>
    <w:p w:rsidR="004918BF" w:rsidRPr="005A6321" w:rsidRDefault="004918BF" w:rsidP="004918BF">
      <w:pPr>
        <w:pStyle w:val="ListParagraph"/>
        <w:numPr>
          <w:ilvl w:val="2"/>
          <w:numId w:val="1"/>
        </w:numPr>
        <w:rPr>
          <w:rFonts w:ascii="Times New Roman" w:hAnsi="Times New Roman" w:cs="Times New Roman"/>
          <w:b/>
          <w:sz w:val="28"/>
          <w:szCs w:val="28"/>
        </w:rPr>
      </w:pPr>
      <w:r w:rsidRPr="005A6321">
        <w:rPr>
          <w:rFonts w:ascii="Times New Roman" w:hAnsi="Times New Roman" w:cs="Times New Roman"/>
          <w:sz w:val="28"/>
          <w:szCs w:val="28"/>
        </w:rPr>
        <w:t>Line 104: Makes downstream notices mandatory.</w:t>
      </w:r>
    </w:p>
    <w:p w:rsidR="004918BF" w:rsidRPr="005A6321" w:rsidRDefault="004918BF" w:rsidP="004918BF">
      <w:pPr>
        <w:pStyle w:val="ListParagraph"/>
        <w:numPr>
          <w:ilvl w:val="2"/>
          <w:numId w:val="1"/>
        </w:numPr>
        <w:rPr>
          <w:rFonts w:ascii="Times New Roman" w:hAnsi="Times New Roman" w:cs="Times New Roman"/>
          <w:b/>
          <w:sz w:val="28"/>
          <w:szCs w:val="28"/>
        </w:rPr>
      </w:pPr>
      <w:r w:rsidRPr="005A6321">
        <w:rPr>
          <w:rFonts w:ascii="Times New Roman" w:hAnsi="Times New Roman" w:cs="Times New Roman"/>
          <w:sz w:val="28"/>
          <w:szCs w:val="28"/>
        </w:rPr>
        <w:t xml:space="preserve">Line 116: </w:t>
      </w:r>
      <w:r w:rsidR="00BE7F0B">
        <w:rPr>
          <w:rFonts w:ascii="Times New Roman" w:hAnsi="Times New Roman" w:cs="Times New Roman"/>
          <w:sz w:val="28"/>
          <w:szCs w:val="28"/>
        </w:rPr>
        <w:t>Provides that a</w:t>
      </w:r>
      <w:r w:rsidRPr="005A6321">
        <w:rPr>
          <w:rFonts w:ascii="Times New Roman" w:hAnsi="Times New Roman" w:cs="Times New Roman"/>
          <w:sz w:val="28"/>
          <w:szCs w:val="28"/>
        </w:rPr>
        <w:t>cceptance and rejection of offers must be personally signed.</w:t>
      </w:r>
    </w:p>
    <w:p w:rsidR="004918BF" w:rsidRPr="005A6321" w:rsidRDefault="004918BF" w:rsidP="004918BF">
      <w:pPr>
        <w:pStyle w:val="ListParagraph"/>
        <w:numPr>
          <w:ilvl w:val="2"/>
          <w:numId w:val="1"/>
        </w:numPr>
        <w:rPr>
          <w:rFonts w:ascii="Times New Roman" w:hAnsi="Times New Roman" w:cs="Times New Roman"/>
          <w:b/>
          <w:sz w:val="28"/>
          <w:szCs w:val="28"/>
        </w:rPr>
      </w:pPr>
      <w:r w:rsidRPr="005A6321">
        <w:rPr>
          <w:rFonts w:ascii="Times New Roman" w:hAnsi="Times New Roman" w:cs="Times New Roman"/>
          <w:sz w:val="28"/>
          <w:szCs w:val="28"/>
        </w:rPr>
        <w:t xml:space="preserve">Line 122: If claimant rejects an offer, the claimant must demand mediation. Provides procedure for mediation and payment by the party making the offer. </w:t>
      </w:r>
      <w:r w:rsidR="00BE7F0B">
        <w:rPr>
          <w:rFonts w:ascii="Times New Roman" w:hAnsi="Times New Roman" w:cs="Times New Roman"/>
          <w:sz w:val="28"/>
          <w:szCs w:val="28"/>
        </w:rPr>
        <w:t>Notably</w:t>
      </w:r>
      <w:r w:rsidRPr="005A6321">
        <w:rPr>
          <w:rFonts w:ascii="Times New Roman" w:hAnsi="Times New Roman" w:cs="Times New Roman"/>
          <w:sz w:val="28"/>
          <w:szCs w:val="28"/>
        </w:rPr>
        <w:t>, the requirement for mediation is triggered by rejection of the offer, but a demand for mediation tolls the obligation to accept or reject the offer.</w:t>
      </w:r>
    </w:p>
    <w:sectPr w:rsidR="004918BF" w:rsidRPr="005A6321" w:rsidSect="00696B27">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A5E5E" w:rsidRDefault="004A5E5E" w:rsidP="007265A3">
      <w:pPr>
        <w:spacing w:after="0" w:line="240" w:lineRule="auto"/>
      </w:pPr>
      <w:r>
        <w:separator/>
      </w:r>
    </w:p>
  </w:endnote>
  <w:endnote w:type="continuationSeparator" w:id="0">
    <w:p w:rsidR="004A5E5E" w:rsidRDefault="004A5E5E" w:rsidP="007265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5E5E" w:rsidRDefault="004A5E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5E5E" w:rsidRPr="007265A3" w:rsidRDefault="00A7311A" w:rsidP="007265A3">
    <w:pPr>
      <w:pStyle w:val="Footer"/>
    </w:pPr>
    <w:r w:rsidRPr="00A7311A">
      <w:rPr>
        <w:noProof/>
        <w:sz w:val="16"/>
      </w:rPr>
      <w:t>{BBA Firm Docs/5/160362/00652176.DOCX:3 }</w:t>
    </w:r>
    <w:r w:rsidR="004A5E5E">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5E5E" w:rsidRDefault="004A5E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A5E5E" w:rsidRDefault="004A5E5E" w:rsidP="007265A3">
      <w:pPr>
        <w:spacing w:after="0" w:line="240" w:lineRule="auto"/>
        <w:rPr>
          <w:noProof/>
        </w:rPr>
      </w:pPr>
      <w:r>
        <w:rPr>
          <w:noProof/>
        </w:rPr>
        <w:separator/>
      </w:r>
    </w:p>
  </w:footnote>
  <w:footnote w:type="continuationSeparator" w:id="0">
    <w:p w:rsidR="004A5E5E" w:rsidRDefault="004A5E5E" w:rsidP="007265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5E5E" w:rsidRDefault="004A5E5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5E5E" w:rsidRDefault="004A5E5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5E5E" w:rsidRDefault="004A5E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AE239F"/>
    <w:multiLevelType w:val="hybridMultilevel"/>
    <w:tmpl w:val="D17647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F1B15E3"/>
    <w:multiLevelType w:val="hybridMultilevel"/>
    <w:tmpl w:val="D176470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4125100"/>
    <w:multiLevelType w:val="hybridMultilevel"/>
    <w:tmpl w:val="91561728"/>
    <w:lvl w:ilvl="0" w:tplc="14C4E174">
      <w:start w:val="1"/>
      <w:numFmt w:val="decimal"/>
      <w:lvlText w:val="%1."/>
      <w:lvlJc w:val="left"/>
      <w:pPr>
        <w:ind w:left="720" w:hanging="72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8B52487E">
      <w:start w:val="1"/>
      <w:numFmt w:val="decimal"/>
      <w:lvlText w:val="(%4)"/>
      <w:lvlJc w:val="left"/>
      <w:pPr>
        <w:ind w:left="2520" w:hanging="360"/>
      </w:pPr>
      <w:rPr>
        <w:rFonts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0NTEzNjA3MLE0NbSwNLZU0lEKTi0uzszPAykwrgUATWnaUSwAAAA="/>
  </w:docVars>
  <w:rsids>
    <w:rsidRoot w:val="00A60D76"/>
    <w:rsid w:val="000B64AD"/>
    <w:rsid w:val="0023144E"/>
    <w:rsid w:val="003372BB"/>
    <w:rsid w:val="003D5305"/>
    <w:rsid w:val="00407FD5"/>
    <w:rsid w:val="004918BF"/>
    <w:rsid w:val="004A5E5E"/>
    <w:rsid w:val="005A6321"/>
    <w:rsid w:val="00614432"/>
    <w:rsid w:val="0068014A"/>
    <w:rsid w:val="00696B27"/>
    <w:rsid w:val="007265A3"/>
    <w:rsid w:val="00762812"/>
    <w:rsid w:val="00824A21"/>
    <w:rsid w:val="00894F10"/>
    <w:rsid w:val="008B2555"/>
    <w:rsid w:val="009809CB"/>
    <w:rsid w:val="009A0BD2"/>
    <w:rsid w:val="009C4230"/>
    <w:rsid w:val="00A10FA3"/>
    <w:rsid w:val="00A60D76"/>
    <w:rsid w:val="00A60E39"/>
    <w:rsid w:val="00A7311A"/>
    <w:rsid w:val="00AE693F"/>
    <w:rsid w:val="00B57243"/>
    <w:rsid w:val="00B804F5"/>
    <w:rsid w:val="00BE7F0B"/>
    <w:rsid w:val="00BF6C56"/>
    <w:rsid w:val="00C17723"/>
    <w:rsid w:val="00D61AFC"/>
    <w:rsid w:val="00E67EBF"/>
    <w:rsid w:val="00E75F89"/>
    <w:rsid w:val="00F73469"/>
    <w:rsid w:val="00F908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036625F1"/>
  <w15:docId w15:val="{4C0EB2DD-C203-4A9F-8762-3ECC7A655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96B2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265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65A3"/>
  </w:style>
  <w:style w:type="paragraph" w:styleId="Footer">
    <w:name w:val="footer"/>
    <w:basedOn w:val="Normal"/>
    <w:link w:val="FooterChar"/>
    <w:uiPriority w:val="99"/>
    <w:unhideWhenUsed/>
    <w:rsid w:val="007265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65A3"/>
  </w:style>
  <w:style w:type="paragraph" w:styleId="ListParagraph">
    <w:name w:val="List Paragraph"/>
    <w:basedOn w:val="Normal"/>
    <w:uiPriority w:val="34"/>
    <w:qFormat/>
    <w:rsid w:val="009C4230"/>
    <w:pPr>
      <w:ind w:left="720"/>
      <w:contextualSpacing/>
    </w:pPr>
  </w:style>
  <w:style w:type="character" w:customStyle="1" w:styleId="sectionnumber">
    <w:name w:val="sectionnumber"/>
    <w:basedOn w:val="DefaultParagraphFont"/>
    <w:rsid w:val="009C4230"/>
  </w:style>
  <w:style w:type="character" w:customStyle="1" w:styleId="catchlinetext">
    <w:name w:val="catchlinetext"/>
    <w:basedOn w:val="DefaultParagraphFont"/>
    <w:rsid w:val="009C4230"/>
  </w:style>
  <w:style w:type="character" w:customStyle="1" w:styleId="emdash">
    <w:name w:val="emdash"/>
    <w:basedOn w:val="DefaultParagraphFont"/>
    <w:rsid w:val="009C4230"/>
  </w:style>
  <w:style w:type="character" w:customStyle="1" w:styleId="text">
    <w:name w:val="text"/>
    <w:basedOn w:val="DefaultParagraphFont"/>
    <w:rsid w:val="009C4230"/>
  </w:style>
  <w:style w:type="character" w:customStyle="1" w:styleId="number">
    <w:name w:val="number"/>
    <w:basedOn w:val="DefaultParagraphFont"/>
    <w:rsid w:val="009C4230"/>
  </w:style>
  <w:style w:type="paragraph" w:styleId="BalloonText">
    <w:name w:val="Balloon Text"/>
    <w:basedOn w:val="Normal"/>
    <w:link w:val="BalloonTextChar"/>
    <w:uiPriority w:val="99"/>
    <w:semiHidden/>
    <w:unhideWhenUsed/>
    <w:rsid w:val="005A63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6321"/>
    <w:rPr>
      <w:rFonts w:ascii="Tahoma" w:hAnsi="Tahoma" w:cs="Tahoma"/>
      <w:sz w:val="16"/>
      <w:szCs w:val="16"/>
    </w:rPr>
  </w:style>
  <w:style w:type="character" w:styleId="Hyperlink">
    <w:name w:val="Hyperlink"/>
    <w:basedOn w:val="DefaultParagraphFont"/>
    <w:uiPriority w:val="99"/>
    <w:semiHidden/>
    <w:unhideWhenUsed/>
    <w:rsid w:val="000B64A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3043552">
      <w:bodyDiv w:val="1"/>
      <w:marLeft w:val="0"/>
      <w:marRight w:val="0"/>
      <w:marTop w:val="0"/>
      <w:marBottom w:val="0"/>
      <w:divBdr>
        <w:top w:val="none" w:sz="0" w:space="0" w:color="auto"/>
        <w:left w:val="none" w:sz="0" w:space="0" w:color="auto"/>
        <w:bottom w:val="none" w:sz="0" w:space="0" w:color="auto"/>
        <w:right w:val="none" w:sz="0" w:space="0" w:color="auto"/>
      </w:divBdr>
      <w:divsChild>
        <w:div w:id="9634613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8A98CB-C0A2-4223-9CEE-229FE38EFE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654</TotalTime>
  <Pages>6</Pages>
  <Words>1668</Words>
  <Characters>8685</Characters>
  <Application>Microsoft Office Word</Application>
  <DocSecurity>0</DocSecurity>
  <PresentationFormat/>
  <Lines>189</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BBA Firm Docs\5\160362\00652176.DOCX:3 /font=8</dc:subject>
  <dc:creator>Barry Ansbacher</dc:creator>
  <cp:keywords/>
  <dc:description/>
  <cp:lastModifiedBy>Barry Ansbacher</cp:lastModifiedBy>
  <cp:revision>9</cp:revision>
  <dcterms:created xsi:type="dcterms:W3CDTF">2017-11-08T16:05:00Z</dcterms:created>
  <dcterms:modified xsi:type="dcterms:W3CDTF">2017-11-09T21:04:00Z</dcterms:modified>
</cp:coreProperties>
</file>