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Default="00F9535D" w:rsidP="00146E4E">
      <w:pPr>
        <w:pStyle w:val="BlockText"/>
        <w:jc w:val="center"/>
        <w:rPr>
          <w:b/>
          <w:sz w:val="32"/>
          <w:szCs w:val="32"/>
        </w:rPr>
      </w:pPr>
      <w:r w:rsidRPr="00DD0357">
        <w:rPr>
          <w:b/>
          <w:sz w:val="32"/>
          <w:szCs w:val="32"/>
        </w:rPr>
        <w:t>The Florida Bar: Real Property, Probate and Trust Law Section</w:t>
      </w:r>
    </w:p>
    <w:p w:rsidR="009A10B6" w:rsidRPr="00DD0357" w:rsidRDefault="00F9535D" w:rsidP="00832A42">
      <w:pPr>
        <w:pStyle w:val="BlockText"/>
        <w:jc w:val="center"/>
        <w:rPr>
          <w:b/>
          <w:sz w:val="32"/>
          <w:szCs w:val="32"/>
        </w:rPr>
      </w:pPr>
      <w:r w:rsidRPr="00DD0357">
        <w:rPr>
          <w:b/>
          <w:sz w:val="32"/>
          <w:szCs w:val="32"/>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5F2CFE" w:rsidRDefault="001476D7" w:rsidP="000468DD">
      <w:pPr>
        <w:pStyle w:val="BlockText"/>
        <w:jc w:val="center"/>
      </w:pPr>
      <w:r>
        <w:t>Month</w:t>
      </w:r>
      <w:r w:rsidR="001643A5">
        <w:t>s of September-October</w:t>
      </w:r>
      <w:r w:rsidR="00986C6C">
        <w:t xml:space="preserve"> </w:t>
      </w:r>
      <w:r w:rsidR="009324C3">
        <w:t>2016</w:t>
      </w:r>
    </w:p>
    <w:p w:rsidR="005F2CFE" w:rsidRDefault="005F2CFE" w:rsidP="007D14A8">
      <w:pPr>
        <w:pStyle w:val="BlockText"/>
        <w:rPr>
          <w:b/>
          <w:u w:val="single"/>
        </w:rPr>
      </w:pPr>
    </w:p>
    <w:p w:rsidR="007F16BD" w:rsidRDefault="00DD0357" w:rsidP="007D14A8">
      <w:pPr>
        <w:pStyle w:val="BlockText"/>
      </w:pPr>
      <w:r>
        <w:rPr>
          <w:b/>
          <w:u w:val="single"/>
        </w:rPr>
        <w:t>STATE AND FEDERAL APPELLATE DECISIONS</w:t>
      </w:r>
      <w:r w:rsidR="00D9771C" w:rsidRPr="00D9771C">
        <w:rPr>
          <w:b/>
          <w:u w:val="single"/>
        </w:rPr>
        <w:t>:</w:t>
      </w:r>
      <w:r w:rsidR="003045D2">
        <w:rPr>
          <w:b/>
          <w:u w:val="single"/>
        </w:rPr>
        <w:t xml:space="preserve">  </w:t>
      </w:r>
    </w:p>
    <w:p w:rsidR="00941D67" w:rsidRDefault="00941D67" w:rsidP="007D14A8">
      <w:pPr>
        <w:pStyle w:val="BlockText"/>
      </w:pPr>
    </w:p>
    <w:p w:rsidR="002E6003" w:rsidRDefault="002E6003" w:rsidP="002E6003">
      <w:pPr>
        <w:ind w:firstLine="720"/>
        <w:jc w:val="both"/>
        <w:rPr>
          <w:rFonts w:cs="Times New Roman"/>
        </w:rPr>
      </w:pPr>
      <w:r w:rsidRPr="002E6003">
        <w:rPr>
          <w:rFonts w:cs="Times New Roman"/>
          <w:i/>
          <w:u w:val="single"/>
        </w:rPr>
        <w:t>Stasinos v Department of Business and Professional Regulation</w:t>
      </w:r>
      <w:r w:rsidRPr="002E6003">
        <w:rPr>
          <w:rFonts w:cs="Times New Roman"/>
          <w:i/>
        </w:rPr>
        <w:t>,</w:t>
      </w:r>
      <w:r>
        <w:rPr>
          <w:rFonts w:cs="Times New Roman"/>
        </w:rPr>
        <w:t xml:space="preserve"> 41 Fla. L. Weekly D2317 (Fla. 4</w:t>
      </w:r>
      <w:r>
        <w:rPr>
          <w:rFonts w:cs="Times New Roman"/>
          <w:vertAlign w:val="superscript"/>
        </w:rPr>
        <w:t>th</w:t>
      </w:r>
      <w:r>
        <w:rPr>
          <w:rFonts w:cs="Times New Roman"/>
        </w:rPr>
        <w:t xml:space="preserve"> DCA 2016)(2016 WL 5940053): </w:t>
      </w:r>
      <w:r>
        <w:rPr>
          <w:rFonts w:cs="Times New Roman"/>
        </w:rPr>
        <w:t>If you make a claim to the Homeowners’ Construction Recovery Fund at the Department of Business and Professional Regulation, you should be aware that there is a one year statute of limitations.  Section 489.141(1)</w:t>
      </w:r>
      <w:r>
        <w:rPr>
          <w:rFonts w:cs="Times New Roman"/>
        </w:rPr>
        <w:t xml:space="preserve"> </w:t>
      </w:r>
      <w:r>
        <w:rPr>
          <w:rFonts w:cs="Times New Roman"/>
        </w:rPr>
        <w:t>(f), Florida Statutes, provides that a claim must be “made within 1 year after the conclusion of any civil, criminal, or administrative action or award in arbitration based on the act.”  In this case the claim to the Fund was made two years after entry of judgment but within one year after the conclusion of an intervening bankruptcy filing by the contractor.  The appellate court found that the bankruptcy case was a “civil action” under the meaning of the statute.</w:t>
      </w:r>
    </w:p>
    <w:p w:rsidR="002E6003" w:rsidRDefault="002E6003" w:rsidP="002E6003">
      <w:pPr>
        <w:jc w:val="both"/>
        <w:rPr>
          <w:rFonts w:cs="Times New Roman"/>
        </w:rPr>
      </w:pPr>
    </w:p>
    <w:p w:rsidR="002E6003" w:rsidRDefault="002E6003" w:rsidP="002E6003">
      <w:pPr>
        <w:jc w:val="both"/>
        <w:rPr>
          <w:rFonts w:cs="Times New Roman"/>
        </w:rPr>
      </w:pPr>
      <w:r w:rsidRPr="002E6003">
        <w:rPr>
          <w:rFonts w:cs="Times New Roman"/>
          <w:b/>
        </w:rPr>
        <w:t>Ed. Note:</w:t>
      </w:r>
      <w:r>
        <w:rPr>
          <w:rFonts w:cs="Times New Roman"/>
        </w:rPr>
        <w:t xml:space="preserve">  Prior to July 2004, the statute of limitations for a claim to the Fund was measured from the date the contractor violated the statute, even if the resulting civil claim was not concluded.  </w:t>
      </w:r>
      <w:r>
        <w:rPr>
          <w:rFonts w:cs="Times New Roman"/>
          <w:u w:val="single"/>
        </w:rPr>
        <w:t>See</w:t>
      </w:r>
      <w:r>
        <w:rPr>
          <w:rFonts w:cs="Times New Roman"/>
        </w:rPr>
        <w:t xml:space="preserve"> </w:t>
      </w:r>
      <w:r>
        <w:rPr>
          <w:rFonts w:cs="Times New Roman"/>
          <w:u w:val="single"/>
        </w:rPr>
        <w:t>Free v. Construction Industries Recovery Fund</w:t>
      </w:r>
      <w:r>
        <w:rPr>
          <w:rFonts w:cs="Times New Roman"/>
        </w:rPr>
        <w:t>, 729 So. 2d 980 (Fla. 2d DCA 1999).</w:t>
      </w:r>
    </w:p>
    <w:p w:rsidR="002E6003" w:rsidRDefault="002E6003" w:rsidP="002E6003">
      <w:pPr>
        <w:jc w:val="both"/>
        <w:rPr>
          <w:rFonts w:cs="Times New Roman"/>
        </w:rPr>
      </w:pPr>
    </w:p>
    <w:p w:rsidR="002E6003" w:rsidRDefault="002E6003" w:rsidP="002E6003">
      <w:pPr>
        <w:ind w:firstLine="720"/>
        <w:jc w:val="both"/>
        <w:rPr>
          <w:rFonts w:cs="Times New Roman"/>
        </w:rPr>
      </w:pPr>
      <w:r w:rsidRPr="002E6003">
        <w:rPr>
          <w:rFonts w:cs="Times New Roman"/>
          <w:i/>
          <w:u w:val="single"/>
        </w:rPr>
        <w:t>Best Drywall Services, Inc. v. Blaszczyk</w:t>
      </w:r>
      <w:r>
        <w:rPr>
          <w:rFonts w:cs="Times New Roman"/>
        </w:rPr>
        <w:t>, 2016 WL 6246701 (Fla. 2d DCA October 26,</w:t>
      </w:r>
      <w:r>
        <w:rPr>
          <w:rFonts w:cs="Times New Roman"/>
        </w:rPr>
        <w:t xml:space="preserve"> 2016): </w:t>
      </w:r>
      <w:r>
        <w:rPr>
          <w:rFonts w:cs="Times New Roman"/>
        </w:rPr>
        <w:t xml:space="preserve">The contractor testified at trial to five different dates that the work was finally completed, some within the 90 day window required for the lien law and some outside that window.  The trial judge then took this issue away from the jury and granted a directed verdict on the contractor’s claim of lien.  The appellate court reversed on the grounds that the conflicts in the evidence created a factual issue that must be determined by the jury.  </w:t>
      </w:r>
    </w:p>
    <w:p w:rsidR="002E6003" w:rsidRDefault="002E6003" w:rsidP="002E6003">
      <w:pPr>
        <w:jc w:val="both"/>
        <w:rPr>
          <w:rFonts w:cs="Times New Roman"/>
        </w:rPr>
      </w:pPr>
    </w:p>
    <w:p w:rsidR="002E6003" w:rsidRDefault="002E6003" w:rsidP="002E6003">
      <w:pPr>
        <w:ind w:firstLine="720"/>
        <w:jc w:val="both"/>
        <w:rPr>
          <w:rFonts w:cs="Times New Roman"/>
        </w:rPr>
      </w:pPr>
      <w:r w:rsidRPr="002E6003">
        <w:rPr>
          <w:rFonts w:cs="Times New Roman"/>
          <w:i/>
          <w:u w:val="single"/>
        </w:rPr>
        <w:t>Gator Boring &amp; Trenching, Inc., v. Westra Construction Corp</w:t>
      </w:r>
      <w:r>
        <w:rPr>
          <w:rFonts w:cs="Times New Roman"/>
          <w:u w:val="single"/>
        </w:rPr>
        <w:t>.</w:t>
      </w:r>
      <w:r>
        <w:rPr>
          <w:rFonts w:cs="Times New Roman"/>
        </w:rPr>
        <w:t>, 2016 WL 580780</w:t>
      </w:r>
      <w:r>
        <w:rPr>
          <w:rFonts w:cs="Times New Roman"/>
        </w:rPr>
        <w:t xml:space="preserve">5 (Fla. 2d DCA October 5, 2016): </w:t>
      </w:r>
      <w:r>
        <w:rPr>
          <w:rFonts w:cs="Times New Roman"/>
        </w:rPr>
        <w:t xml:space="preserve">Whether a claim of lien is fraudulent or not requires a finding of intent and is therefore a question of fact to be decided at trial.  </w:t>
      </w:r>
      <w:r>
        <w:rPr>
          <w:rFonts w:cs="Times New Roman"/>
          <w:u w:val="single"/>
        </w:rPr>
        <w:t>See</w:t>
      </w:r>
      <w:r>
        <w:rPr>
          <w:rFonts w:cs="Times New Roman"/>
        </w:rPr>
        <w:t xml:space="preserve"> </w:t>
      </w:r>
      <w:r>
        <w:rPr>
          <w:rFonts w:cs="Times New Roman"/>
          <w:u w:val="single"/>
        </w:rPr>
        <w:t>e.g.</w:t>
      </w:r>
      <w:r w:rsidRPr="002E6003">
        <w:rPr>
          <w:rFonts w:cs="Times New Roman"/>
          <w:i/>
        </w:rPr>
        <w:t xml:space="preserve"> </w:t>
      </w:r>
      <w:r w:rsidRPr="002E6003">
        <w:rPr>
          <w:rFonts w:cs="Times New Roman"/>
          <w:i/>
          <w:u w:val="single"/>
        </w:rPr>
        <w:t>J.W. Rolle Dev. Corp. v. Newman</w:t>
      </w:r>
      <w:r>
        <w:rPr>
          <w:rFonts w:cs="Times New Roman"/>
        </w:rPr>
        <w:t>, 910 So.</w:t>
      </w:r>
      <w:r>
        <w:rPr>
          <w:rFonts w:cs="Times New Roman"/>
        </w:rPr>
        <w:t xml:space="preserve"> 2d 349, 350 (Fla. 4</w:t>
      </w:r>
      <w:r>
        <w:rPr>
          <w:rFonts w:cs="Times New Roman"/>
          <w:vertAlign w:val="superscript"/>
        </w:rPr>
        <w:t>th</w:t>
      </w:r>
      <w:r>
        <w:rPr>
          <w:rFonts w:cs="Times New Roman"/>
        </w:rPr>
        <w:t xml:space="preserve"> DCA 2005).  The instant case affirms this rule even when the claim of lien includes $676,556.90 for additional costs for changed conditions that are found to be not recoverable under the contract.  The trial court granted summary judgment against the subcontractor on the additional costs included in its claim of lien because the extra work was not legally recoverable under the contract, the amount was not a minor amount, and there was no evidence the subcontractor consulted with counsel.  The appellate court reversed because of the lack of evidence of intent.</w:t>
      </w:r>
    </w:p>
    <w:p w:rsidR="002E6003" w:rsidRDefault="002E6003" w:rsidP="002E6003">
      <w:pPr>
        <w:jc w:val="both"/>
        <w:rPr>
          <w:rFonts w:cs="Times New Roman"/>
        </w:rPr>
      </w:pPr>
    </w:p>
    <w:p w:rsidR="002E6003" w:rsidRDefault="002E6003" w:rsidP="002E6003">
      <w:pPr>
        <w:jc w:val="both"/>
        <w:rPr>
          <w:rFonts w:cs="Times New Roman"/>
        </w:rPr>
      </w:pPr>
      <w:r w:rsidRPr="002E6003">
        <w:rPr>
          <w:rFonts w:cs="Times New Roman"/>
          <w:b/>
        </w:rPr>
        <w:t>Ed. Note:</w:t>
      </w:r>
      <w:r>
        <w:rPr>
          <w:rFonts w:cs="Times New Roman"/>
        </w:rPr>
        <w:t xml:space="preserve"> This</w:t>
      </w:r>
      <w:r>
        <w:rPr>
          <w:rFonts w:cs="Times New Roman"/>
        </w:rPr>
        <w:t xml:space="preserve"> case was handled by two </w:t>
      </w:r>
      <w:r>
        <w:rPr>
          <w:rFonts w:cs="Times New Roman"/>
        </w:rPr>
        <w:t>attorneys who are Board Certified in Construction Law.  There is an interesting section in this decision on appellate jurisdiction.</w:t>
      </w:r>
    </w:p>
    <w:p w:rsidR="00C97707" w:rsidRDefault="00C97707" w:rsidP="002E6003">
      <w:pPr>
        <w:pStyle w:val="BlockText"/>
        <w:rPr>
          <w:b/>
          <w:u w:val="single"/>
        </w:rPr>
      </w:pPr>
    </w:p>
    <w:p w:rsidR="001D277E" w:rsidRPr="00B972A0" w:rsidRDefault="001D277E" w:rsidP="00133FBD">
      <w:pPr>
        <w:pStyle w:val="BlockText"/>
        <w:rPr>
          <w:b/>
          <w:u w:val="single"/>
        </w:rPr>
      </w:pPr>
    </w:p>
    <w:p w:rsidR="00437958" w:rsidRDefault="00EB61E2" w:rsidP="00133FBD">
      <w:pPr>
        <w:pStyle w:val="BlockText"/>
        <w:rPr>
          <w:u w:val="single"/>
        </w:rPr>
      </w:pPr>
      <w:r w:rsidRPr="00797252">
        <w:rPr>
          <w:b/>
          <w:u w:val="single"/>
        </w:rPr>
        <w:t>DOAH</w:t>
      </w:r>
      <w:r w:rsidR="00062BAB">
        <w:rPr>
          <w:b/>
          <w:u w:val="single"/>
        </w:rPr>
        <w:t xml:space="preserve"> ORDERS</w:t>
      </w:r>
      <w:r w:rsidR="00DD0357">
        <w:rPr>
          <w:b/>
          <w:u w:val="single"/>
        </w:rPr>
        <w:t xml:space="preserve"> </w:t>
      </w:r>
      <w:r w:rsidR="00DD0357">
        <w:rPr>
          <w:u w:val="single"/>
        </w:rPr>
        <w:t>(if any)</w:t>
      </w:r>
      <w:r w:rsidR="00D9771C" w:rsidRPr="00DD0357">
        <w:rPr>
          <w:u w:val="single"/>
        </w:rPr>
        <w:t>:</w:t>
      </w:r>
    </w:p>
    <w:p w:rsidR="005A0848" w:rsidRDefault="005A0848" w:rsidP="00133FBD">
      <w:pPr>
        <w:pStyle w:val="BlockText"/>
        <w:rPr>
          <w:u w:val="single"/>
        </w:rPr>
      </w:pPr>
    </w:p>
    <w:p w:rsidR="006E723E" w:rsidRDefault="005A0848" w:rsidP="001643A5">
      <w:pPr>
        <w:pStyle w:val="BlockText"/>
        <w:ind w:firstLine="720"/>
      </w:pPr>
      <w:r w:rsidRPr="005A0848">
        <w:rPr>
          <w:i/>
          <w:u w:val="single"/>
        </w:rPr>
        <w:t>Department of Financial Services, Division of Workers’ Compensation v.</w:t>
      </w:r>
      <w:r w:rsidR="00232172">
        <w:rPr>
          <w:i/>
          <w:u w:val="single"/>
        </w:rPr>
        <w:t xml:space="preserve"> </w:t>
      </w:r>
      <w:r w:rsidR="00E5162F">
        <w:rPr>
          <w:i/>
          <w:u w:val="single"/>
        </w:rPr>
        <w:t>Dona</w:t>
      </w:r>
      <w:r w:rsidR="00232172">
        <w:rPr>
          <w:i/>
          <w:u w:val="single"/>
        </w:rPr>
        <w:t>ld Kehr</w:t>
      </w:r>
      <w:r w:rsidR="00447270">
        <w:rPr>
          <w:i/>
          <w:u w:val="single"/>
        </w:rPr>
        <w:t xml:space="preserve"> d/b/a JNK Framing, Inc.</w:t>
      </w:r>
      <w:r w:rsidR="00447270">
        <w:t xml:space="preserve"> </w:t>
      </w:r>
      <w:r w:rsidR="00E5162F">
        <w:rPr>
          <w:i/>
        </w:rPr>
        <w:t xml:space="preserve"> </w:t>
      </w:r>
      <w:r w:rsidR="00E5162F">
        <w:t xml:space="preserve">DOAH Case No. 16-1986, Recommended Order </w:t>
      </w:r>
      <w:r w:rsidR="00447270">
        <w:t xml:space="preserve">was </w:t>
      </w:r>
      <w:r w:rsidR="00E5162F">
        <w:t xml:space="preserve">entered on August 10, 2016, following the Recommended Order that had been entered on July 19, 2016, in the </w:t>
      </w:r>
      <w:r w:rsidR="00E5162F" w:rsidRPr="00E5162F">
        <w:rPr>
          <w:i/>
        </w:rPr>
        <w:t>Soler &amp; Son Roofing</w:t>
      </w:r>
      <w:r w:rsidR="00E5162F">
        <w:t xml:space="preserve"> case (DOAH No. 15-7356</w:t>
      </w:r>
      <w:r w:rsidR="00447270">
        <w:t xml:space="preserve">), by holding that the employer’s period of noncompliance with Workers’ Compensation Insurance coverage for purposes of determining an assessment penalty could not be based solely on the statutory 2-year period of “imputation” in the absence of actual proof, because of the department’s “unsustainable interpretation” that Rule 69L-6.028(2) created an evidentiary presumption. Exceptions and </w:t>
      </w:r>
      <w:r w:rsidR="001560F7">
        <w:t>Objections</w:t>
      </w:r>
      <w:r w:rsidR="00447270">
        <w:t xml:space="preserve"> </w:t>
      </w:r>
      <w:r w:rsidR="00232172">
        <w:t>to</w:t>
      </w:r>
      <w:r w:rsidR="00447270">
        <w:t xml:space="preserve"> Exceptions have been filed with the agency, which is </w:t>
      </w:r>
      <w:r w:rsidR="001560F7">
        <w:t>expected to issue a Final Order at any time.</w:t>
      </w:r>
    </w:p>
    <w:p w:rsidR="00447270" w:rsidRDefault="00447270" w:rsidP="001643A5">
      <w:pPr>
        <w:pStyle w:val="BlockText"/>
        <w:ind w:firstLine="720"/>
      </w:pPr>
    </w:p>
    <w:p w:rsidR="00447270" w:rsidRDefault="00447270" w:rsidP="00447270">
      <w:pPr>
        <w:pStyle w:val="BlockText"/>
        <w:ind w:firstLine="720"/>
      </w:pPr>
      <w:r>
        <w:rPr>
          <w:i/>
          <w:u w:val="single"/>
        </w:rPr>
        <w:t xml:space="preserve">Department of Business and Professional Regulation v. Michael E. Seamon, </w:t>
      </w:r>
      <w:r>
        <w:t>DOAH Case No. 16-2845PL, Recommended Order was entered on October 5, 2016, finding that the scope of a pool contractor’s license did NOT include replacement of equipment consisting of pool lighting. Exceptions and Objections to Exceptions have been filed, and a Final Order is expected to be approved by the Construction Industry Licensing Board in January 2017.</w:t>
      </w:r>
    </w:p>
    <w:p w:rsidR="00DE387C" w:rsidRDefault="00DE387C" w:rsidP="00447270">
      <w:pPr>
        <w:pStyle w:val="BlockText"/>
        <w:ind w:firstLine="720"/>
      </w:pPr>
    </w:p>
    <w:p w:rsidR="00DE387C" w:rsidRPr="00447270" w:rsidRDefault="00DE387C" w:rsidP="002E6003">
      <w:pPr>
        <w:pStyle w:val="BlockText"/>
        <w:ind w:left="1800" w:right="1008"/>
      </w:pPr>
      <w:r>
        <w:rPr>
          <w:b/>
          <w:u w:val="single"/>
        </w:rPr>
        <w:t>Editor’s Note:</w:t>
      </w:r>
      <w:r>
        <w:rPr>
          <w:b/>
        </w:rPr>
        <w:t xml:space="preserve"> </w:t>
      </w:r>
      <w:r>
        <w:t xml:space="preserve">The board held a joint workshop with the Electrical Contracting Licensing Board on October 28, 2016, in Daytona Beach on a Petition for Rulemaking filed by the Florida Pool and Spa Association, requesting clarification of the scope of a pool contractor’s license with regard to replacing pool equipment that is operated by electricity. </w:t>
      </w:r>
      <w:r w:rsidRPr="001560F7">
        <w:rPr>
          <w:u w:val="single"/>
        </w:rPr>
        <w:t xml:space="preserve">See: </w:t>
      </w:r>
      <w:r w:rsidRPr="001560F7">
        <w:rPr>
          <w:i/>
          <w:u w:val="single"/>
        </w:rPr>
        <w:t>DBPR v. Michael Seamon</w:t>
      </w:r>
      <w:r w:rsidRPr="001560F7">
        <w:rPr>
          <w:u w:val="single"/>
        </w:rPr>
        <w:t xml:space="preserve"> DOAH case cited above.</w:t>
      </w:r>
    </w:p>
    <w:p w:rsidR="001643A5" w:rsidRDefault="001643A5" w:rsidP="001560F7">
      <w:pPr>
        <w:pStyle w:val="BlockText"/>
        <w:rPr>
          <w:b/>
          <w:u w:val="single"/>
        </w:rPr>
      </w:pPr>
    </w:p>
    <w:p w:rsidR="00B26EF6" w:rsidRDefault="00B26EF6" w:rsidP="00D72E5C">
      <w:pPr>
        <w:pStyle w:val="BlockText"/>
        <w:rPr>
          <w:b/>
          <w:u w:val="single"/>
        </w:rPr>
      </w:pPr>
      <w:r w:rsidRPr="00B26EF6">
        <w:rPr>
          <w:b/>
          <w:u w:val="single"/>
        </w:rPr>
        <w:t>AGENCY REGULATIONS:</w:t>
      </w:r>
      <w:r w:rsidR="00146910">
        <w:rPr>
          <w:b/>
          <w:u w:val="single"/>
        </w:rPr>
        <w:t xml:space="preserve"> </w:t>
      </w:r>
    </w:p>
    <w:p w:rsidR="00146910" w:rsidRDefault="00146910" w:rsidP="00D72E5C">
      <w:pPr>
        <w:pStyle w:val="BlockText"/>
        <w:rPr>
          <w:b/>
          <w:u w:val="single"/>
        </w:rPr>
      </w:pPr>
    </w:p>
    <w:p w:rsidR="004E142A" w:rsidRDefault="00DE52F2" w:rsidP="00DE52F2">
      <w:pPr>
        <w:pStyle w:val="BlockText"/>
        <w:rPr>
          <w:b/>
          <w:u w:val="single"/>
        </w:rPr>
      </w:pPr>
      <w:r w:rsidRPr="007A76DB">
        <w:rPr>
          <w:b/>
          <w:u w:val="single"/>
        </w:rPr>
        <w:t>A.</w:t>
      </w:r>
      <w:r w:rsidRPr="007A76DB">
        <w:rPr>
          <w:u w:val="single"/>
        </w:rPr>
        <w:t xml:space="preserve"> </w:t>
      </w:r>
      <w:r w:rsidR="004E142A" w:rsidRPr="007A76DB">
        <w:rPr>
          <w:b/>
          <w:u w:val="single"/>
        </w:rPr>
        <w:t>Department of Business and Professional Regulation</w:t>
      </w:r>
      <w:r w:rsidR="007A76DB" w:rsidRPr="007A76DB">
        <w:rPr>
          <w:b/>
          <w:u w:val="single"/>
        </w:rPr>
        <w:t>:</w:t>
      </w:r>
      <w:r w:rsidR="00483127">
        <w:rPr>
          <w:b/>
          <w:u w:val="single"/>
        </w:rPr>
        <w:t xml:space="preserve"> </w:t>
      </w:r>
    </w:p>
    <w:p w:rsidR="00483127" w:rsidRPr="00483127" w:rsidRDefault="00483127" w:rsidP="00DE52F2">
      <w:pPr>
        <w:pStyle w:val="BlockText"/>
      </w:pPr>
      <w:r>
        <w:tab/>
      </w: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10255D" w:rsidRDefault="00FE4A4B" w:rsidP="0010255D">
      <w:pPr>
        <w:pStyle w:val="BlockText"/>
        <w:numPr>
          <w:ilvl w:val="1"/>
          <w:numId w:val="11"/>
        </w:numPr>
        <w:ind w:left="1800"/>
      </w:pPr>
      <w:r>
        <w:rPr>
          <w:b/>
          <w:u w:val="single"/>
        </w:rPr>
        <w:t>Rule Changes</w:t>
      </w:r>
      <w:r w:rsidR="004E142A">
        <w:t xml:space="preserve"> (if any)</w:t>
      </w:r>
      <w:r w:rsidR="00B754FE">
        <w:t>:</w:t>
      </w:r>
      <w:r w:rsidR="00076663">
        <w:t xml:space="preserve"> </w:t>
      </w:r>
    </w:p>
    <w:p w:rsidR="004A46B4" w:rsidRDefault="004A46B4" w:rsidP="00DE387C">
      <w:pPr>
        <w:pStyle w:val="BlockText"/>
      </w:pPr>
    </w:p>
    <w:p w:rsidR="00A2704C" w:rsidRDefault="001560F7" w:rsidP="0010255D">
      <w:pPr>
        <w:pStyle w:val="BlockText"/>
        <w:ind w:left="1260" w:firstLine="540"/>
        <w:rPr>
          <w:b/>
        </w:rPr>
      </w:pPr>
      <w:r>
        <w:rPr>
          <w:b/>
        </w:rPr>
        <w:t>Rule 61G4-15.001 “Qualification for Certification</w:t>
      </w:r>
      <w:r w:rsidR="00A2704C">
        <w:rPr>
          <w:b/>
        </w:rPr>
        <w:t>:</w:t>
      </w:r>
    </w:p>
    <w:p w:rsidR="00B972A0" w:rsidRDefault="001560F7" w:rsidP="0010255D">
      <w:pPr>
        <w:pStyle w:val="BlockText"/>
        <w:ind w:left="1800"/>
      </w:pPr>
      <w:r>
        <w:t xml:space="preserve">The board has proposed changes regarding the statutory </w:t>
      </w:r>
      <w:r w:rsidR="00A2704C">
        <w:t>terms “active experien</w:t>
      </w:r>
      <w:r>
        <w:t xml:space="preserve">ce” and “proven experience,” as used in subsections (2) and (3) for Division I license applicants, to </w:t>
      </w:r>
      <w:r w:rsidRPr="001560F7">
        <w:rPr>
          <w:b/>
          <w:i/>
          <w:u w:val="single"/>
        </w:rPr>
        <w:t>exclude</w:t>
      </w:r>
      <w:r>
        <w:t xml:space="preserve"> work on certain accessory structures (storage, utility, agricultural building, barns, aircraft hangers, carports, garages, sheds, silos, tanks, towers), and for any work which is exempted from licensure under section 489.103.</w:t>
      </w:r>
    </w:p>
    <w:p w:rsidR="001560F7" w:rsidRDefault="001560F7" w:rsidP="0010255D">
      <w:pPr>
        <w:pStyle w:val="BlockText"/>
        <w:ind w:left="1800"/>
      </w:pPr>
    </w:p>
    <w:p w:rsidR="001560F7" w:rsidRDefault="001560F7" w:rsidP="00DE387C">
      <w:pPr>
        <w:pStyle w:val="BlockText"/>
        <w:ind w:left="2160" w:right="1008"/>
      </w:pPr>
      <w:r w:rsidRPr="00DE387C">
        <w:rPr>
          <w:b/>
          <w:u w:val="single"/>
        </w:rPr>
        <w:t>Editor’s Note:</w:t>
      </w:r>
      <w:r>
        <w:t xml:space="preserve"> The initial proposed changes to this rule as approved by the board were objected to by the Joint </w:t>
      </w:r>
      <w:r w:rsidR="00DE387C">
        <w:t>Administrative</w:t>
      </w:r>
      <w:r>
        <w:t xml:space="preserve"> </w:t>
      </w:r>
      <w:r w:rsidR="00DE387C">
        <w:t>Procedures Committee in December 2015, based primarily on the board’s attempt to require that all such experience be on “habitable” structures.</w:t>
      </w:r>
    </w:p>
    <w:p w:rsidR="00DE387C" w:rsidRDefault="00DE387C" w:rsidP="0010255D">
      <w:pPr>
        <w:pStyle w:val="BlockText"/>
        <w:ind w:left="1800"/>
        <w:rPr>
          <w:b/>
        </w:rPr>
      </w:pPr>
    </w:p>
    <w:p w:rsidR="00DE387C" w:rsidRDefault="00DE387C" w:rsidP="0010255D">
      <w:pPr>
        <w:pStyle w:val="BlockText"/>
        <w:ind w:left="1800"/>
        <w:rPr>
          <w:b/>
        </w:rPr>
      </w:pPr>
      <w:r>
        <w:rPr>
          <w:b/>
        </w:rPr>
        <w:t>Rules 61G4-21.002 (“Definitions”) and 61G4-21.003l (“Filing Claims”):</w:t>
      </w:r>
    </w:p>
    <w:p w:rsidR="00DE387C" w:rsidRDefault="00DE387C" w:rsidP="002E6003">
      <w:pPr>
        <w:pStyle w:val="BlockText"/>
        <w:ind w:left="1800"/>
      </w:pPr>
      <w:r>
        <w:t>The board has proposed changes to these rules regarding the Florida Homeowners’ Construction Recovery Fund” to reflect 2016 legislative changes that will once again INCLUDE Division II contracts entered into after July 1, 2016.</w:t>
      </w:r>
    </w:p>
    <w:p w:rsidR="00DE387C" w:rsidRPr="00DE387C" w:rsidRDefault="00DE387C" w:rsidP="00DE387C">
      <w:pPr>
        <w:pStyle w:val="BlockText"/>
        <w:ind w:left="2160" w:right="1008" w:firstLine="6"/>
      </w:pPr>
      <w:r w:rsidRPr="00DE387C">
        <w:rPr>
          <w:b/>
          <w:u w:val="single"/>
        </w:rPr>
        <w:t>Practice Tip:</w:t>
      </w:r>
      <w:r>
        <w:t xml:space="preserve"> ALL Division II contracts entered into after July 1, 2016, the Recovery Fund notice MUST be included.</w:t>
      </w:r>
    </w:p>
    <w:p w:rsidR="00F21C36" w:rsidRPr="001776E6" w:rsidRDefault="00F21C36" w:rsidP="00F21C36">
      <w:pPr>
        <w:pStyle w:val="BlockText"/>
        <w:tabs>
          <w:tab w:val="left" w:pos="1440"/>
          <w:tab w:val="left" w:pos="1980"/>
        </w:tabs>
        <w:rPr>
          <w:b/>
        </w:rPr>
      </w:pPr>
    </w:p>
    <w:p w:rsidR="00312017" w:rsidRDefault="00146910" w:rsidP="00312017">
      <w:pPr>
        <w:pStyle w:val="BlockText"/>
        <w:ind w:left="1890" w:hanging="450"/>
      </w:pPr>
      <w:r w:rsidRPr="00146910">
        <w:rPr>
          <w:b/>
        </w:rPr>
        <w:t>(b)</w:t>
      </w:r>
      <w:r>
        <w:t xml:space="preserve"> </w:t>
      </w:r>
      <w:r w:rsidR="00CC064D">
        <w:t xml:space="preserve"> </w:t>
      </w:r>
      <w:r w:rsidR="00A750A9" w:rsidRPr="00A750A9">
        <w:rPr>
          <w:b/>
          <w:u w:val="single"/>
        </w:rPr>
        <w:t>P</w:t>
      </w:r>
      <w:r w:rsidR="0032443B" w:rsidRPr="00A750A9">
        <w:rPr>
          <w:b/>
          <w:u w:val="single"/>
        </w:rPr>
        <w:t>etitions for Declaratory Statement</w:t>
      </w:r>
      <w:r w:rsidR="00A750A9">
        <w:t xml:space="preserve"> (if</w:t>
      </w:r>
      <w:r w:rsidR="00CC064D">
        <w:t xml:space="preserve"> </w:t>
      </w:r>
      <w:r w:rsidR="0032443B">
        <w:t>any):</w:t>
      </w:r>
    </w:p>
    <w:p w:rsidR="000E0782" w:rsidRDefault="000E0782" w:rsidP="00A2704C">
      <w:pPr>
        <w:pStyle w:val="BlockText"/>
      </w:pPr>
    </w:p>
    <w:p w:rsidR="00432932" w:rsidRDefault="000E0782" w:rsidP="00076663">
      <w:pPr>
        <w:pStyle w:val="BlockText"/>
        <w:ind w:left="1890" w:hanging="450"/>
      </w:pPr>
      <w:r>
        <w:tab/>
      </w:r>
      <w:r w:rsidR="00DE387C">
        <w:rPr>
          <w:b/>
        </w:rPr>
        <w:t>Sarah J. Keith/Apex Piping Systems, Inc.</w:t>
      </w:r>
      <w:r w:rsidR="00076663">
        <w:rPr>
          <w:b/>
        </w:rPr>
        <w:t xml:space="preserve"> </w:t>
      </w:r>
      <w:r w:rsidR="00076663">
        <w:t>–</w:t>
      </w:r>
      <w:r w:rsidR="00DE387C">
        <w:t xml:space="preserve"> Petition filed on May 27</w:t>
      </w:r>
      <w:r w:rsidR="00076663">
        <w:t>, 2016, seeking a determination of the applicability of section 489.105</w:t>
      </w:r>
      <w:r w:rsidR="00DE387C">
        <w:t>(3)</w:t>
      </w:r>
      <w:r w:rsidR="00076663">
        <w:t xml:space="preserve"> as it relates to the </w:t>
      </w:r>
      <w:r w:rsidR="00DE387C">
        <w:t>operations of a bulk storage plant and the type of license necessary to conduct such work. By order entered on September 20</w:t>
      </w:r>
      <w:r w:rsidR="00076663">
        <w:t>, 2016, the board declined to answer because petitioner was not a substantially affected person and had no standing.</w:t>
      </w:r>
    </w:p>
    <w:p w:rsidR="00076663" w:rsidRDefault="00076663" w:rsidP="00076663">
      <w:pPr>
        <w:pStyle w:val="BlockText"/>
        <w:ind w:left="1890" w:hanging="450"/>
      </w:pPr>
    </w:p>
    <w:p w:rsidR="006E723E" w:rsidRDefault="00076663" w:rsidP="002544B6">
      <w:pPr>
        <w:pStyle w:val="BlockText"/>
        <w:ind w:left="1890" w:hanging="450"/>
      </w:pPr>
      <w:r>
        <w:tab/>
      </w:r>
      <w:r w:rsidR="00DE387C">
        <w:rPr>
          <w:b/>
        </w:rPr>
        <w:t>Daniel Arguelles</w:t>
      </w:r>
      <w:r w:rsidR="002544B6">
        <w:t xml:space="preserve"> – Petition filed on May 7</w:t>
      </w:r>
      <w:r>
        <w:t xml:space="preserve">, 2016, seeking a determination </w:t>
      </w:r>
      <w:r w:rsidR="002544B6">
        <w:t xml:space="preserve">of the applicability of section 489.105(3) to the installation of a hybrid solar roof and whether a Division I contractor or roofing contractor are qualified to install a Pex tubing array. </w:t>
      </w:r>
      <w:r>
        <w:t>By order entered</w:t>
      </w:r>
      <w:r w:rsidR="002544B6">
        <w:t xml:space="preserve"> on September 20</w:t>
      </w:r>
      <w:r>
        <w:t xml:space="preserve">, 2016, the board declined to answer because the </w:t>
      </w:r>
      <w:r w:rsidR="002544B6">
        <w:t>subject relates to an ongoing controversy and is addressed by the statutes.</w:t>
      </w:r>
    </w:p>
    <w:p w:rsidR="00217479" w:rsidRDefault="00217479" w:rsidP="00133FBD">
      <w:pPr>
        <w:pStyle w:val="BlockText"/>
        <w:ind w:left="1890"/>
      </w:pPr>
    </w:p>
    <w:p w:rsidR="008C30E6" w:rsidRPr="009B4801" w:rsidRDefault="00217479" w:rsidP="00146910">
      <w:pPr>
        <w:pStyle w:val="BlockText"/>
        <w:ind w:left="1440"/>
        <w:rPr>
          <w:b/>
        </w:rPr>
      </w:pPr>
      <w:r w:rsidRPr="00146910">
        <w:rPr>
          <w:b/>
        </w:rPr>
        <w:t xml:space="preserve"> </w:t>
      </w:r>
      <w:r w:rsidR="00146910" w:rsidRPr="00146910">
        <w:rPr>
          <w:b/>
        </w:rPr>
        <w:t>(</w:t>
      </w:r>
      <w:r w:rsidR="00CC064D">
        <w:rPr>
          <w:b/>
        </w:rPr>
        <w:t>c</w:t>
      </w:r>
      <w:r w:rsidR="00146910" w:rsidRPr="00146910">
        <w:rPr>
          <w:b/>
        </w:rPr>
        <w:t>)</w:t>
      </w:r>
      <w:r w:rsidR="00146910">
        <w:t xml:space="preserve"> </w:t>
      </w:r>
      <w:r w:rsidR="00A750A9">
        <w:rPr>
          <w:b/>
        </w:rPr>
        <w:t xml:space="preserve"> </w:t>
      </w:r>
      <w:r w:rsidR="00A750A9" w:rsidRPr="00A750A9">
        <w:rPr>
          <w:b/>
          <w:u w:val="single"/>
        </w:rPr>
        <w:t>P</w:t>
      </w:r>
      <w:r w:rsidR="002558FB" w:rsidRPr="00A750A9">
        <w:rPr>
          <w:b/>
          <w:u w:val="single"/>
        </w:rPr>
        <w:t>etition</w:t>
      </w:r>
      <w:r w:rsidR="009F7BC1" w:rsidRPr="00A750A9">
        <w:rPr>
          <w:b/>
          <w:u w:val="single"/>
        </w:rPr>
        <w:t>s</w:t>
      </w:r>
      <w:r w:rsidR="004E142A" w:rsidRPr="00A750A9">
        <w:rPr>
          <w:b/>
          <w:u w:val="single"/>
        </w:rPr>
        <w:t xml:space="preserve"> for Va</w:t>
      </w:r>
      <w:r w:rsidR="0092555A" w:rsidRPr="00A750A9">
        <w:rPr>
          <w:b/>
          <w:u w:val="single"/>
        </w:rPr>
        <w:t>riance or Waiver</w:t>
      </w:r>
      <w:r w:rsidR="00BB6D12">
        <w:t xml:space="preserve"> (if any</w:t>
      </w:r>
      <w:r w:rsidR="00BB6D12" w:rsidRPr="009B4801">
        <w:t>):</w:t>
      </w:r>
      <w:r w:rsidR="00530BF1" w:rsidRPr="009B4801">
        <w:t xml:space="preserve"> </w:t>
      </w:r>
    </w:p>
    <w:p w:rsidR="003642F6" w:rsidRDefault="003642F6" w:rsidP="00217479">
      <w:pPr>
        <w:pStyle w:val="BlockText"/>
      </w:pPr>
    </w:p>
    <w:p w:rsidR="003642F6" w:rsidRDefault="002544B6" w:rsidP="002A2F20">
      <w:pPr>
        <w:pStyle w:val="BlockText"/>
        <w:ind w:left="1890"/>
      </w:pPr>
      <w:r>
        <w:rPr>
          <w:b/>
        </w:rPr>
        <w:t>Nolan Carl Sweeting</w:t>
      </w:r>
      <w:r w:rsidR="003642F6">
        <w:t xml:space="preserve"> – Pet</w:t>
      </w:r>
      <w:r>
        <w:t>ition filed on May 11</w:t>
      </w:r>
      <w:r w:rsidR="00E6710A">
        <w:t>, 2016</w:t>
      </w:r>
      <w:r w:rsidR="003642F6">
        <w:t>, seeking a waiver of the rule</w:t>
      </w:r>
      <w:r w:rsidR="00E6710A">
        <w:t xml:space="preserve"> requiring a passing score </w:t>
      </w:r>
      <w:r>
        <w:t>on the contractor’s examination (until December 31, 2016). By order entered on September 20, 2016, the petition was denied for failure to demonstrate a substantial hardship.</w:t>
      </w:r>
    </w:p>
    <w:p w:rsidR="00217479" w:rsidRDefault="00217479" w:rsidP="002544B6">
      <w:pPr>
        <w:pStyle w:val="BlockText"/>
      </w:pPr>
    </w:p>
    <w:p w:rsidR="008C30E6" w:rsidRDefault="00217479" w:rsidP="002544B6">
      <w:pPr>
        <w:pStyle w:val="BlockText"/>
        <w:ind w:left="1890"/>
      </w:pPr>
      <w:r w:rsidRPr="00217479">
        <w:rPr>
          <w:b/>
        </w:rPr>
        <w:t>Scott Douglas Chambers</w:t>
      </w:r>
      <w:r>
        <w:t xml:space="preserve"> – Petition filed on July 15, 2016, seeking a waiver of the financial responsibility and stability requirements of Rule 61G4-15.006 in order to change the status of the petitioner license to that of a certified pool/spa servicing contractor.</w:t>
      </w:r>
      <w:r w:rsidR="002544B6">
        <w:t xml:space="preserve"> By order entered on September 29, 2016, the petition was denied for failure to demonstrate a substantial hardship.</w:t>
      </w:r>
    </w:p>
    <w:p w:rsidR="002E6003" w:rsidRDefault="002E6003" w:rsidP="002544B6">
      <w:pPr>
        <w:pStyle w:val="BlockText"/>
        <w:ind w:left="1890"/>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E6710A">
        <w:t>;</w:t>
      </w:r>
    </w:p>
    <w:p w:rsidR="00F2420F" w:rsidRDefault="00F2420F" w:rsidP="00F2420F">
      <w:pPr>
        <w:pStyle w:val="BlockText"/>
        <w:ind w:left="1080"/>
      </w:pPr>
    </w:p>
    <w:p w:rsidR="005510CD" w:rsidRDefault="006E723E" w:rsidP="002544B6">
      <w:pPr>
        <w:pStyle w:val="BlockText"/>
        <w:numPr>
          <w:ilvl w:val="0"/>
          <w:numId w:val="21"/>
        </w:numPr>
        <w:tabs>
          <w:tab w:val="left" w:pos="1800"/>
          <w:tab w:val="left" w:pos="1890"/>
        </w:tabs>
        <w:ind w:left="1890" w:hanging="450"/>
      </w:pPr>
      <w:r>
        <w:rPr>
          <w:b/>
        </w:rPr>
        <w:t xml:space="preserve">  </w:t>
      </w:r>
      <w:r w:rsidR="00A750A9" w:rsidRPr="0067243A">
        <w:rPr>
          <w:b/>
          <w:u w:val="single"/>
        </w:rPr>
        <w:t>Rules</w:t>
      </w:r>
      <w:r w:rsidR="00FE4A4B" w:rsidRPr="0067243A">
        <w:rPr>
          <w:b/>
          <w:u w:val="single"/>
        </w:rPr>
        <w:t xml:space="preserve"> Changes</w:t>
      </w:r>
      <w:r w:rsidR="00BD45AE">
        <w:t xml:space="preserve"> (if any</w:t>
      </w:r>
      <w:r w:rsidR="002544B6">
        <w:t>): Rule 61G6-10.002 regarding Violations and Penalties is proposed for amendment to update 2016 legislative changes.</w:t>
      </w:r>
    </w:p>
    <w:p w:rsidR="0067243A" w:rsidRDefault="0067243A" w:rsidP="0067243A">
      <w:pPr>
        <w:pStyle w:val="BlockText"/>
        <w:tabs>
          <w:tab w:val="left" w:pos="1800"/>
          <w:tab w:val="left" w:pos="1890"/>
        </w:tabs>
        <w:ind w:left="2160"/>
      </w:pPr>
    </w:p>
    <w:p w:rsidR="00A110DD" w:rsidRDefault="006E723E" w:rsidP="00A750A9">
      <w:pPr>
        <w:pStyle w:val="BlockText"/>
        <w:numPr>
          <w:ilvl w:val="0"/>
          <w:numId w:val="21"/>
        </w:numPr>
        <w:tabs>
          <w:tab w:val="left" w:pos="1800"/>
        </w:tabs>
        <w:ind w:firstLine="720"/>
      </w:pPr>
      <w:r>
        <w:rPr>
          <w:b/>
        </w:rPr>
        <w:t xml:space="preserve">  </w:t>
      </w:r>
      <w:r w:rsidR="00A750A9" w:rsidRPr="00A750A9">
        <w:rPr>
          <w:b/>
          <w:u w:val="single"/>
        </w:rPr>
        <w:t>P</w:t>
      </w:r>
      <w:r w:rsidR="004E142A" w:rsidRPr="00A750A9">
        <w:rPr>
          <w:b/>
          <w:u w:val="single"/>
        </w:rPr>
        <w:t xml:space="preserve">etitions for </w:t>
      </w:r>
      <w:r w:rsidR="00CC064D" w:rsidRPr="00A750A9">
        <w:rPr>
          <w:b/>
          <w:u w:val="single"/>
        </w:rPr>
        <w:t xml:space="preserve">Declaratory </w:t>
      </w:r>
      <w:r w:rsidR="00DB4628" w:rsidRPr="00A750A9">
        <w:rPr>
          <w:b/>
          <w:u w:val="single"/>
        </w:rPr>
        <w:t xml:space="preserve">Statement </w:t>
      </w:r>
      <w:r w:rsidR="00400FFE">
        <w:t>(if</w:t>
      </w:r>
      <w:r w:rsidR="00CC064D">
        <w:t xml:space="preserve"> </w:t>
      </w:r>
      <w:r w:rsidR="00DB4628">
        <w:t>any):</w:t>
      </w:r>
      <w:r w:rsidR="00360AA3">
        <w:t xml:space="preserve"> </w:t>
      </w:r>
      <w:r w:rsidR="004813C0">
        <w:t>None noticed.</w:t>
      </w:r>
    </w:p>
    <w:p w:rsidR="00232172" w:rsidRDefault="00232172" w:rsidP="00232172">
      <w:pPr>
        <w:pStyle w:val="ListParagraph"/>
      </w:pPr>
    </w:p>
    <w:p w:rsidR="00232172" w:rsidRDefault="00232172" w:rsidP="00A750A9">
      <w:pPr>
        <w:pStyle w:val="BlockText"/>
        <w:numPr>
          <w:ilvl w:val="0"/>
          <w:numId w:val="21"/>
        </w:numPr>
        <w:tabs>
          <w:tab w:val="left" w:pos="1800"/>
        </w:tabs>
        <w:ind w:firstLine="720"/>
      </w:pPr>
      <w:r>
        <w:rPr>
          <w:b/>
        </w:rPr>
        <w:t xml:space="preserve">  </w:t>
      </w:r>
      <w:r w:rsidRPr="00A750A9">
        <w:rPr>
          <w:b/>
          <w:u w:val="single"/>
        </w:rPr>
        <w:t>Petitions for Variance or Waiver</w:t>
      </w:r>
      <w:r>
        <w:t xml:space="preserve"> (if any): None noticed.</w:t>
      </w:r>
    </w:p>
    <w:p w:rsidR="00802164" w:rsidRPr="00F917FF" w:rsidRDefault="00802164" w:rsidP="00595D13">
      <w:pPr>
        <w:pStyle w:val="BlockText"/>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AC4FD0" w:rsidRDefault="00A750A9" w:rsidP="00CC064D">
      <w:pPr>
        <w:pStyle w:val="BlockText"/>
        <w:numPr>
          <w:ilvl w:val="1"/>
          <w:numId w:val="11"/>
        </w:numPr>
        <w:tabs>
          <w:tab w:val="left" w:pos="1710"/>
        </w:tabs>
        <w:ind w:hanging="540"/>
      </w:pPr>
      <w:r>
        <w:rPr>
          <w:b/>
          <w:u w:val="single"/>
        </w:rPr>
        <w:t>Rules</w:t>
      </w:r>
      <w:r w:rsidR="00FE4A4B">
        <w:rPr>
          <w:b/>
          <w:u w:val="single"/>
        </w:rPr>
        <w:t xml:space="preserve"> Changes</w:t>
      </w:r>
      <w:r w:rsidR="00297D0C">
        <w:t xml:space="preserve"> (if any)</w:t>
      </w:r>
      <w:r w:rsidR="000B1E71">
        <w:t xml:space="preserve">: </w:t>
      </w:r>
      <w:r w:rsidR="0019337F">
        <w:t>None noticed.</w:t>
      </w:r>
    </w:p>
    <w:p w:rsidR="009D0597" w:rsidRDefault="009D0597" w:rsidP="009D0597">
      <w:pPr>
        <w:pStyle w:val="BlockText"/>
        <w:tabs>
          <w:tab w:val="left" w:pos="1710"/>
        </w:tabs>
        <w:ind w:left="1800"/>
      </w:pPr>
    </w:p>
    <w:p w:rsidR="00CC064D" w:rsidRDefault="00A750A9" w:rsidP="00A750A9">
      <w:pPr>
        <w:pStyle w:val="BlockText"/>
        <w:numPr>
          <w:ilvl w:val="1"/>
          <w:numId w:val="11"/>
        </w:numPr>
        <w:ind w:hanging="540"/>
      </w:pPr>
      <w:r w:rsidRPr="00FE4A4B">
        <w:rPr>
          <w:b/>
          <w:u w:val="single"/>
        </w:rPr>
        <w:t>P</w:t>
      </w:r>
      <w:r w:rsidR="004E142A" w:rsidRPr="00FE4A4B">
        <w:rPr>
          <w:b/>
          <w:u w:val="single"/>
        </w:rPr>
        <w:t xml:space="preserve">etitions for Declaratory </w:t>
      </w:r>
      <w:r w:rsidR="004E142A" w:rsidRPr="00A750A9">
        <w:rPr>
          <w:b/>
          <w:u w:val="single"/>
        </w:rPr>
        <w:t>Statement</w:t>
      </w:r>
      <w:r>
        <w:t xml:space="preserve"> (if any):</w:t>
      </w:r>
      <w:r w:rsidR="0019337F">
        <w:t xml:space="preserve"> None noticed.</w:t>
      </w:r>
    </w:p>
    <w:p w:rsidR="00CC064D" w:rsidRDefault="00CC064D" w:rsidP="00CC064D">
      <w:pPr>
        <w:pStyle w:val="ListParagraph"/>
        <w:rPr>
          <w:u w:val="single"/>
        </w:rPr>
      </w:pPr>
    </w:p>
    <w:p w:rsidR="004E2A5D" w:rsidRDefault="00A750A9" w:rsidP="00AC4FD0">
      <w:pPr>
        <w:pStyle w:val="BlockText"/>
        <w:numPr>
          <w:ilvl w:val="1"/>
          <w:numId w:val="11"/>
        </w:numPr>
        <w:ind w:hanging="540"/>
      </w:pPr>
      <w:r w:rsidRPr="00A750A9">
        <w:rPr>
          <w:b/>
          <w:u w:val="single"/>
        </w:rPr>
        <w:t>P</w:t>
      </w:r>
      <w:r w:rsidR="004E142A" w:rsidRPr="00A750A9">
        <w:rPr>
          <w:b/>
          <w:u w:val="single"/>
        </w:rPr>
        <w:t>etitions f</w:t>
      </w:r>
      <w:r w:rsidR="00273404" w:rsidRPr="00A750A9">
        <w:rPr>
          <w:b/>
          <w:u w:val="single"/>
        </w:rPr>
        <w:t>or Variance or Waiver</w:t>
      </w:r>
      <w:r w:rsidR="00273404">
        <w:t xml:space="preserve"> (if any):</w:t>
      </w:r>
      <w:r w:rsidR="0019337F">
        <w:t xml:space="preserve"> None noticed.</w:t>
      </w:r>
    </w:p>
    <w:p w:rsidR="004E142A" w:rsidRDefault="004E142A" w:rsidP="00FA53DC">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10953" w:rsidRDefault="00FE4A4B" w:rsidP="002544B6">
      <w:pPr>
        <w:pStyle w:val="BlockText"/>
        <w:numPr>
          <w:ilvl w:val="1"/>
          <w:numId w:val="11"/>
        </w:numPr>
      </w:pPr>
      <w:r w:rsidRPr="00FE4A4B">
        <w:rPr>
          <w:b/>
          <w:u w:val="single"/>
        </w:rPr>
        <w:t>Rules Changes</w:t>
      </w:r>
      <w:r>
        <w:rPr>
          <w:b/>
        </w:rPr>
        <w:t xml:space="preserve"> </w:t>
      </w:r>
      <w:r w:rsidR="00434B55">
        <w:t>(if any):</w:t>
      </w:r>
      <w:r w:rsidR="00DD5289">
        <w:t xml:space="preserve"> </w:t>
      </w:r>
    </w:p>
    <w:p w:rsidR="00802164" w:rsidRDefault="00802164" w:rsidP="00577D3F">
      <w:pPr>
        <w:pStyle w:val="BlockText"/>
      </w:pPr>
    </w:p>
    <w:p w:rsidR="00577D3F" w:rsidRDefault="00577D3F" w:rsidP="00133FBD">
      <w:pPr>
        <w:pStyle w:val="BlockText"/>
        <w:ind w:left="1980"/>
        <w:rPr>
          <w:b/>
        </w:rPr>
      </w:pPr>
      <w:r>
        <w:rPr>
          <w:b/>
        </w:rPr>
        <w:t>Rule 61G15-</w:t>
      </w:r>
      <w:r w:rsidR="00F31520">
        <w:rPr>
          <w:b/>
        </w:rPr>
        <w:t>22.001 and 22.002</w:t>
      </w:r>
      <w:r w:rsidR="00802164">
        <w:t xml:space="preserve">, regarding </w:t>
      </w:r>
      <w:r w:rsidR="00F31520">
        <w:t>renewals and active/inactive status of licenses, is being amended by adopting new forms, including a specific designation for inactive status.</w:t>
      </w:r>
      <w:r w:rsidRPr="00657721">
        <w:rPr>
          <w:b/>
        </w:rPr>
        <w:t xml:space="preserve"> </w:t>
      </w:r>
    </w:p>
    <w:p w:rsidR="00577D3F" w:rsidRDefault="00577D3F" w:rsidP="00133FBD">
      <w:pPr>
        <w:pStyle w:val="BlockText"/>
        <w:ind w:left="1980"/>
        <w:rPr>
          <w:b/>
        </w:rPr>
      </w:pPr>
    </w:p>
    <w:p w:rsidR="00657721" w:rsidRDefault="00577D3F" w:rsidP="00133FBD">
      <w:pPr>
        <w:pStyle w:val="BlockText"/>
        <w:ind w:left="1980"/>
      </w:pPr>
      <w:r>
        <w:rPr>
          <w:b/>
        </w:rPr>
        <w:t xml:space="preserve">Rule </w:t>
      </w:r>
      <w:r w:rsidR="00F31520">
        <w:rPr>
          <w:b/>
        </w:rPr>
        <w:t>61G15-30.003</w:t>
      </w:r>
      <w:r w:rsidR="00F31520">
        <w:t>, regarding minimum requirements for engineering document,</w:t>
      </w:r>
      <w:r w:rsidR="00657721">
        <w:t xml:space="preserve"> </w:t>
      </w:r>
      <w:r w:rsidR="00F31520">
        <w:t xml:space="preserve">is being amended to add applicable “standards” and codes” in affect at the time the documents are signed, sealed and dated (in lieu of just the Florida Building Code), and identification of the edition and effective date the documents </w:t>
      </w:r>
      <w:r w:rsidR="000F73A7">
        <w:t>are intended to con</w:t>
      </w:r>
      <w:r w:rsidR="00F31520">
        <w:t>form</w:t>
      </w:r>
      <w:r>
        <w:t>.</w:t>
      </w:r>
    </w:p>
    <w:p w:rsidR="0019337F" w:rsidRDefault="0019337F" w:rsidP="00577D3F">
      <w:pPr>
        <w:pStyle w:val="BlockText"/>
        <w:tabs>
          <w:tab w:val="left" w:pos="1620"/>
        </w:tabs>
        <w:rPr>
          <w:b/>
        </w:rPr>
      </w:pPr>
    </w:p>
    <w:p w:rsidR="00E3126D" w:rsidRDefault="0019337F" w:rsidP="00CC064D">
      <w:pPr>
        <w:pStyle w:val="BlockText"/>
        <w:tabs>
          <w:tab w:val="left" w:pos="1620"/>
        </w:tabs>
        <w:ind w:left="1980" w:hanging="540"/>
      </w:pPr>
      <w:r>
        <w:rPr>
          <w:b/>
        </w:rPr>
        <w:t xml:space="preserve"> </w:t>
      </w:r>
      <w:r w:rsidR="007F7B3F">
        <w:rPr>
          <w:b/>
        </w:rPr>
        <w:t xml:space="preserve">(b) </w:t>
      </w:r>
      <w:r w:rsidR="00CC064D">
        <w:rPr>
          <w:b/>
        </w:rPr>
        <w:t xml:space="preserve"> </w:t>
      </w:r>
      <w:r w:rsidR="009E2A70" w:rsidRPr="00A750A9">
        <w:rPr>
          <w:b/>
          <w:u w:val="single"/>
        </w:rPr>
        <w:t xml:space="preserve">Petitions for </w:t>
      </w:r>
      <w:r w:rsidR="00052694" w:rsidRPr="00A750A9">
        <w:rPr>
          <w:b/>
          <w:u w:val="single"/>
        </w:rPr>
        <w:t>Declaratory Statement</w:t>
      </w:r>
      <w:r w:rsidR="00003119">
        <w:t xml:space="preserve"> (if any</w:t>
      </w:r>
      <w:r w:rsidR="00A750A9">
        <w:t>):</w:t>
      </w:r>
      <w:r w:rsidR="004B0BF0">
        <w:t xml:space="preserve"> </w:t>
      </w:r>
      <w:r w:rsidR="000F73A7">
        <w:t>None noticed.</w:t>
      </w:r>
    </w:p>
    <w:p w:rsidR="000B0D3F" w:rsidRDefault="000B0D3F" w:rsidP="000B0D3F">
      <w:pPr>
        <w:pStyle w:val="BlockText"/>
        <w:ind w:left="1800"/>
      </w:pPr>
    </w:p>
    <w:p w:rsidR="00CC1B0F" w:rsidRDefault="007F7B3F" w:rsidP="00CC064D">
      <w:pPr>
        <w:pStyle w:val="BlockText"/>
        <w:ind w:left="2250" w:hanging="810"/>
      </w:pPr>
      <w:r>
        <w:rPr>
          <w:b/>
        </w:rPr>
        <w:t>(c)</w:t>
      </w:r>
      <w:r w:rsidR="00CC064D">
        <w:t xml:space="preserve">  </w:t>
      </w:r>
      <w:r w:rsidR="00A750A9">
        <w:t xml:space="preserve">  </w:t>
      </w:r>
      <w:r w:rsidR="000B0D3F" w:rsidRPr="00A750A9">
        <w:rPr>
          <w:b/>
          <w:u w:val="single"/>
        </w:rPr>
        <w:t>Petitions for Variance or Waiver</w:t>
      </w:r>
      <w:r w:rsidR="000B0D3F">
        <w:t xml:space="preserve"> (i</w:t>
      </w:r>
      <w:r w:rsidR="00B73DBD">
        <w:t>f any):</w:t>
      </w:r>
      <w:r w:rsidR="00034306">
        <w:t xml:space="preserve"> </w:t>
      </w:r>
    </w:p>
    <w:p w:rsidR="00B633E7" w:rsidRDefault="00B633E7" w:rsidP="000F73A7">
      <w:pPr>
        <w:pStyle w:val="BlockText"/>
      </w:pPr>
    </w:p>
    <w:p w:rsidR="00B96236" w:rsidRDefault="00B96236" w:rsidP="00651011">
      <w:pPr>
        <w:pStyle w:val="BlockText"/>
        <w:ind w:left="1919"/>
      </w:pPr>
      <w:r>
        <w:rPr>
          <w:b/>
        </w:rPr>
        <w:t xml:space="preserve">Manoj Tadhani </w:t>
      </w:r>
      <w:r>
        <w:t xml:space="preserve">– Petition filed on August 1, 2016, seeking a waiver from Rule 61G15-20.007(3) requiring that CLEP courses be used to satisfy educational deficiencies in General Education but not </w:t>
      </w:r>
      <w:r w:rsidR="000F73A7">
        <w:t>in Math and Basic Science, granted by order filed on September 14, 2016</w:t>
      </w:r>
      <w:r>
        <w:t>.</w:t>
      </w:r>
    </w:p>
    <w:p w:rsidR="00651011" w:rsidRPr="00577D3F" w:rsidRDefault="00651011" w:rsidP="00F505EF">
      <w:pPr>
        <w:pStyle w:val="BlockText"/>
        <w:ind w:left="1919"/>
      </w:pPr>
    </w:p>
    <w:p w:rsidR="00577D3F" w:rsidRDefault="00B96236" w:rsidP="00F505EF">
      <w:pPr>
        <w:pStyle w:val="BlockText"/>
        <w:ind w:left="1919"/>
      </w:pPr>
      <w:r>
        <w:rPr>
          <w:b/>
        </w:rPr>
        <w:t xml:space="preserve">Raghavender Joshi </w:t>
      </w:r>
      <w:r>
        <w:t xml:space="preserve">– Petition filed on August 3, 2016 seeking a waiver of Rule 61G15-20.007(1) (b) requiring that applicants for licensure with non EAC/ABET accredited degrees demonstrate 9 hours of </w:t>
      </w:r>
      <w:r w:rsidR="000F73A7">
        <w:t>general education credit, was denied by order filed on September 13, 2016, for failure to meet the purpose of the underlying statute by other means and for failure to demonstrate hardship</w:t>
      </w:r>
      <w:r>
        <w:t>.</w:t>
      </w:r>
    </w:p>
    <w:p w:rsidR="000F73A7" w:rsidRDefault="000F73A7" w:rsidP="002E6003">
      <w:pPr>
        <w:pStyle w:val="BlockText"/>
      </w:pPr>
    </w:p>
    <w:p w:rsidR="000F73A7" w:rsidRPr="00B96236" w:rsidRDefault="000F73A7" w:rsidP="000F73A7">
      <w:pPr>
        <w:pStyle w:val="BlockText"/>
        <w:ind w:left="1919"/>
      </w:pPr>
      <w:r>
        <w:rPr>
          <w:b/>
        </w:rPr>
        <w:t xml:space="preserve">Henry C. Hillman, Jr. </w:t>
      </w:r>
      <w:r>
        <w:t>– Petition filed on April 13, 2016 seeking a waiver of Rule 61G15-35.003 and licensure as a special inspector of threshold buildings, was granted by order filed on September 14, 2016.</w:t>
      </w:r>
    </w:p>
    <w:p w:rsidR="000B0D3F" w:rsidRDefault="000B0D3F" w:rsidP="000B0D3F">
      <w:pPr>
        <w:pStyle w:val="BlockText"/>
      </w:pPr>
    </w:p>
    <w:p w:rsidR="004E142A" w:rsidRDefault="004E142A" w:rsidP="00FA53DC">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3E1169" w:rsidRDefault="007B0198" w:rsidP="00FA53DC">
      <w:pPr>
        <w:pStyle w:val="BlockText"/>
        <w:numPr>
          <w:ilvl w:val="1"/>
          <w:numId w:val="11"/>
        </w:numPr>
        <w:ind w:left="1800"/>
      </w:pPr>
      <w:r>
        <w:t xml:space="preserve">  </w:t>
      </w:r>
      <w:r w:rsidR="00212AD9">
        <w:rPr>
          <w:b/>
          <w:u w:val="single"/>
        </w:rPr>
        <w:t>Rul</w:t>
      </w:r>
      <w:r w:rsidR="00FE4A4B">
        <w:rPr>
          <w:b/>
          <w:u w:val="single"/>
        </w:rPr>
        <w:t>e Changes</w:t>
      </w:r>
      <w:r w:rsidR="00212AD9">
        <w:rPr>
          <w:b/>
          <w:u w:val="single"/>
        </w:rPr>
        <w:t>:</w:t>
      </w:r>
      <w:r w:rsidR="00212AD9">
        <w:rPr>
          <w:b/>
        </w:rPr>
        <w:t xml:space="preserve"> </w:t>
      </w:r>
      <w:r w:rsidR="000F73A7">
        <w:t>Rule 61G19-10.001 has been noticed for rule development to delete the inactive certificate renewal fee.</w:t>
      </w:r>
    </w:p>
    <w:p w:rsidR="00E436A7" w:rsidRDefault="00E436A7" w:rsidP="00E436A7">
      <w:pPr>
        <w:pStyle w:val="BlockText"/>
        <w:ind w:left="1800"/>
      </w:pPr>
    </w:p>
    <w:p w:rsidR="001358A0" w:rsidRDefault="00835EE6" w:rsidP="00516796">
      <w:pPr>
        <w:pStyle w:val="BlockText"/>
        <w:numPr>
          <w:ilvl w:val="1"/>
          <w:numId w:val="11"/>
        </w:numPr>
        <w:ind w:left="1800"/>
      </w:pPr>
      <w:r>
        <w:t xml:space="preserve">  </w:t>
      </w:r>
      <w:r w:rsidR="004E142A" w:rsidRPr="005E2FA8">
        <w:rPr>
          <w:b/>
          <w:u w:val="single"/>
        </w:rPr>
        <w:t>Petitions for Declaratory Statement</w:t>
      </w:r>
      <w:r w:rsidR="004E142A">
        <w:t xml:space="preserve"> (if any</w:t>
      </w:r>
      <w:r w:rsidR="001358A0">
        <w:t>):</w:t>
      </w:r>
      <w:r w:rsidR="00523A7F">
        <w:t xml:space="preserve"> None noticed.</w:t>
      </w:r>
    </w:p>
    <w:p w:rsidR="001A1C5D" w:rsidRDefault="001A1C5D" w:rsidP="00B01391">
      <w:pPr>
        <w:pStyle w:val="BlockText"/>
        <w:tabs>
          <w:tab w:val="left" w:pos="1710"/>
        </w:tabs>
      </w:pPr>
    </w:p>
    <w:p w:rsidR="00516796" w:rsidRDefault="004E142A" w:rsidP="00567F82">
      <w:pPr>
        <w:pStyle w:val="BlockText"/>
        <w:numPr>
          <w:ilvl w:val="1"/>
          <w:numId w:val="11"/>
        </w:numPr>
        <w:ind w:left="1890" w:hanging="450"/>
      </w:pPr>
      <w:r w:rsidRPr="0090548D">
        <w:rPr>
          <w:b/>
          <w:u w:val="single"/>
        </w:rPr>
        <w:t>Petitions for Variance or Waiver</w:t>
      </w:r>
      <w:r w:rsidR="005D7FBD">
        <w:t xml:space="preserve"> (if any):</w:t>
      </w:r>
      <w:r w:rsidR="002E6003">
        <w:t xml:space="preserve"> None noticed</w:t>
      </w:r>
    </w:p>
    <w:p w:rsidR="00516796" w:rsidRDefault="00516796" w:rsidP="00516796">
      <w:pPr>
        <w:pStyle w:val="BlockText"/>
        <w:ind w:left="1890"/>
      </w:pPr>
    </w:p>
    <w:p w:rsidR="00584D8D" w:rsidRPr="002E6003" w:rsidRDefault="004E142A" w:rsidP="002E6003">
      <w:pPr>
        <w:pStyle w:val="BlockText"/>
        <w:numPr>
          <w:ilvl w:val="0"/>
          <w:numId w:val="11"/>
        </w:numPr>
      </w:pPr>
      <w:r w:rsidRPr="00403905">
        <w:rPr>
          <w:b/>
          <w:u w:val="single"/>
        </w:rPr>
        <w:t>Florida Building Commission</w:t>
      </w:r>
      <w:r>
        <w:rPr>
          <w:rStyle w:val="FootnoteReference"/>
          <w:u w:val="single"/>
        </w:rPr>
        <w:footnoteReference w:id="1"/>
      </w:r>
      <w:r>
        <w:t xml:space="preserve"> – Chapter 553, Part IV and Chapter 61G20, FAC): </w:t>
      </w:r>
    </w:p>
    <w:p w:rsidR="00523A7F" w:rsidRDefault="00584D8D" w:rsidP="003045D2">
      <w:pPr>
        <w:pStyle w:val="BlockText"/>
        <w:ind w:left="1080"/>
      </w:pPr>
      <w:r>
        <w:rPr>
          <w:b/>
          <w:u w:val="single"/>
        </w:rPr>
        <w:t>Note:</w:t>
      </w:r>
      <w:r>
        <w:rPr>
          <w:b/>
        </w:rPr>
        <w:t xml:space="preserve"> </w:t>
      </w:r>
      <w:r w:rsidR="00595D13">
        <w:t>T</w:t>
      </w:r>
      <w:r w:rsidR="00C1101B">
        <w:t>he</w:t>
      </w:r>
      <w:r w:rsidR="00595D13">
        <w:t xml:space="preserve"> current</w:t>
      </w:r>
      <w:r w:rsidR="00C1101B">
        <w:t xml:space="preserve"> Florida Building</w:t>
      </w:r>
      <w:r w:rsidR="00595D13">
        <w:t xml:space="preserve"> Code is</w:t>
      </w:r>
      <w:r w:rsidR="00C1101B">
        <w:t xml:space="preserve"> the 5</w:t>
      </w:r>
      <w:r w:rsidR="00C1101B" w:rsidRPr="00C1101B">
        <w:rPr>
          <w:vertAlign w:val="superscript"/>
        </w:rPr>
        <w:t>th</w:t>
      </w:r>
      <w:r w:rsidR="00835E8C">
        <w:t xml:space="preserve"> edition (2014)</w:t>
      </w:r>
      <w:r>
        <w:t>, which became effective on July 1, 2015</w:t>
      </w:r>
      <w:r w:rsidR="00835E8C">
        <w:t>.</w:t>
      </w:r>
    </w:p>
    <w:p w:rsidR="00523A7F" w:rsidRPr="00FE4DEA" w:rsidRDefault="00523A7F" w:rsidP="003045D2">
      <w:pPr>
        <w:pStyle w:val="BlockText"/>
        <w:ind w:left="1080"/>
      </w:pPr>
    </w:p>
    <w:p w:rsidR="00E041E8" w:rsidRDefault="005E2FA8" w:rsidP="00584D8D">
      <w:pPr>
        <w:pStyle w:val="BlockText"/>
        <w:numPr>
          <w:ilvl w:val="1"/>
          <w:numId w:val="11"/>
        </w:numPr>
        <w:ind w:hanging="540"/>
      </w:pPr>
      <w:r w:rsidRPr="00584D8D">
        <w:rPr>
          <w:b/>
          <w:u w:val="single"/>
        </w:rPr>
        <w:t>Rule</w:t>
      </w:r>
      <w:r w:rsidR="00FE4A4B" w:rsidRPr="00584D8D">
        <w:rPr>
          <w:b/>
          <w:u w:val="single"/>
        </w:rPr>
        <w:t xml:space="preserve"> Changes</w:t>
      </w:r>
      <w:r w:rsidRPr="00584D8D">
        <w:rPr>
          <w:b/>
        </w:rPr>
        <w:t xml:space="preserve"> </w:t>
      </w:r>
      <w:r w:rsidR="00E1125C">
        <w:t>(if any):</w:t>
      </w:r>
      <w:r w:rsidR="00584D8D">
        <w:t xml:space="preserve"> </w:t>
      </w:r>
      <w:r w:rsidR="00403905" w:rsidRPr="00584D8D">
        <w:rPr>
          <w:b/>
        </w:rPr>
        <w:t>Rule 61G20-1.001</w:t>
      </w:r>
      <w:r w:rsidR="00584D8D">
        <w:t xml:space="preserve">, to adopt </w:t>
      </w:r>
      <w:r w:rsidR="00403905">
        <w:t>changes to the 5</w:t>
      </w:r>
      <w:r w:rsidR="00403905" w:rsidRPr="00584D8D">
        <w:rPr>
          <w:vertAlign w:val="superscript"/>
        </w:rPr>
        <w:t>th</w:t>
      </w:r>
      <w:r w:rsidR="00403905">
        <w:t xml:space="preserve"> edition (2014) of the Florida Building Code</w:t>
      </w:r>
      <w:r w:rsidR="00584D8D">
        <w:t>, to comply with Chapter 2016-129, Section 34, Laws of Florida, with regard the Energy Conservation volume, effective on October 13, 2016, will be taken up on October 13</w:t>
      </w:r>
      <w:r w:rsidR="00584D8D" w:rsidRPr="00584D8D">
        <w:rPr>
          <w:vertAlign w:val="superscript"/>
        </w:rPr>
        <w:t>th</w:t>
      </w:r>
      <w:r w:rsidR="00584D8D">
        <w:t xml:space="preserve"> at the Hilton University Conference Center in Gainesville, beginning at 8:30 a.m. </w:t>
      </w:r>
    </w:p>
    <w:p w:rsidR="00584D8D" w:rsidRDefault="00584D8D" w:rsidP="00584D8D">
      <w:pPr>
        <w:pStyle w:val="BlockText"/>
        <w:ind w:left="1980"/>
      </w:pPr>
    </w:p>
    <w:p w:rsidR="007C1C60" w:rsidRPr="005E2FA8" w:rsidRDefault="00E1125C" w:rsidP="00FA53DC">
      <w:pPr>
        <w:pStyle w:val="BlockText"/>
        <w:numPr>
          <w:ilvl w:val="1"/>
          <w:numId w:val="11"/>
        </w:numPr>
        <w:ind w:hanging="540"/>
        <w:rPr>
          <w:b/>
          <w:u w:val="single"/>
        </w:rPr>
      </w:pPr>
      <w:r w:rsidRPr="005E2FA8">
        <w:rPr>
          <w:b/>
          <w:u w:val="single"/>
        </w:rPr>
        <w:t>Petition</w:t>
      </w:r>
      <w:r w:rsidR="00C05096" w:rsidRPr="005E2FA8">
        <w:rPr>
          <w:b/>
          <w:u w:val="single"/>
        </w:rPr>
        <w:t>(</w:t>
      </w:r>
      <w:r w:rsidRPr="005E2FA8">
        <w:rPr>
          <w:b/>
          <w:u w:val="single"/>
        </w:rPr>
        <w:t>s</w:t>
      </w:r>
      <w:r w:rsidR="00C05096" w:rsidRPr="005E2FA8">
        <w:rPr>
          <w:b/>
          <w:u w:val="single"/>
        </w:rPr>
        <w:t>)</w:t>
      </w:r>
      <w:r w:rsidRPr="005E2FA8">
        <w:rPr>
          <w:b/>
          <w:u w:val="single"/>
        </w:rPr>
        <w:t xml:space="preserve"> for </w:t>
      </w:r>
      <w:r w:rsidR="005E2FA8" w:rsidRPr="005E2FA8">
        <w:rPr>
          <w:b/>
          <w:u w:val="single"/>
        </w:rPr>
        <w:t>Declaratory Statement</w:t>
      </w:r>
      <w:r w:rsidR="005E2FA8">
        <w:rPr>
          <w:b/>
        </w:rPr>
        <w:t xml:space="preserve"> </w:t>
      </w:r>
      <w:r w:rsidR="005E2FA8">
        <w:t>(if any):</w:t>
      </w:r>
    </w:p>
    <w:p w:rsidR="00C1101B" w:rsidRDefault="00C1101B" w:rsidP="00B77A8C">
      <w:pPr>
        <w:pStyle w:val="BlockText"/>
      </w:pPr>
    </w:p>
    <w:p w:rsidR="00516796" w:rsidRDefault="00584D8D" w:rsidP="00516796">
      <w:pPr>
        <w:pStyle w:val="BlockText"/>
        <w:ind w:left="1980"/>
      </w:pPr>
      <w:r>
        <w:rPr>
          <w:b/>
        </w:rPr>
        <w:t>Kathleen A. Wilkes</w:t>
      </w:r>
      <w:r w:rsidR="00516796">
        <w:t xml:space="preserve"> – seeking a determinat</w:t>
      </w:r>
      <w:r>
        <w:t xml:space="preserve">ion of whether Section 553.503(6), F. S. regarding </w:t>
      </w:r>
      <w:r w:rsidR="007A2F99">
        <w:t>handicap accessibility and requiring removal of barriers at common entrances or emergency exits of business establishments, is an exception to the federal handicap accessibility requirements. Note: This petition appears to be a complaint that the City of Pensacola is not properly enforcing the state statute.</w:t>
      </w:r>
      <w:r w:rsidR="005A0848">
        <w:t xml:space="preserve"> </w:t>
      </w:r>
    </w:p>
    <w:p w:rsidR="00567F82" w:rsidRDefault="007A2F99" w:rsidP="005A0848">
      <w:pPr>
        <w:pStyle w:val="BlockText"/>
        <w:tabs>
          <w:tab w:val="left" w:pos="2070"/>
        </w:tabs>
        <w:ind w:left="1980"/>
      </w:pPr>
      <w:r>
        <w:rPr>
          <w:b/>
        </w:rPr>
        <w:br/>
        <w:t>Conquest Firespray, LLC</w:t>
      </w:r>
      <w:r w:rsidR="00516796">
        <w:t xml:space="preserve"> – seek</w:t>
      </w:r>
      <w:r w:rsidR="005A0848">
        <w:t xml:space="preserve">ing clarification of </w:t>
      </w:r>
      <w:r>
        <w:t xml:space="preserve">the applicability of Chapter 7, 9 and 10, Florida Building Code, Building volume, as to symmetry requirements for fire resistive testing for different modes of construction. </w:t>
      </w:r>
    </w:p>
    <w:p w:rsidR="007A2F99" w:rsidRDefault="007A2F99" w:rsidP="005A0848">
      <w:pPr>
        <w:pStyle w:val="BlockText"/>
        <w:tabs>
          <w:tab w:val="left" w:pos="2070"/>
        </w:tabs>
        <w:ind w:left="1980"/>
      </w:pPr>
    </w:p>
    <w:p w:rsidR="00E84B84" w:rsidRDefault="007A2F99" w:rsidP="007A2F99">
      <w:pPr>
        <w:pStyle w:val="BlockText"/>
        <w:tabs>
          <w:tab w:val="left" w:pos="2070"/>
        </w:tabs>
        <w:ind w:left="1980"/>
      </w:pPr>
      <w:r>
        <w:rPr>
          <w:b/>
        </w:rPr>
        <w:t>Bliss &amp; Nyitray, Inc</w:t>
      </w:r>
      <w:r w:rsidRPr="007A2F99">
        <w:t>.</w:t>
      </w:r>
      <w:r w:rsidR="005A0848">
        <w:t xml:space="preserve"> – seeking clarification </w:t>
      </w:r>
      <w:r>
        <w:t xml:space="preserve">of the applicability of Chapters 2 and 16, Florida Building Code, Building volume, as to the proper live load for an upper level hotel corridor that also serves as exit access to the exit stairway. </w:t>
      </w:r>
    </w:p>
    <w:p w:rsidR="007A2F99" w:rsidRDefault="007A2F99" w:rsidP="007A2F99">
      <w:pPr>
        <w:pStyle w:val="BlockText"/>
        <w:tabs>
          <w:tab w:val="left" w:pos="2070"/>
        </w:tabs>
        <w:ind w:left="1980"/>
      </w:pPr>
    </w:p>
    <w:p w:rsidR="00E0664B" w:rsidRDefault="00E0664B" w:rsidP="007A2F99">
      <w:pPr>
        <w:pStyle w:val="BlockText"/>
        <w:tabs>
          <w:tab w:val="left" w:pos="2070"/>
        </w:tabs>
        <w:ind w:left="1980"/>
      </w:pPr>
      <w:r>
        <w:rPr>
          <w:b/>
        </w:rPr>
        <w:t>Feasterco</w:t>
      </w:r>
      <w:r w:rsidR="007A2F99">
        <w:rPr>
          <w:b/>
        </w:rPr>
        <w:t xml:space="preserve"> Construction</w:t>
      </w:r>
      <w:r>
        <w:rPr>
          <w:b/>
        </w:rPr>
        <w:t>, Inc.</w:t>
      </w:r>
      <w:r w:rsidR="007A2F99">
        <w:t xml:space="preserve"> – seeking clarification of the applicability of </w:t>
      </w:r>
      <w:r>
        <w:t xml:space="preserve">Chapter, </w:t>
      </w:r>
      <w:r w:rsidR="007A2F99">
        <w:t xml:space="preserve">Florida </w:t>
      </w:r>
      <w:r>
        <w:t xml:space="preserve">Building Code, Building volume, </w:t>
      </w:r>
      <w:r w:rsidR="007A2F99">
        <w:t xml:space="preserve">as to </w:t>
      </w:r>
      <w:r>
        <w:t>whether a compliance NFPA 13R system in a transient lodging facility with interior corridors is also protected under 903.3.1.2, NFPA 13R.</w:t>
      </w:r>
    </w:p>
    <w:p w:rsidR="00E0664B" w:rsidRDefault="00E0664B" w:rsidP="00E0664B">
      <w:pPr>
        <w:pStyle w:val="BlockText"/>
        <w:tabs>
          <w:tab w:val="left" w:pos="2070"/>
        </w:tabs>
      </w:pPr>
    </w:p>
    <w:p w:rsidR="00E0664B" w:rsidRDefault="00E0664B" w:rsidP="00E0664B">
      <w:pPr>
        <w:pStyle w:val="BlockText"/>
        <w:tabs>
          <w:tab w:val="left" w:pos="2070"/>
        </w:tabs>
        <w:ind w:left="1980"/>
      </w:pPr>
      <w:r>
        <w:rPr>
          <w:b/>
        </w:rPr>
        <w:t>GL Homes</w:t>
      </w:r>
      <w:r>
        <w:t xml:space="preserve"> – seeking clarification of the applicability of Section R202 &amp; R302.1, Florida Building Code, Residential volume, as to whether the definition of “townhouse” is contrary with regard to zero lot line provisions and fire separation distance.</w:t>
      </w:r>
    </w:p>
    <w:p w:rsidR="007A2F99" w:rsidRDefault="007A2F99" w:rsidP="007A2F99">
      <w:pPr>
        <w:pStyle w:val="BlockText"/>
        <w:tabs>
          <w:tab w:val="left" w:pos="2070"/>
        </w:tabs>
        <w:ind w:left="1980"/>
      </w:pPr>
    </w:p>
    <w:p w:rsidR="00CE31AB" w:rsidRDefault="000B0D3F" w:rsidP="00FA53DC">
      <w:pPr>
        <w:pStyle w:val="BlockText"/>
        <w:numPr>
          <w:ilvl w:val="1"/>
          <w:numId w:val="11"/>
        </w:numPr>
        <w:ind w:hanging="540"/>
      </w:pPr>
      <w:r w:rsidRPr="005E2FA8">
        <w:rPr>
          <w:b/>
          <w:u w:val="single"/>
        </w:rPr>
        <w:t>Petitions for Variance or Waiver</w:t>
      </w:r>
      <w:r>
        <w:t xml:space="preserve"> (if any</w:t>
      </w:r>
      <w:r w:rsidR="005E2FA8">
        <w:t xml:space="preserve">): </w:t>
      </w:r>
      <w:r w:rsidR="002C5242">
        <w:t>None noticed.</w:t>
      </w:r>
    </w:p>
    <w:p w:rsidR="00CE31AB" w:rsidRDefault="00CE31AB" w:rsidP="00CE31AB">
      <w:pPr>
        <w:pStyle w:val="BlockText"/>
        <w:ind w:left="1800"/>
      </w:pPr>
    </w:p>
    <w:p w:rsidR="00681534" w:rsidRDefault="005E2FA8" w:rsidP="00FA53DC">
      <w:pPr>
        <w:pStyle w:val="BlockText"/>
        <w:numPr>
          <w:ilvl w:val="1"/>
          <w:numId w:val="11"/>
        </w:numPr>
        <w:ind w:hanging="540"/>
      </w:pPr>
      <w:r w:rsidRPr="005E2FA8">
        <w:rPr>
          <w:b/>
          <w:u w:val="single"/>
        </w:rPr>
        <w:t xml:space="preserve">Petitions for </w:t>
      </w:r>
      <w:r>
        <w:rPr>
          <w:b/>
          <w:u w:val="single"/>
        </w:rPr>
        <w:t>I</w:t>
      </w:r>
      <w:r w:rsidR="00452CC3" w:rsidRPr="005E2FA8">
        <w:rPr>
          <w:b/>
          <w:u w:val="single"/>
        </w:rPr>
        <w:t>nterpretation</w:t>
      </w:r>
      <w:r>
        <w:rPr>
          <w:b/>
          <w:u w:val="single"/>
        </w:rPr>
        <w:t xml:space="preserve"> of B</w:t>
      </w:r>
      <w:r w:rsidR="008F17A7" w:rsidRPr="005E2FA8">
        <w:rPr>
          <w:b/>
          <w:u w:val="single"/>
        </w:rPr>
        <w:t>uilding</w:t>
      </w:r>
      <w:r w:rsidR="008F17A7" w:rsidRPr="005E2FA8">
        <w:rPr>
          <w:b/>
        </w:rPr>
        <w:t xml:space="preserve"> </w:t>
      </w:r>
      <w:r w:rsidRPr="005E2FA8">
        <w:rPr>
          <w:b/>
        </w:rPr>
        <w:t>C</w:t>
      </w:r>
      <w:r w:rsidR="008F17A7" w:rsidRPr="005E2FA8">
        <w:rPr>
          <w:b/>
        </w:rPr>
        <w:t>ode</w:t>
      </w:r>
      <w:r>
        <w:t xml:space="preserve"> (i</w:t>
      </w:r>
      <w:r w:rsidR="008F17A7" w:rsidRPr="005E2FA8">
        <w:t>f</w:t>
      </w:r>
      <w:r w:rsidR="008F17A7">
        <w:t xml:space="preserve"> any):</w:t>
      </w:r>
      <w:r w:rsidR="002C5242">
        <w:t xml:space="preserve"> None noticed.</w:t>
      </w:r>
    </w:p>
    <w:p w:rsidR="00996855" w:rsidRPr="00996855" w:rsidRDefault="00996855" w:rsidP="00681534">
      <w:pPr>
        <w:pStyle w:val="BlockText"/>
        <w:rPr>
          <w:b/>
        </w:rPr>
      </w:pPr>
    </w:p>
    <w:p w:rsidR="005E2FA8" w:rsidRPr="002978B7" w:rsidRDefault="005E2FA8" w:rsidP="005E2FA8">
      <w:pPr>
        <w:pStyle w:val="BlockText"/>
        <w:numPr>
          <w:ilvl w:val="0"/>
          <w:numId w:val="24"/>
        </w:numPr>
      </w:pPr>
      <w:r>
        <w:rPr>
          <w:b/>
          <w:u w:val="single"/>
        </w:rPr>
        <w:t>Department of Financial Services:</w:t>
      </w:r>
    </w:p>
    <w:p w:rsidR="002978B7" w:rsidRPr="002978B7" w:rsidRDefault="002978B7" w:rsidP="002978B7">
      <w:pPr>
        <w:pStyle w:val="BlockText"/>
        <w:ind w:left="720"/>
      </w:pPr>
    </w:p>
    <w:p w:rsidR="002978B7" w:rsidRDefault="002978B7" w:rsidP="002978B7">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5E2FA8" w:rsidRDefault="005E2FA8" w:rsidP="0073295B">
      <w:pPr>
        <w:pStyle w:val="BlockText"/>
        <w:rPr>
          <w:b/>
          <w:u w:val="single"/>
        </w:rPr>
      </w:pPr>
    </w:p>
    <w:p w:rsidR="005E2FA8" w:rsidRDefault="003C2DE3" w:rsidP="00BC18F8">
      <w:pPr>
        <w:pStyle w:val="BlockText"/>
        <w:ind w:firstLine="720"/>
      </w:pPr>
      <w:r w:rsidRPr="00B7181B">
        <w:rPr>
          <w:b/>
          <w:u w:val="single"/>
        </w:rPr>
        <w:t>Division of Workers’ Compensation</w:t>
      </w:r>
      <w:r w:rsidR="004E142A">
        <w:t xml:space="preserve"> – Chapter 440 and 6</w:t>
      </w:r>
      <w:r w:rsidR="00BD42D8">
        <w:t>9L FAC:</w:t>
      </w:r>
      <w:r w:rsidR="0032124B">
        <w:t xml:space="preserve"> </w:t>
      </w:r>
    </w:p>
    <w:p w:rsidR="005E2FA8" w:rsidRDefault="005E2FA8" w:rsidP="005E2FA8">
      <w:pPr>
        <w:pStyle w:val="BlockText"/>
        <w:ind w:left="720"/>
      </w:pPr>
    </w:p>
    <w:p w:rsidR="00DD6729" w:rsidRDefault="005E2FA8" w:rsidP="001465E5">
      <w:pPr>
        <w:pStyle w:val="BlockText"/>
        <w:numPr>
          <w:ilvl w:val="0"/>
          <w:numId w:val="43"/>
        </w:numPr>
      </w:pPr>
      <w:r w:rsidRPr="00BC18F8">
        <w:rPr>
          <w:b/>
        </w:rPr>
        <w:t>R</w:t>
      </w:r>
      <w:r w:rsidR="00FE4A4B" w:rsidRPr="00BC18F8">
        <w:rPr>
          <w:b/>
        </w:rPr>
        <w:t>ule Changes</w:t>
      </w:r>
      <w:r>
        <w:t xml:space="preserve"> </w:t>
      </w:r>
      <w:r w:rsidR="0032124B">
        <w:t>(if any):</w:t>
      </w:r>
    </w:p>
    <w:p w:rsidR="001465E5" w:rsidRDefault="001465E5" w:rsidP="001465E5">
      <w:pPr>
        <w:pStyle w:val="BlockText"/>
      </w:pPr>
    </w:p>
    <w:p w:rsidR="001465E5" w:rsidRDefault="001465E5" w:rsidP="001465E5">
      <w:pPr>
        <w:pStyle w:val="BlockText"/>
        <w:ind w:left="1800"/>
      </w:pPr>
      <w:r w:rsidRPr="0095500F">
        <w:rPr>
          <w:b/>
        </w:rPr>
        <w:t>Rule 69L-6.028</w:t>
      </w:r>
      <w:r w:rsidR="0095500F">
        <w:rPr>
          <w:b/>
        </w:rPr>
        <w:t xml:space="preserve"> </w:t>
      </w:r>
      <w:r>
        <w:t xml:space="preserve">– clarification of time periods of employer non-compliance for penalty calculations and imputation </w:t>
      </w:r>
      <w:r w:rsidR="0095500F">
        <w:t>of employer’s payroll.</w:t>
      </w:r>
    </w:p>
    <w:p w:rsidR="0095500F" w:rsidRDefault="0095500F" w:rsidP="001465E5">
      <w:pPr>
        <w:pStyle w:val="BlockText"/>
        <w:ind w:left="1800"/>
      </w:pPr>
    </w:p>
    <w:p w:rsidR="00BA4B7C" w:rsidRDefault="0095500F" w:rsidP="001465E5">
      <w:pPr>
        <w:pStyle w:val="BlockText"/>
        <w:ind w:left="1800"/>
      </w:pPr>
      <w:r w:rsidRPr="00B65EDE">
        <w:rPr>
          <w:b/>
        </w:rPr>
        <w:t>Rule 69L-6.035</w:t>
      </w:r>
      <w:r>
        <w:t xml:space="preserve"> – defines remuneration</w:t>
      </w:r>
      <w:r w:rsidR="00B65EDE">
        <w:t xml:space="preserve"> </w:t>
      </w:r>
      <w:r w:rsidR="00BA4B7C">
        <w:t xml:space="preserve">for purposes of determining payroll </w:t>
      </w:r>
      <w:r w:rsidR="00B65EDE">
        <w:t xml:space="preserve">to include </w:t>
      </w:r>
      <w:r w:rsidR="00BA4B7C">
        <w:t xml:space="preserve">50% of non-receipted </w:t>
      </w:r>
      <w:r w:rsidR="00B65EDE">
        <w:t xml:space="preserve">expense reimbursements, and </w:t>
      </w:r>
      <w:r w:rsidR="00BA4B7C">
        <w:t>80% of cash withdrawals from the business account; the proposed change also assigns the highest compensation classification under certain circumstances.</w:t>
      </w:r>
    </w:p>
    <w:p w:rsidR="00BA4B7C" w:rsidRDefault="00BA4B7C" w:rsidP="001465E5">
      <w:pPr>
        <w:pStyle w:val="BlockText"/>
        <w:ind w:left="1800"/>
      </w:pPr>
    </w:p>
    <w:p w:rsidR="0095500F" w:rsidRDefault="00BA4B7C" w:rsidP="00BA4B7C">
      <w:pPr>
        <w:pStyle w:val="BlockText"/>
        <w:ind w:left="2160" w:right="1008"/>
      </w:pPr>
      <w:r w:rsidRPr="00BA4B7C">
        <w:rPr>
          <w:b/>
        </w:rPr>
        <w:t>Note:</w:t>
      </w:r>
      <w:r>
        <w:t xml:space="preserve"> these changes are in direct response to the two (2) DOAH cases described in this report, and are likely to be challenged. However, this case also emphasis the need for every construction business to keep and maintain the business records required by the department rules.</w:t>
      </w:r>
      <w:r w:rsidR="0095500F">
        <w:t xml:space="preserve"> </w:t>
      </w:r>
    </w:p>
    <w:p w:rsidR="00BC18F8" w:rsidRDefault="00BC18F8" w:rsidP="00BC18F8">
      <w:pPr>
        <w:pStyle w:val="BlockText"/>
        <w:ind w:left="1800"/>
      </w:pPr>
    </w:p>
    <w:p w:rsidR="00BC18F8" w:rsidRDefault="00BC18F8" w:rsidP="00BC18F8">
      <w:pPr>
        <w:pStyle w:val="BlockText"/>
        <w:numPr>
          <w:ilvl w:val="0"/>
          <w:numId w:val="41"/>
        </w:numPr>
      </w:pPr>
      <w:r w:rsidRPr="00BC18F8">
        <w:rPr>
          <w:b/>
        </w:rPr>
        <w:t xml:space="preserve">Petitions for Declaratory Statement </w:t>
      </w:r>
      <w:r>
        <w:t>(if any):</w:t>
      </w:r>
      <w:r w:rsidR="00835E8C">
        <w:t xml:space="preserve"> None noticed.</w:t>
      </w:r>
    </w:p>
    <w:p w:rsidR="00A94142" w:rsidRDefault="00A94142" w:rsidP="00B633E7">
      <w:pPr>
        <w:pStyle w:val="BlockText"/>
      </w:pPr>
    </w:p>
    <w:p w:rsidR="00A94142" w:rsidRPr="00BC18F8" w:rsidRDefault="00A94142" w:rsidP="00A94142">
      <w:pPr>
        <w:pStyle w:val="BlockText"/>
        <w:numPr>
          <w:ilvl w:val="0"/>
          <w:numId w:val="41"/>
        </w:numPr>
      </w:pPr>
      <w:r>
        <w:rPr>
          <w:b/>
        </w:rPr>
        <w:t xml:space="preserve">Petitions for Variance or Waiver </w:t>
      </w:r>
      <w:r>
        <w:t>(if any): None noticed.</w:t>
      </w:r>
    </w:p>
    <w:p w:rsidR="0073295B" w:rsidRDefault="0073295B" w:rsidP="002978B7">
      <w:pPr>
        <w:pStyle w:val="BlockText"/>
        <w:ind w:left="1440" w:firstLine="720"/>
      </w:pPr>
    </w:p>
    <w:p w:rsidR="004271D8" w:rsidRDefault="004271D8" w:rsidP="005C76EE">
      <w:pPr>
        <w:pStyle w:val="BlockText"/>
        <w:rPr>
          <w:b/>
          <w:u w:val="single"/>
        </w:rPr>
      </w:pPr>
    </w:p>
    <w:p w:rsidR="00701D5A" w:rsidRPr="0077169A" w:rsidRDefault="00CF37B7" w:rsidP="00B65EDE">
      <w:pPr>
        <w:pStyle w:val="BlockText"/>
        <w:rPr>
          <w:rFonts w:cs="Times New Roman"/>
        </w:rPr>
      </w:pPr>
      <w:r w:rsidRPr="00CD02EB">
        <w:rPr>
          <w:b/>
          <w:u w:val="single"/>
        </w:rPr>
        <w:t>Legislative Action:</w:t>
      </w:r>
      <w:r w:rsidR="00156092">
        <w:t xml:space="preserve"> </w:t>
      </w:r>
      <w:r w:rsidR="00CC4315">
        <w:t xml:space="preserve"> </w:t>
      </w:r>
      <w:r w:rsidR="00B633E7">
        <w:t>There is n</w:t>
      </w:r>
      <w:r w:rsidR="00B65EDE">
        <w:t>othing to report</w:t>
      </w:r>
      <w:r w:rsidR="00B633E7">
        <w:t xml:space="preserve"> at this time</w:t>
      </w:r>
      <w:r w:rsidR="00B65EDE">
        <w:t>; the next regular legislative sessio</w:t>
      </w:r>
      <w:r w:rsidR="00590029">
        <w:t>n</w:t>
      </w:r>
      <w:r w:rsidR="0090548D">
        <w:t xml:space="preserve"> is due to commence on </w:t>
      </w:r>
      <w:r w:rsidR="0090548D" w:rsidRPr="00B633E7">
        <w:rPr>
          <w:b/>
          <w:i/>
          <w:u w:val="single"/>
        </w:rPr>
        <w:t>March 7</w:t>
      </w:r>
      <w:r w:rsidR="00590029" w:rsidRPr="00B633E7">
        <w:rPr>
          <w:b/>
          <w:i/>
          <w:u w:val="single"/>
        </w:rPr>
        <w:t>,</w:t>
      </w:r>
      <w:r w:rsidR="00B65EDE" w:rsidRPr="00B633E7">
        <w:rPr>
          <w:b/>
          <w:i/>
          <w:u w:val="single"/>
        </w:rPr>
        <w:t xml:space="preserve"> 2017</w:t>
      </w:r>
      <w:r w:rsidR="00B65EDE" w:rsidRPr="00B633E7">
        <w:rPr>
          <w:i/>
          <w:u w:val="single"/>
        </w:rPr>
        <w:t xml:space="preserve"> for 60 consecutive calendar days</w:t>
      </w:r>
      <w:r w:rsidR="00B65EDE">
        <w:t xml:space="preserve">. No bills will be filed prior to the General Election on November 8, 2016, except </w:t>
      </w:r>
      <w:r w:rsidR="00B633E7">
        <w:t>Senate Claims bills that are required</w:t>
      </w:r>
      <w:r w:rsidR="00B65EDE">
        <w:t xml:space="preserve"> to be filed no later than August </w:t>
      </w:r>
      <w:r w:rsidR="00835E8C">
        <w:t xml:space="preserve">1, </w:t>
      </w:r>
      <w:r w:rsidR="00B65EDE">
        <w:t>2016</w:t>
      </w:r>
      <w:r w:rsidR="00BD221F">
        <w:t>; as of that date, nine (9) such bills have been filed</w:t>
      </w:r>
      <w:r w:rsidR="00B65EDE">
        <w:t>.</w:t>
      </w:r>
    </w:p>
    <w:p w:rsidR="00BE0375" w:rsidRPr="00BE0375" w:rsidRDefault="00BE0375" w:rsidP="00701D5A">
      <w:pPr>
        <w:pStyle w:val="BlockText"/>
        <w:rPr>
          <w:rFonts w:eastAsia="Times New Roman" w:cs="Times New Roman"/>
          <w:b/>
          <w:bCs/>
          <w:vanish/>
          <w:sz w:val="27"/>
          <w:szCs w:val="27"/>
        </w:rPr>
      </w:pPr>
      <w:r w:rsidRPr="00BE0375">
        <w:rPr>
          <w:rFonts w:eastAsia="Times New Roman" w:cs="Times New Roman"/>
          <w:b/>
          <w:bCs/>
          <w:vanish/>
          <w:sz w:val="27"/>
          <w:szCs w:val="27"/>
        </w:rPr>
        <w:t>Senators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8"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Senators.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Committees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9"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Committees.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Offices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0"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Offices.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Media</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1"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Media. </w:t>
      </w:r>
    </w:p>
    <w:p w:rsidR="00701D5A" w:rsidRDefault="00701D5A" w:rsidP="004C67E5">
      <w:pPr>
        <w:pBdr>
          <w:top w:val="single" w:sz="6" w:space="1" w:color="auto"/>
        </w:pBdr>
        <w:jc w:val="center"/>
        <w:rPr>
          <w:rFonts w:ascii="Arial" w:eastAsia="Times New Roman" w:hAnsi="Arial" w:cs="Arial"/>
          <w:sz w:val="16"/>
          <w:szCs w:val="16"/>
        </w:rPr>
      </w:pPr>
    </w:p>
    <w:p w:rsidR="004C67E5" w:rsidRPr="004C67E5" w:rsidRDefault="004C67E5" w:rsidP="004C67E5">
      <w:pPr>
        <w:pBdr>
          <w:top w:val="single" w:sz="6" w:space="1" w:color="auto"/>
        </w:pBdr>
        <w:jc w:val="center"/>
        <w:rPr>
          <w:rFonts w:ascii="Arial" w:eastAsia="Times New Roman" w:hAnsi="Arial" w:cs="Arial"/>
          <w:vanish/>
          <w:sz w:val="16"/>
          <w:szCs w:val="16"/>
        </w:rPr>
      </w:pPr>
      <w:r w:rsidRPr="004C67E5">
        <w:rPr>
          <w:rFonts w:ascii="Arial" w:eastAsia="Times New Roman" w:hAnsi="Arial" w:cs="Arial"/>
          <w:vanish/>
          <w:sz w:val="16"/>
          <w:szCs w:val="16"/>
        </w:rPr>
        <w:t>Bottom of Form</w:t>
      </w: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887CE4" w:rsidRDefault="00887CE4" w:rsidP="002B78B0">
      <w:pPr>
        <w:pStyle w:val="BlockText"/>
      </w:pPr>
      <w:r>
        <w:t>Dudley, Sellers, Healy &amp; Heath, P. L.</w:t>
      </w:r>
    </w:p>
    <w:p w:rsidR="00997BD1" w:rsidRDefault="00997BD1" w:rsidP="002B78B0">
      <w:pPr>
        <w:pStyle w:val="BlockText"/>
      </w:pPr>
      <w:r>
        <w:t>Tallahassee, Florida</w:t>
      </w:r>
    </w:p>
    <w:p w:rsidR="00466EB9" w:rsidRDefault="00232172" w:rsidP="002B78B0">
      <w:pPr>
        <w:pStyle w:val="BlockText"/>
      </w:pPr>
      <w:r>
        <w:t>November 14</w:t>
      </w:r>
      <w:r w:rsidR="0029168D">
        <w:t>, 2</w:t>
      </w:r>
      <w:r w:rsidR="00887CE4">
        <w:t>016</w:t>
      </w:r>
    </w:p>
    <w:sectPr w:rsidR="00466EB9" w:rsidSect="009A10B6">
      <w:footerReference w:type="default" r:id="rId12"/>
      <w:footerReference w:type="first" r:id="rId13"/>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D0" w:rsidRDefault="00C53CD0" w:rsidP="009A2CBA">
      <w:r>
        <w:separator/>
      </w:r>
    </w:p>
  </w:endnote>
  <w:endnote w:type="continuationSeparator" w:id="0">
    <w:p w:rsidR="00C53CD0" w:rsidRDefault="00C53CD0"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C2" w:rsidRPr="00B40FA6" w:rsidRDefault="00482BC2" w:rsidP="000421B5">
    <w:pPr>
      <w:pStyle w:val="Footer"/>
      <w:rPr>
        <w:rStyle w:val="DocID"/>
        <w:sz w:val="24"/>
      </w:rPr>
    </w:pPr>
    <w:r>
      <w:tab/>
    </w:r>
    <w:r>
      <w:fldChar w:fldCharType="begin"/>
    </w:r>
    <w:r>
      <w:instrText xml:space="preserve"> PAGE   \* MERGEFORMAT </w:instrText>
    </w:r>
    <w:r>
      <w:fldChar w:fldCharType="separate"/>
    </w:r>
    <w:r w:rsidR="00437CE4">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C2" w:rsidRPr="00911FE4" w:rsidRDefault="00482BC2"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437CE4">
      <w:rPr>
        <w:noProof/>
        <w:sz w:val="20"/>
      </w:rPr>
      <w:instrText>6</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D0" w:rsidRDefault="00C53CD0" w:rsidP="009A2CBA">
      <w:r>
        <w:separator/>
      </w:r>
    </w:p>
  </w:footnote>
  <w:footnote w:type="continuationSeparator" w:id="0">
    <w:p w:rsidR="00C53CD0" w:rsidRDefault="00C53CD0" w:rsidP="009A2CBA">
      <w:r>
        <w:continuationSeparator/>
      </w:r>
    </w:p>
  </w:footnote>
  <w:footnote w:id="1">
    <w:p w:rsidR="00482BC2" w:rsidRPr="002E6003" w:rsidRDefault="00482BC2" w:rsidP="004E142A">
      <w:pPr>
        <w:pStyle w:val="BlockText"/>
        <w:rPr>
          <w:b/>
        </w:rPr>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but is specifically authorized to issue declaratory statement</w:t>
      </w:r>
      <w:r w:rsidR="00835E8C">
        <w:t>s</w:t>
      </w:r>
      <w:r>
        <w:t xml:space="preserve"> interpreting sections of the code.</w:t>
      </w:r>
      <w:r w:rsidR="002E6003">
        <w:t xml:space="preserve"> </w:t>
      </w:r>
      <w:r w:rsidR="002E6003" w:rsidRPr="002E6003">
        <w:rPr>
          <w:b/>
        </w:rPr>
        <w:t>HOWEVER, the Department of Health is authorized to determine variance from the code as to public swimming pools.</w:t>
      </w:r>
    </w:p>
    <w:p w:rsidR="00482BC2" w:rsidRDefault="00482BC2"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16E0998"/>
    <w:multiLevelType w:val="multilevel"/>
    <w:tmpl w:val="824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E085A"/>
    <w:multiLevelType w:val="hybridMultilevel"/>
    <w:tmpl w:val="3EAA907A"/>
    <w:lvl w:ilvl="0" w:tplc="EB00E56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040E49AF"/>
    <w:multiLevelType w:val="hybridMultilevel"/>
    <w:tmpl w:val="EF2E76C6"/>
    <w:lvl w:ilvl="0" w:tplc="D0DAF9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17BD5"/>
    <w:multiLevelType w:val="hybridMultilevel"/>
    <w:tmpl w:val="02386818"/>
    <w:lvl w:ilvl="0" w:tplc="AF4C9E14">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4D26FA"/>
    <w:multiLevelType w:val="multilevel"/>
    <w:tmpl w:val="071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E0B5B"/>
    <w:multiLevelType w:val="hybridMultilevel"/>
    <w:tmpl w:val="D340D100"/>
    <w:lvl w:ilvl="0" w:tplc="19DEAAC4">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321F64"/>
    <w:multiLevelType w:val="multilevel"/>
    <w:tmpl w:val="03F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177C2"/>
    <w:multiLevelType w:val="hybridMultilevel"/>
    <w:tmpl w:val="221022DC"/>
    <w:lvl w:ilvl="0" w:tplc="0EB45DA6">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8A3310"/>
    <w:multiLevelType w:val="multilevel"/>
    <w:tmpl w:val="5E1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62CE4"/>
    <w:multiLevelType w:val="hybridMultilevel"/>
    <w:tmpl w:val="DB04C5AA"/>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B4AA8C70">
      <w:start w:val="1"/>
      <w:numFmt w:val="lowerLetter"/>
      <w:lvlText w:val="(%6)"/>
      <w:lvlJc w:val="left"/>
      <w:pPr>
        <w:ind w:left="5580" w:hanging="360"/>
      </w:pPr>
      <w:rPr>
        <w:rFonts w:hint="default"/>
        <w:b/>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0E0A57"/>
    <w:multiLevelType w:val="hybridMultilevel"/>
    <w:tmpl w:val="CAB06480"/>
    <w:lvl w:ilvl="0" w:tplc="454857CA">
      <w:start w:val="1"/>
      <w:numFmt w:val="decimal"/>
      <w:lvlText w:val="%1."/>
      <w:lvlJc w:val="left"/>
      <w:pPr>
        <w:ind w:left="1080" w:hanging="360"/>
      </w:pPr>
      <w:rPr>
        <w:rFonts w:hint="default"/>
        <w:b/>
      </w:rPr>
    </w:lvl>
    <w:lvl w:ilvl="1" w:tplc="F7A653F0">
      <w:start w:val="1"/>
      <w:numFmt w:val="low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3A37B7"/>
    <w:multiLevelType w:val="multilevel"/>
    <w:tmpl w:val="55C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E0ECE"/>
    <w:multiLevelType w:val="multilevel"/>
    <w:tmpl w:val="2A4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D6841"/>
    <w:multiLevelType w:val="hybridMultilevel"/>
    <w:tmpl w:val="AC4EDAE4"/>
    <w:lvl w:ilvl="0" w:tplc="C1C651EE">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24C7C"/>
    <w:multiLevelType w:val="multilevel"/>
    <w:tmpl w:val="CD3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239C"/>
    <w:multiLevelType w:val="multilevel"/>
    <w:tmpl w:val="AA4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8732C"/>
    <w:multiLevelType w:val="hybridMultilevel"/>
    <w:tmpl w:val="5942D13E"/>
    <w:lvl w:ilvl="0" w:tplc="D10075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F6B7884"/>
    <w:multiLevelType w:val="hybridMultilevel"/>
    <w:tmpl w:val="833AE64C"/>
    <w:lvl w:ilvl="0" w:tplc="3C46B9DA">
      <w:start w:val="3"/>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A13A4"/>
    <w:multiLevelType w:val="multilevel"/>
    <w:tmpl w:val="3E3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D155C"/>
    <w:multiLevelType w:val="multilevel"/>
    <w:tmpl w:val="5CF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C4CC9"/>
    <w:multiLevelType w:val="hybridMultilevel"/>
    <w:tmpl w:val="B6740F6E"/>
    <w:lvl w:ilvl="0" w:tplc="233644E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6C21FCE"/>
    <w:multiLevelType w:val="multilevel"/>
    <w:tmpl w:val="A808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614D83"/>
    <w:multiLevelType w:val="hybridMultilevel"/>
    <w:tmpl w:val="66A89B4C"/>
    <w:lvl w:ilvl="0" w:tplc="B792E12E">
      <w:start w:val="2"/>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96CDD"/>
    <w:multiLevelType w:val="multilevel"/>
    <w:tmpl w:val="424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569A2"/>
    <w:multiLevelType w:val="hybridMultilevel"/>
    <w:tmpl w:val="A3CE88D8"/>
    <w:lvl w:ilvl="0" w:tplc="7F2C1DB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8"/>
  </w:num>
  <w:num w:numId="4">
    <w:abstractNumId w:val="41"/>
  </w:num>
  <w:num w:numId="5">
    <w:abstractNumId w:val="34"/>
  </w:num>
  <w:num w:numId="6">
    <w:abstractNumId w:val="42"/>
  </w:num>
  <w:num w:numId="7">
    <w:abstractNumId w:val="9"/>
  </w:num>
  <w:num w:numId="8">
    <w:abstractNumId w:val="16"/>
  </w:num>
  <w:num w:numId="9">
    <w:abstractNumId w:val="3"/>
  </w:num>
  <w:num w:numId="10">
    <w:abstractNumId w:val="1"/>
  </w:num>
  <w:num w:numId="11">
    <w:abstractNumId w:val="19"/>
  </w:num>
  <w:num w:numId="12">
    <w:abstractNumId w:val="18"/>
  </w:num>
  <w:num w:numId="13">
    <w:abstractNumId w:val="10"/>
  </w:num>
  <w:num w:numId="14">
    <w:abstractNumId w:val="23"/>
  </w:num>
  <w:num w:numId="15">
    <w:abstractNumId w:val="17"/>
  </w:num>
  <w:num w:numId="16">
    <w:abstractNumId w:val="25"/>
  </w:num>
  <w:num w:numId="17">
    <w:abstractNumId w:val="32"/>
  </w:num>
  <w:num w:numId="18">
    <w:abstractNumId w:val="4"/>
  </w:num>
  <w:num w:numId="19">
    <w:abstractNumId w:val="39"/>
  </w:num>
  <w:num w:numId="20">
    <w:abstractNumId w:val="36"/>
  </w:num>
  <w:num w:numId="21">
    <w:abstractNumId w:val="7"/>
  </w:num>
  <w:num w:numId="22">
    <w:abstractNumId w:val="40"/>
  </w:num>
  <w:num w:numId="23">
    <w:abstractNumId w:val="12"/>
  </w:num>
  <w:num w:numId="24">
    <w:abstractNumId w:val="28"/>
  </w:num>
  <w:num w:numId="25">
    <w:abstractNumId w:val="22"/>
  </w:num>
  <w:num w:numId="26">
    <w:abstractNumId w:val="6"/>
  </w:num>
  <w:num w:numId="27">
    <w:abstractNumId w:val="15"/>
  </w:num>
  <w:num w:numId="28">
    <w:abstractNumId w:val="37"/>
  </w:num>
  <w:num w:numId="29">
    <w:abstractNumId w:val="33"/>
  </w:num>
  <w:num w:numId="30">
    <w:abstractNumId w:val="29"/>
  </w:num>
  <w:num w:numId="31">
    <w:abstractNumId w:val="21"/>
  </w:num>
  <w:num w:numId="32">
    <w:abstractNumId w:val="30"/>
  </w:num>
  <w:num w:numId="33">
    <w:abstractNumId w:val="13"/>
  </w:num>
  <w:num w:numId="34">
    <w:abstractNumId w:val="5"/>
  </w:num>
  <w:num w:numId="35">
    <w:abstractNumId w:val="11"/>
  </w:num>
  <w:num w:numId="36">
    <w:abstractNumId w:val="24"/>
  </w:num>
  <w:num w:numId="37">
    <w:abstractNumId w:val="20"/>
  </w:num>
  <w:num w:numId="38">
    <w:abstractNumId w:val="26"/>
  </w:num>
  <w:num w:numId="39">
    <w:abstractNumId w:val="8"/>
  </w:num>
  <w:num w:numId="40">
    <w:abstractNumId w:val="35"/>
  </w:num>
  <w:num w:numId="41">
    <w:abstractNumId w:val="14"/>
  </w:num>
  <w:num w:numId="42">
    <w:abstractNumId w:val="27"/>
  </w:num>
  <w:num w:numId="4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468DD"/>
    <w:rsid w:val="0005012E"/>
    <w:rsid w:val="000509E7"/>
    <w:rsid w:val="00052694"/>
    <w:rsid w:val="00054D0D"/>
    <w:rsid w:val="0005515D"/>
    <w:rsid w:val="00055700"/>
    <w:rsid w:val="00061C8E"/>
    <w:rsid w:val="00062BAB"/>
    <w:rsid w:val="00065B23"/>
    <w:rsid w:val="00066D23"/>
    <w:rsid w:val="00071707"/>
    <w:rsid w:val="00072343"/>
    <w:rsid w:val="00074BCE"/>
    <w:rsid w:val="00074EDF"/>
    <w:rsid w:val="00076663"/>
    <w:rsid w:val="0008109E"/>
    <w:rsid w:val="00084298"/>
    <w:rsid w:val="00086D79"/>
    <w:rsid w:val="00090B54"/>
    <w:rsid w:val="00094361"/>
    <w:rsid w:val="00094EBD"/>
    <w:rsid w:val="00097585"/>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650B"/>
    <w:rsid w:val="000D7A4E"/>
    <w:rsid w:val="000E0782"/>
    <w:rsid w:val="000E17E8"/>
    <w:rsid w:val="000E282A"/>
    <w:rsid w:val="000E6D1A"/>
    <w:rsid w:val="000F112D"/>
    <w:rsid w:val="000F2EBD"/>
    <w:rsid w:val="000F6911"/>
    <w:rsid w:val="000F69D8"/>
    <w:rsid w:val="000F73A7"/>
    <w:rsid w:val="00100E22"/>
    <w:rsid w:val="0010255D"/>
    <w:rsid w:val="00103A3B"/>
    <w:rsid w:val="00103CDF"/>
    <w:rsid w:val="0010433D"/>
    <w:rsid w:val="00107362"/>
    <w:rsid w:val="00110D3B"/>
    <w:rsid w:val="001114F7"/>
    <w:rsid w:val="00112727"/>
    <w:rsid w:val="00112949"/>
    <w:rsid w:val="001148B5"/>
    <w:rsid w:val="001150F0"/>
    <w:rsid w:val="001156AF"/>
    <w:rsid w:val="00117224"/>
    <w:rsid w:val="00117544"/>
    <w:rsid w:val="00121A5A"/>
    <w:rsid w:val="00124F94"/>
    <w:rsid w:val="00126ABD"/>
    <w:rsid w:val="0013367A"/>
    <w:rsid w:val="00133FBD"/>
    <w:rsid w:val="001358A0"/>
    <w:rsid w:val="00135B1C"/>
    <w:rsid w:val="00142044"/>
    <w:rsid w:val="001437FC"/>
    <w:rsid w:val="00143919"/>
    <w:rsid w:val="001462FC"/>
    <w:rsid w:val="00146574"/>
    <w:rsid w:val="001465E5"/>
    <w:rsid w:val="00146910"/>
    <w:rsid w:val="00146E4E"/>
    <w:rsid w:val="001476D7"/>
    <w:rsid w:val="00150F40"/>
    <w:rsid w:val="00151063"/>
    <w:rsid w:val="00151720"/>
    <w:rsid w:val="00151F43"/>
    <w:rsid w:val="00156092"/>
    <w:rsid w:val="001560F7"/>
    <w:rsid w:val="001572A8"/>
    <w:rsid w:val="00162E5A"/>
    <w:rsid w:val="00163831"/>
    <w:rsid w:val="001643A5"/>
    <w:rsid w:val="001649EE"/>
    <w:rsid w:val="00165F0B"/>
    <w:rsid w:val="001673C5"/>
    <w:rsid w:val="0017187B"/>
    <w:rsid w:val="0017188D"/>
    <w:rsid w:val="00172C04"/>
    <w:rsid w:val="00173510"/>
    <w:rsid w:val="00173BB8"/>
    <w:rsid w:val="0017420F"/>
    <w:rsid w:val="00175923"/>
    <w:rsid w:val="001768AB"/>
    <w:rsid w:val="00176CCB"/>
    <w:rsid w:val="001776E6"/>
    <w:rsid w:val="00177973"/>
    <w:rsid w:val="00177AA7"/>
    <w:rsid w:val="00182EC5"/>
    <w:rsid w:val="00183D27"/>
    <w:rsid w:val="0019065B"/>
    <w:rsid w:val="0019337F"/>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0770"/>
    <w:rsid w:val="001D1B70"/>
    <w:rsid w:val="001D2330"/>
    <w:rsid w:val="001D25D1"/>
    <w:rsid w:val="001D277E"/>
    <w:rsid w:val="001D35CA"/>
    <w:rsid w:val="001D50A8"/>
    <w:rsid w:val="001D5776"/>
    <w:rsid w:val="001E2D3C"/>
    <w:rsid w:val="001E327E"/>
    <w:rsid w:val="001E3281"/>
    <w:rsid w:val="001F01B4"/>
    <w:rsid w:val="001F0D0C"/>
    <w:rsid w:val="001F18CD"/>
    <w:rsid w:val="001F7DB9"/>
    <w:rsid w:val="00200951"/>
    <w:rsid w:val="00200AF1"/>
    <w:rsid w:val="00201FC1"/>
    <w:rsid w:val="00202C5B"/>
    <w:rsid w:val="002031ED"/>
    <w:rsid w:val="002066F0"/>
    <w:rsid w:val="00206A45"/>
    <w:rsid w:val="00210263"/>
    <w:rsid w:val="00212AD9"/>
    <w:rsid w:val="002145F0"/>
    <w:rsid w:val="00217479"/>
    <w:rsid w:val="00217DA2"/>
    <w:rsid w:val="00217EBB"/>
    <w:rsid w:val="00221926"/>
    <w:rsid w:val="00221AAE"/>
    <w:rsid w:val="00222C12"/>
    <w:rsid w:val="002236E8"/>
    <w:rsid w:val="0022445A"/>
    <w:rsid w:val="00227443"/>
    <w:rsid w:val="00232172"/>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6"/>
    <w:rsid w:val="002544B7"/>
    <w:rsid w:val="00254B22"/>
    <w:rsid w:val="002550F4"/>
    <w:rsid w:val="002558FB"/>
    <w:rsid w:val="00261795"/>
    <w:rsid w:val="00262A25"/>
    <w:rsid w:val="002630F7"/>
    <w:rsid w:val="002630FF"/>
    <w:rsid w:val="00264519"/>
    <w:rsid w:val="00271329"/>
    <w:rsid w:val="00273404"/>
    <w:rsid w:val="00274276"/>
    <w:rsid w:val="0027648B"/>
    <w:rsid w:val="002839FF"/>
    <w:rsid w:val="002857BE"/>
    <w:rsid w:val="00286558"/>
    <w:rsid w:val="00286B40"/>
    <w:rsid w:val="00286B5F"/>
    <w:rsid w:val="00290B6F"/>
    <w:rsid w:val="0029168D"/>
    <w:rsid w:val="00292E15"/>
    <w:rsid w:val="00293452"/>
    <w:rsid w:val="002935A9"/>
    <w:rsid w:val="00294F80"/>
    <w:rsid w:val="002978B7"/>
    <w:rsid w:val="00297D0C"/>
    <w:rsid w:val="002A2F20"/>
    <w:rsid w:val="002A4DD8"/>
    <w:rsid w:val="002A5595"/>
    <w:rsid w:val="002A5A54"/>
    <w:rsid w:val="002A7577"/>
    <w:rsid w:val="002A777F"/>
    <w:rsid w:val="002B09F1"/>
    <w:rsid w:val="002B0DFC"/>
    <w:rsid w:val="002B1F21"/>
    <w:rsid w:val="002B35C5"/>
    <w:rsid w:val="002B3E98"/>
    <w:rsid w:val="002B78B0"/>
    <w:rsid w:val="002C0513"/>
    <w:rsid w:val="002C3092"/>
    <w:rsid w:val="002C3294"/>
    <w:rsid w:val="002C378F"/>
    <w:rsid w:val="002C5242"/>
    <w:rsid w:val="002C5E1D"/>
    <w:rsid w:val="002D1599"/>
    <w:rsid w:val="002D365F"/>
    <w:rsid w:val="002D366C"/>
    <w:rsid w:val="002D4362"/>
    <w:rsid w:val="002E2A6D"/>
    <w:rsid w:val="002E2F5E"/>
    <w:rsid w:val="002E6003"/>
    <w:rsid w:val="002F015B"/>
    <w:rsid w:val="002F16B3"/>
    <w:rsid w:val="002F2016"/>
    <w:rsid w:val="002F61E3"/>
    <w:rsid w:val="00300A3A"/>
    <w:rsid w:val="00303F39"/>
    <w:rsid w:val="00304305"/>
    <w:rsid w:val="003045D2"/>
    <w:rsid w:val="00305D83"/>
    <w:rsid w:val="00305FDE"/>
    <w:rsid w:val="00311BC1"/>
    <w:rsid w:val="00311DF4"/>
    <w:rsid w:val="00312017"/>
    <w:rsid w:val="00312FA2"/>
    <w:rsid w:val="003134D3"/>
    <w:rsid w:val="0031487D"/>
    <w:rsid w:val="003154E8"/>
    <w:rsid w:val="00317330"/>
    <w:rsid w:val="003208B4"/>
    <w:rsid w:val="0032124B"/>
    <w:rsid w:val="00321E89"/>
    <w:rsid w:val="0032220C"/>
    <w:rsid w:val="003239B0"/>
    <w:rsid w:val="0032443B"/>
    <w:rsid w:val="0032598E"/>
    <w:rsid w:val="00325FC1"/>
    <w:rsid w:val="003313DA"/>
    <w:rsid w:val="003319A7"/>
    <w:rsid w:val="00332825"/>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42F6"/>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C68BB"/>
    <w:rsid w:val="003D1D42"/>
    <w:rsid w:val="003D2853"/>
    <w:rsid w:val="003D34DF"/>
    <w:rsid w:val="003D6EAC"/>
    <w:rsid w:val="003D7308"/>
    <w:rsid w:val="003E09D4"/>
    <w:rsid w:val="003E1169"/>
    <w:rsid w:val="003E13A7"/>
    <w:rsid w:val="003E3843"/>
    <w:rsid w:val="003E6AD8"/>
    <w:rsid w:val="003E6F51"/>
    <w:rsid w:val="003F395F"/>
    <w:rsid w:val="003F4811"/>
    <w:rsid w:val="003F5F1A"/>
    <w:rsid w:val="003F6A5C"/>
    <w:rsid w:val="00400FFE"/>
    <w:rsid w:val="00401A5C"/>
    <w:rsid w:val="00403905"/>
    <w:rsid w:val="004077C2"/>
    <w:rsid w:val="0041051F"/>
    <w:rsid w:val="0041113F"/>
    <w:rsid w:val="00413E91"/>
    <w:rsid w:val="00414D9E"/>
    <w:rsid w:val="00414DE9"/>
    <w:rsid w:val="0041534C"/>
    <w:rsid w:val="00416C25"/>
    <w:rsid w:val="00416CC9"/>
    <w:rsid w:val="004200FB"/>
    <w:rsid w:val="004204AE"/>
    <w:rsid w:val="00421A4C"/>
    <w:rsid w:val="00425FE8"/>
    <w:rsid w:val="004271D8"/>
    <w:rsid w:val="0042730E"/>
    <w:rsid w:val="00427E2F"/>
    <w:rsid w:val="00430AB5"/>
    <w:rsid w:val="00431C88"/>
    <w:rsid w:val="00431F8E"/>
    <w:rsid w:val="00432932"/>
    <w:rsid w:val="00434B55"/>
    <w:rsid w:val="00435681"/>
    <w:rsid w:val="00436BA2"/>
    <w:rsid w:val="00437958"/>
    <w:rsid w:val="00437CE4"/>
    <w:rsid w:val="004406AC"/>
    <w:rsid w:val="00441CD1"/>
    <w:rsid w:val="004445D6"/>
    <w:rsid w:val="00447270"/>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13C0"/>
    <w:rsid w:val="00482BC2"/>
    <w:rsid w:val="00483127"/>
    <w:rsid w:val="00484142"/>
    <w:rsid w:val="00484B9C"/>
    <w:rsid w:val="00491907"/>
    <w:rsid w:val="00491948"/>
    <w:rsid w:val="00491E26"/>
    <w:rsid w:val="00492027"/>
    <w:rsid w:val="004A0671"/>
    <w:rsid w:val="004A451E"/>
    <w:rsid w:val="004A46B4"/>
    <w:rsid w:val="004A5613"/>
    <w:rsid w:val="004A582F"/>
    <w:rsid w:val="004A5DD2"/>
    <w:rsid w:val="004A6E9B"/>
    <w:rsid w:val="004B0BF0"/>
    <w:rsid w:val="004B10A3"/>
    <w:rsid w:val="004B196B"/>
    <w:rsid w:val="004B7EAF"/>
    <w:rsid w:val="004C2EF7"/>
    <w:rsid w:val="004C4506"/>
    <w:rsid w:val="004C458B"/>
    <w:rsid w:val="004C5780"/>
    <w:rsid w:val="004C63D8"/>
    <w:rsid w:val="004C67E5"/>
    <w:rsid w:val="004C7846"/>
    <w:rsid w:val="004C7BF4"/>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0749E"/>
    <w:rsid w:val="0051221A"/>
    <w:rsid w:val="00512724"/>
    <w:rsid w:val="00512A9F"/>
    <w:rsid w:val="00516796"/>
    <w:rsid w:val="00517E4F"/>
    <w:rsid w:val="00520F5E"/>
    <w:rsid w:val="0052318D"/>
    <w:rsid w:val="005237C4"/>
    <w:rsid w:val="0052387A"/>
    <w:rsid w:val="00523A7F"/>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67F82"/>
    <w:rsid w:val="00571120"/>
    <w:rsid w:val="00576B27"/>
    <w:rsid w:val="00577D3F"/>
    <w:rsid w:val="00584934"/>
    <w:rsid w:val="00584D8D"/>
    <w:rsid w:val="00590029"/>
    <w:rsid w:val="00592867"/>
    <w:rsid w:val="00592B85"/>
    <w:rsid w:val="0059572F"/>
    <w:rsid w:val="00595D13"/>
    <w:rsid w:val="005A0848"/>
    <w:rsid w:val="005A1AAC"/>
    <w:rsid w:val="005A61CC"/>
    <w:rsid w:val="005A74C3"/>
    <w:rsid w:val="005B212C"/>
    <w:rsid w:val="005B2CCD"/>
    <w:rsid w:val="005B558F"/>
    <w:rsid w:val="005B581D"/>
    <w:rsid w:val="005C08FA"/>
    <w:rsid w:val="005C40F9"/>
    <w:rsid w:val="005C5CFC"/>
    <w:rsid w:val="005C6434"/>
    <w:rsid w:val="005C76EE"/>
    <w:rsid w:val="005D217B"/>
    <w:rsid w:val="005D236D"/>
    <w:rsid w:val="005D446B"/>
    <w:rsid w:val="005D5F3E"/>
    <w:rsid w:val="005D70E7"/>
    <w:rsid w:val="005D71D8"/>
    <w:rsid w:val="005D7FBD"/>
    <w:rsid w:val="005E196A"/>
    <w:rsid w:val="005E2FA8"/>
    <w:rsid w:val="005E4539"/>
    <w:rsid w:val="005E73B8"/>
    <w:rsid w:val="005F17D4"/>
    <w:rsid w:val="005F1FB3"/>
    <w:rsid w:val="005F2098"/>
    <w:rsid w:val="005F2CFE"/>
    <w:rsid w:val="005F2E38"/>
    <w:rsid w:val="005F4A79"/>
    <w:rsid w:val="005F51C9"/>
    <w:rsid w:val="005F705E"/>
    <w:rsid w:val="005F770C"/>
    <w:rsid w:val="00600D46"/>
    <w:rsid w:val="00604806"/>
    <w:rsid w:val="0060730E"/>
    <w:rsid w:val="006077FF"/>
    <w:rsid w:val="00614279"/>
    <w:rsid w:val="006148BA"/>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1011"/>
    <w:rsid w:val="006531D6"/>
    <w:rsid w:val="00654846"/>
    <w:rsid w:val="00657721"/>
    <w:rsid w:val="006577D7"/>
    <w:rsid w:val="00657E5B"/>
    <w:rsid w:val="00660E5F"/>
    <w:rsid w:val="00660F73"/>
    <w:rsid w:val="0066317C"/>
    <w:rsid w:val="006639C7"/>
    <w:rsid w:val="00663A8E"/>
    <w:rsid w:val="00663C9D"/>
    <w:rsid w:val="006668DE"/>
    <w:rsid w:val="0066697C"/>
    <w:rsid w:val="0066753D"/>
    <w:rsid w:val="00667D54"/>
    <w:rsid w:val="0067243A"/>
    <w:rsid w:val="00674E68"/>
    <w:rsid w:val="00675E10"/>
    <w:rsid w:val="00676E89"/>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E723E"/>
    <w:rsid w:val="006F336C"/>
    <w:rsid w:val="006F3FB3"/>
    <w:rsid w:val="006F4CE9"/>
    <w:rsid w:val="00700924"/>
    <w:rsid w:val="007011CC"/>
    <w:rsid w:val="007017B0"/>
    <w:rsid w:val="00701D5A"/>
    <w:rsid w:val="0070218E"/>
    <w:rsid w:val="007065A1"/>
    <w:rsid w:val="0071068B"/>
    <w:rsid w:val="007135EE"/>
    <w:rsid w:val="00714A54"/>
    <w:rsid w:val="007150E1"/>
    <w:rsid w:val="00720A29"/>
    <w:rsid w:val="00722B80"/>
    <w:rsid w:val="00722DD1"/>
    <w:rsid w:val="0073295B"/>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2F99"/>
    <w:rsid w:val="007A5E81"/>
    <w:rsid w:val="007A7335"/>
    <w:rsid w:val="007A76DB"/>
    <w:rsid w:val="007B0198"/>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7F7B3F"/>
    <w:rsid w:val="00801B02"/>
    <w:rsid w:val="00802164"/>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8C"/>
    <w:rsid w:val="00835EE6"/>
    <w:rsid w:val="0084009D"/>
    <w:rsid w:val="008476AE"/>
    <w:rsid w:val="008513F5"/>
    <w:rsid w:val="0086294F"/>
    <w:rsid w:val="00863EC6"/>
    <w:rsid w:val="008642DB"/>
    <w:rsid w:val="00864F61"/>
    <w:rsid w:val="008667F9"/>
    <w:rsid w:val="0087018F"/>
    <w:rsid w:val="008714D7"/>
    <w:rsid w:val="008750C1"/>
    <w:rsid w:val="00875906"/>
    <w:rsid w:val="00876A95"/>
    <w:rsid w:val="0087765D"/>
    <w:rsid w:val="0088153B"/>
    <w:rsid w:val="00881551"/>
    <w:rsid w:val="00883771"/>
    <w:rsid w:val="0088673E"/>
    <w:rsid w:val="00886D9E"/>
    <w:rsid w:val="00887CE4"/>
    <w:rsid w:val="0089089A"/>
    <w:rsid w:val="00894D34"/>
    <w:rsid w:val="00897F26"/>
    <w:rsid w:val="008A4467"/>
    <w:rsid w:val="008A7FFE"/>
    <w:rsid w:val="008B06DE"/>
    <w:rsid w:val="008B10F9"/>
    <w:rsid w:val="008B64BE"/>
    <w:rsid w:val="008B6B8E"/>
    <w:rsid w:val="008B6F95"/>
    <w:rsid w:val="008C0D2B"/>
    <w:rsid w:val="008C23E6"/>
    <w:rsid w:val="008C30E6"/>
    <w:rsid w:val="008C3C12"/>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0548D"/>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4C3"/>
    <w:rsid w:val="0093251D"/>
    <w:rsid w:val="00933C83"/>
    <w:rsid w:val="009351FC"/>
    <w:rsid w:val="00936542"/>
    <w:rsid w:val="009376EA"/>
    <w:rsid w:val="00937943"/>
    <w:rsid w:val="00940447"/>
    <w:rsid w:val="009408A6"/>
    <w:rsid w:val="00941C32"/>
    <w:rsid w:val="00941D67"/>
    <w:rsid w:val="00943BAA"/>
    <w:rsid w:val="00944330"/>
    <w:rsid w:val="0094446C"/>
    <w:rsid w:val="0094577A"/>
    <w:rsid w:val="009459C3"/>
    <w:rsid w:val="0095190E"/>
    <w:rsid w:val="00952158"/>
    <w:rsid w:val="00952ED0"/>
    <w:rsid w:val="00953FE2"/>
    <w:rsid w:val="0095500F"/>
    <w:rsid w:val="009615F7"/>
    <w:rsid w:val="0096439D"/>
    <w:rsid w:val="00965188"/>
    <w:rsid w:val="009679F7"/>
    <w:rsid w:val="00972224"/>
    <w:rsid w:val="0098369B"/>
    <w:rsid w:val="009855ED"/>
    <w:rsid w:val="00986C6C"/>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5553"/>
    <w:rsid w:val="009F7BC1"/>
    <w:rsid w:val="00A0246B"/>
    <w:rsid w:val="00A03908"/>
    <w:rsid w:val="00A04CE4"/>
    <w:rsid w:val="00A05724"/>
    <w:rsid w:val="00A110DD"/>
    <w:rsid w:val="00A11A99"/>
    <w:rsid w:val="00A11C23"/>
    <w:rsid w:val="00A14268"/>
    <w:rsid w:val="00A17D94"/>
    <w:rsid w:val="00A2092B"/>
    <w:rsid w:val="00A23BA0"/>
    <w:rsid w:val="00A24F93"/>
    <w:rsid w:val="00A25028"/>
    <w:rsid w:val="00A2704C"/>
    <w:rsid w:val="00A314FA"/>
    <w:rsid w:val="00A3799B"/>
    <w:rsid w:val="00A413D5"/>
    <w:rsid w:val="00A47BAD"/>
    <w:rsid w:val="00A47D5F"/>
    <w:rsid w:val="00A504D3"/>
    <w:rsid w:val="00A52844"/>
    <w:rsid w:val="00A52BEC"/>
    <w:rsid w:val="00A57777"/>
    <w:rsid w:val="00A57E0F"/>
    <w:rsid w:val="00A65C42"/>
    <w:rsid w:val="00A67E6D"/>
    <w:rsid w:val="00A750A9"/>
    <w:rsid w:val="00A75304"/>
    <w:rsid w:val="00A82F6F"/>
    <w:rsid w:val="00A84DBB"/>
    <w:rsid w:val="00A862A4"/>
    <w:rsid w:val="00A903BC"/>
    <w:rsid w:val="00A9229C"/>
    <w:rsid w:val="00A92BA2"/>
    <w:rsid w:val="00A9360E"/>
    <w:rsid w:val="00A94142"/>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D6F27"/>
    <w:rsid w:val="00AE082C"/>
    <w:rsid w:val="00AE0C03"/>
    <w:rsid w:val="00AE19E6"/>
    <w:rsid w:val="00AE36D0"/>
    <w:rsid w:val="00AE40E2"/>
    <w:rsid w:val="00AE4140"/>
    <w:rsid w:val="00AE4928"/>
    <w:rsid w:val="00AE4CE1"/>
    <w:rsid w:val="00AE4D48"/>
    <w:rsid w:val="00AE786D"/>
    <w:rsid w:val="00AE7EAD"/>
    <w:rsid w:val="00AF0CA4"/>
    <w:rsid w:val="00AF1CAD"/>
    <w:rsid w:val="00AF448F"/>
    <w:rsid w:val="00AF4CC5"/>
    <w:rsid w:val="00AF72E8"/>
    <w:rsid w:val="00B01391"/>
    <w:rsid w:val="00B02CB3"/>
    <w:rsid w:val="00B04E9C"/>
    <w:rsid w:val="00B0622F"/>
    <w:rsid w:val="00B06511"/>
    <w:rsid w:val="00B06DF9"/>
    <w:rsid w:val="00B102F7"/>
    <w:rsid w:val="00B119C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33E7"/>
    <w:rsid w:val="00B6409D"/>
    <w:rsid w:val="00B656B4"/>
    <w:rsid w:val="00B65A78"/>
    <w:rsid w:val="00B65EDE"/>
    <w:rsid w:val="00B665B0"/>
    <w:rsid w:val="00B70EED"/>
    <w:rsid w:val="00B7181B"/>
    <w:rsid w:val="00B7209C"/>
    <w:rsid w:val="00B73DBD"/>
    <w:rsid w:val="00B754FE"/>
    <w:rsid w:val="00B75D21"/>
    <w:rsid w:val="00B77A8C"/>
    <w:rsid w:val="00B82AFD"/>
    <w:rsid w:val="00B82F44"/>
    <w:rsid w:val="00B854DA"/>
    <w:rsid w:val="00B86298"/>
    <w:rsid w:val="00B86CF9"/>
    <w:rsid w:val="00B901A9"/>
    <w:rsid w:val="00B92C29"/>
    <w:rsid w:val="00B94BF6"/>
    <w:rsid w:val="00B94EA1"/>
    <w:rsid w:val="00B94EB0"/>
    <w:rsid w:val="00B96236"/>
    <w:rsid w:val="00B96D89"/>
    <w:rsid w:val="00B972A0"/>
    <w:rsid w:val="00BA266C"/>
    <w:rsid w:val="00BA2CBC"/>
    <w:rsid w:val="00BA363C"/>
    <w:rsid w:val="00BA4B7C"/>
    <w:rsid w:val="00BA5910"/>
    <w:rsid w:val="00BA7E0B"/>
    <w:rsid w:val="00BB3554"/>
    <w:rsid w:val="00BB3CE8"/>
    <w:rsid w:val="00BB43FD"/>
    <w:rsid w:val="00BB62F8"/>
    <w:rsid w:val="00BB6D12"/>
    <w:rsid w:val="00BB7583"/>
    <w:rsid w:val="00BC18F8"/>
    <w:rsid w:val="00BC261C"/>
    <w:rsid w:val="00BC3E94"/>
    <w:rsid w:val="00BC3ED9"/>
    <w:rsid w:val="00BC4B4F"/>
    <w:rsid w:val="00BC5032"/>
    <w:rsid w:val="00BC59CC"/>
    <w:rsid w:val="00BD0579"/>
    <w:rsid w:val="00BD1D69"/>
    <w:rsid w:val="00BD221F"/>
    <w:rsid w:val="00BD42D8"/>
    <w:rsid w:val="00BD45AE"/>
    <w:rsid w:val="00BE0375"/>
    <w:rsid w:val="00BE1DC0"/>
    <w:rsid w:val="00BE34DD"/>
    <w:rsid w:val="00BE470E"/>
    <w:rsid w:val="00BE7267"/>
    <w:rsid w:val="00BE7523"/>
    <w:rsid w:val="00BE7E71"/>
    <w:rsid w:val="00BF06EC"/>
    <w:rsid w:val="00BF09D3"/>
    <w:rsid w:val="00BF384F"/>
    <w:rsid w:val="00BF5744"/>
    <w:rsid w:val="00BF5944"/>
    <w:rsid w:val="00BF5A88"/>
    <w:rsid w:val="00BF6715"/>
    <w:rsid w:val="00C00519"/>
    <w:rsid w:val="00C014A9"/>
    <w:rsid w:val="00C01BBA"/>
    <w:rsid w:val="00C02420"/>
    <w:rsid w:val="00C04971"/>
    <w:rsid w:val="00C05096"/>
    <w:rsid w:val="00C0615F"/>
    <w:rsid w:val="00C10CCD"/>
    <w:rsid w:val="00C10E53"/>
    <w:rsid w:val="00C10FB4"/>
    <w:rsid w:val="00C1101B"/>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3CD0"/>
    <w:rsid w:val="00C552DE"/>
    <w:rsid w:val="00C55BAE"/>
    <w:rsid w:val="00C57EC3"/>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64D"/>
    <w:rsid w:val="00CC08D4"/>
    <w:rsid w:val="00CC1B0F"/>
    <w:rsid w:val="00CC4315"/>
    <w:rsid w:val="00CC601F"/>
    <w:rsid w:val="00CD02EB"/>
    <w:rsid w:val="00CD6E9F"/>
    <w:rsid w:val="00CE31AB"/>
    <w:rsid w:val="00CE32B4"/>
    <w:rsid w:val="00CE699D"/>
    <w:rsid w:val="00CE6A39"/>
    <w:rsid w:val="00CE6BAF"/>
    <w:rsid w:val="00CF0F17"/>
    <w:rsid w:val="00CF17B5"/>
    <w:rsid w:val="00CF2384"/>
    <w:rsid w:val="00CF2A48"/>
    <w:rsid w:val="00CF2BE6"/>
    <w:rsid w:val="00CF2DBD"/>
    <w:rsid w:val="00CF37B7"/>
    <w:rsid w:val="00CF3D80"/>
    <w:rsid w:val="00CF569B"/>
    <w:rsid w:val="00CF7C33"/>
    <w:rsid w:val="00D0142A"/>
    <w:rsid w:val="00D025A9"/>
    <w:rsid w:val="00D03141"/>
    <w:rsid w:val="00D11596"/>
    <w:rsid w:val="00D131F2"/>
    <w:rsid w:val="00D13F95"/>
    <w:rsid w:val="00D15049"/>
    <w:rsid w:val="00D17508"/>
    <w:rsid w:val="00D17EF8"/>
    <w:rsid w:val="00D22A20"/>
    <w:rsid w:val="00D22FC6"/>
    <w:rsid w:val="00D255AC"/>
    <w:rsid w:val="00D318BB"/>
    <w:rsid w:val="00D31E05"/>
    <w:rsid w:val="00D35E4B"/>
    <w:rsid w:val="00D4023D"/>
    <w:rsid w:val="00D40DAB"/>
    <w:rsid w:val="00D42313"/>
    <w:rsid w:val="00D43858"/>
    <w:rsid w:val="00D45220"/>
    <w:rsid w:val="00D45F79"/>
    <w:rsid w:val="00D45FC8"/>
    <w:rsid w:val="00D500CC"/>
    <w:rsid w:val="00D51B8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106"/>
    <w:rsid w:val="00D8155F"/>
    <w:rsid w:val="00D83830"/>
    <w:rsid w:val="00D8408A"/>
    <w:rsid w:val="00D85984"/>
    <w:rsid w:val="00D86118"/>
    <w:rsid w:val="00D8641A"/>
    <w:rsid w:val="00D92897"/>
    <w:rsid w:val="00D9374F"/>
    <w:rsid w:val="00D9654F"/>
    <w:rsid w:val="00D96664"/>
    <w:rsid w:val="00D9771C"/>
    <w:rsid w:val="00D97BF8"/>
    <w:rsid w:val="00DA0331"/>
    <w:rsid w:val="00DA04A7"/>
    <w:rsid w:val="00DA30E3"/>
    <w:rsid w:val="00DA399C"/>
    <w:rsid w:val="00DA43F1"/>
    <w:rsid w:val="00DA5E85"/>
    <w:rsid w:val="00DB01F6"/>
    <w:rsid w:val="00DB1B72"/>
    <w:rsid w:val="00DB4628"/>
    <w:rsid w:val="00DB58AD"/>
    <w:rsid w:val="00DB6134"/>
    <w:rsid w:val="00DD0357"/>
    <w:rsid w:val="00DD18B8"/>
    <w:rsid w:val="00DD1B53"/>
    <w:rsid w:val="00DD2D4F"/>
    <w:rsid w:val="00DD3ECB"/>
    <w:rsid w:val="00DD4201"/>
    <w:rsid w:val="00DD46B2"/>
    <w:rsid w:val="00DD5289"/>
    <w:rsid w:val="00DD5BF9"/>
    <w:rsid w:val="00DD6729"/>
    <w:rsid w:val="00DD760C"/>
    <w:rsid w:val="00DE0FB7"/>
    <w:rsid w:val="00DE387C"/>
    <w:rsid w:val="00DE3DD6"/>
    <w:rsid w:val="00DE4100"/>
    <w:rsid w:val="00DE458D"/>
    <w:rsid w:val="00DE517B"/>
    <w:rsid w:val="00DE52F2"/>
    <w:rsid w:val="00DE5A5D"/>
    <w:rsid w:val="00DE67A8"/>
    <w:rsid w:val="00DF072F"/>
    <w:rsid w:val="00DF0B84"/>
    <w:rsid w:val="00DF1ACD"/>
    <w:rsid w:val="00DF255F"/>
    <w:rsid w:val="00DF2996"/>
    <w:rsid w:val="00DF4C21"/>
    <w:rsid w:val="00E028F5"/>
    <w:rsid w:val="00E03EA5"/>
    <w:rsid w:val="00E041E8"/>
    <w:rsid w:val="00E05588"/>
    <w:rsid w:val="00E0664B"/>
    <w:rsid w:val="00E07E81"/>
    <w:rsid w:val="00E10E84"/>
    <w:rsid w:val="00E1125C"/>
    <w:rsid w:val="00E16D83"/>
    <w:rsid w:val="00E17AA2"/>
    <w:rsid w:val="00E21E1E"/>
    <w:rsid w:val="00E235EA"/>
    <w:rsid w:val="00E253BD"/>
    <w:rsid w:val="00E267AB"/>
    <w:rsid w:val="00E27BF3"/>
    <w:rsid w:val="00E30C2C"/>
    <w:rsid w:val="00E311DC"/>
    <w:rsid w:val="00E3126D"/>
    <w:rsid w:val="00E31752"/>
    <w:rsid w:val="00E3534A"/>
    <w:rsid w:val="00E4082C"/>
    <w:rsid w:val="00E435B7"/>
    <w:rsid w:val="00E436A7"/>
    <w:rsid w:val="00E4444A"/>
    <w:rsid w:val="00E44DA1"/>
    <w:rsid w:val="00E46C87"/>
    <w:rsid w:val="00E5162F"/>
    <w:rsid w:val="00E519F0"/>
    <w:rsid w:val="00E576B4"/>
    <w:rsid w:val="00E61D3A"/>
    <w:rsid w:val="00E62413"/>
    <w:rsid w:val="00E64091"/>
    <w:rsid w:val="00E66237"/>
    <w:rsid w:val="00E66281"/>
    <w:rsid w:val="00E66470"/>
    <w:rsid w:val="00E6710A"/>
    <w:rsid w:val="00E67C64"/>
    <w:rsid w:val="00E71158"/>
    <w:rsid w:val="00E71BDF"/>
    <w:rsid w:val="00E7334E"/>
    <w:rsid w:val="00E81A71"/>
    <w:rsid w:val="00E8267C"/>
    <w:rsid w:val="00E84B84"/>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3EC3"/>
    <w:rsid w:val="00EC539A"/>
    <w:rsid w:val="00EC608B"/>
    <w:rsid w:val="00EC6DFA"/>
    <w:rsid w:val="00ED39C3"/>
    <w:rsid w:val="00ED66FE"/>
    <w:rsid w:val="00ED68AB"/>
    <w:rsid w:val="00ED72A5"/>
    <w:rsid w:val="00EE3D44"/>
    <w:rsid w:val="00EE41E2"/>
    <w:rsid w:val="00EE60EE"/>
    <w:rsid w:val="00EF1906"/>
    <w:rsid w:val="00EF1953"/>
    <w:rsid w:val="00EF2347"/>
    <w:rsid w:val="00EF2D9E"/>
    <w:rsid w:val="00EF30B1"/>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1520"/>
    <w:rsid w:val="00F3234E"/>
    <w:rsid w:val="00F33F66"/>
    <w:rsid w:val="00F372CE"/>
    <w:rsid w:val="00F419B2"/>
    <w:rsid w:val="00F4233A"/>
    <w:rsid w:val="00F42B22"/>
    <w:rsid w:val="00F43272"/>
    <w:rsid w:val="00F45EBD"/>
    <w:rsid w:val="00F505EF"/>
    <w:rsid w:val="00F509FC"/>
    <w:rsid w:val="00F50B67"/>
    <w:rsid w:val="00F515F7"/>
    <w:rsid w:val="00F52831"/>
    <w:rsid w:val="00F53B73"/>
    <w:rsid w:val="00F53D3E"/>
    <w:rsid w:val="00F56C3E"/>
    <w:rsid w:val="00F60C95"/>
    <w:rsid w:val="00F61714"/>
    <w:rsid w:val="00F6434D"/>
    <w:rsid w:val="00F65870"/>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53DC"/>
    <w:rsid w:val="00FA7229"/>
    <w:rsid w:val="00FA7F61"/>
    <w:rsid w:val="00FB554A"/>
    <w:rsid w:val="00FB588A"/>
    <w:rsid w:val="00FC0694"/>
    <w:rsid w:val="00FC1955"/>
    <w:rsid w:val="00FC470A"/>
    <w:rsid w:val="00FC4FC5"/>
    <w:rsid w:val="00FC6828"/>
    <w:rsid w:val="00FC6982"/>
    <w:rsid w:val="00FC6F29"/>
    <w:rsid w:val="00FD1341"/>
    <w:rsid w:val="00FD2F47"/>
    <w:rsid w:val="00FD4519"/>
    <w:rsid w:val="00FD690E"/>
    <w:rsid w:val="00FD76AE"/>
    <w:rsid w:val="00FD7C7C"/>
    <w:rsid w:val="00FE363C"/>
    <w:rsid w:val="00FE3AE2"/>
    <w:rsid w:val="00FE4A4B"/>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 w:type="numbering" w:customStyle="1" w:styleId="NoList2">
    <w:name w:val="No List2"/>
    <w:next w:val="NoList"/>
    <w:uiPriority w:val="99"/>
    <w:semiHidden/>
    <w:unhideWhenUsed/>
    <w:rsid w:val="00BE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470">
      <w:bodyDiv w:val="1"/>
      <w:marLeft w:val="0"/>
      <w:marRight w:val="0"/>
      <w:marTop w:val="0"/>
      <w:marBottom w:val="0"/>
      <w:divBdr>
        <w:top w:val="none" w:sz="0" w:space="0" w:color="auto"/>
        <w:left w:val="none" w:sz="0" w:space="0" w:color="auto"/>
        <w:bottom w:val="none" w:sz="0" w:space="0" w:color="auto"/>
        <w:right w:val="none" w:sz="0" w:space="0" w:color="auto"/>
      </w:divBdr>
      <w:divsChild>
        <w:div w:id="219170340">
          <w:marLeft w:val="0"/>
          <w:marRight w:val="0"/>
          <w:marTop w:val="0"/>
          <w:marBottom w:val="0"/>
          <w:divBdr>
            <w:top w:val="none" w:sz="0" w:space="0" w:color="auto"/>
            <w:left w:val="none" w:sz="0" w:space="0" w:color="auto"/>
            <w:bottom w:val="none" w:sz="0" w:space="0" w:color="auto"/>
            <w:right w:val="none" w:sz="0" w:space="0" w:color="auto"/>
          </w:divBdr>
          <w:divsChild>
            <w:div w:id="608200134">
              <w:marLeft w:val="0"/>
              <w:marRight w:val="0"/>
              <w:marTop w:val="0"/>
              <w:marBottom w:val="0"/>
              <w:divBdr>
                <w:top w:val="none" w:sz="0" w:space="0" w:color="auto"/>
                <w:left w:val="none" w:sz="0" w:space="0" w:color="auto"/>
                <w:bottom w:val="none" w:sz="0" w:space="0" w:color="auto"/>
                <w:right w:val="none" w:sz="0" w:space="0" w:color="auto"/>
              </w:divBdr>
              <w:divsChild>
                <w:div w:id="2089381303">
                  <w:marLeft w:val="0"/>
                  <w:marRight w:val="0"/>
                  <w:marTop w:val="0"/>
                  <w:marBottom w:val="0"/>
                  <w:divBdr>
                    <w:top w:val="none" w:sz="0" w:space="0" w:color="auto"/>
                    <w:left w:val="none" w:sz="0" w:space="0" w:color="auto"/>
                    <w:bottom w:val="none" w:sz="0" w:space="0" w:color="auto"/>
                    <w:right w:val="none" w:sz="0" w:space="0" w:color="auto"/>
                  </w:divBdr>
                  <w:divsChild>
                    <w:div w:id="2073311409">
                      <w:marLeft w:val="0"/>
                      <w:marRight w:val="0"/>
                      <w:marTop w:val="0"/>
                      <w:marBottom w:val="0"/>
                      <w:divBdr>
                        <w:top w:val="none" w:sz="0" w:space="0" w:color="auto"/>
                        <w:left w:val="none" w:sz="0" w:space="0" w:color="auto"/>
                        <w:bottom w:val="none" w:sz="0" w:space="0" w:color="auto"/>
                        <w:right w:val="none" w:sz="0" w:space="0" w:color="auto"/>
                      </w:divBdr>
                      <w:divsChild>
                        <w:div w:id="1746948602">
                          <w:marLeft w:val="0"/>
                          <w:marRight w:val="0"/>
                          <w:marTop w:val="0"/>
                          <w:marBottom w:val="0"/>
                          <w:divBdr>
                            <w:top w:val="none" w:sz="0" w:space="0" w:color="auto"/>
                            <w:left w:val="none" w:sz="0" w:space="0" w:color="auto"/>
                            <w:bottom w:val="none" w:sz="0" w:space="0" w:color="auto"/>
                            <w:right w:val="none" w:sz="0" w:space="0" w:color="auto"/>
                          </w:divBdr>
                          <w:divsChild>
                            <w:div w:id="94643252">
                              <w:marLeft w:val="0"/>
                              <w:marRight w:val="0"/>
                              <w:marTop w:val="0"/>
                              <w:marBottom w:val="0"/>
                              <w:divBdr>
                                <w:top w:val="none" w:sz="0" w:space="0" w:color="auto"/>
                                <w:left w:val="none" w:sz="0" w:space="0" w:color="auto"/>
                                <w:bottom w:val="none" w:sz="0" w:space="0" w:color="auto"/>
                                <w:right w:val="none" w:sz="0" w:space="0" w:color="auto"/>
                              </w:divBdr>
                              <w:divsChild>
                                <w:div w:id="839083072">
                                  <w:marLeft w:val="0"/>
                                  <w:marRight w:val="0"/>
                                  <w:marTop w:val="0"/>
                                  <w:marBottom w:val="0"/>
                                  <w:divBdr>
                                    <w:top w:val="none" w:sz="0" w:space="0" w:color="auto"/>
                                    <w:left w:val="none" w:sz="0" w:space="0" w:color="auto"/>
                                    <w:bottom w:val="none" w:sz="0" w:space="0" w:color="auto"/>
                                    <w:right w:val="none" w:sz="0" w:space="0" w:color="auto"/>
                                  </w:divBdr>
                                  <w:divsChild>
                                    <w:div w:id="15642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77007338">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382512612">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5">
          <w:marLeft w:val="0"/>
          <w:marRight w:val="0"/>
          <w:marTop w:val="0"/>
          <w:marBottom w:val="0"/>
          <w:divBdr>
            <w:top w:val="none" w:sz="0" w:space="0" w:color="auto"/>
            <w:left w:val="none" w:sz="0" w:space="0" w:color="auto"/>
            <w:bottom w:val="none" w:sz="0" w:space="0" w:color="auto"/>
            <w:right w:val="none" w:sz="0" w:space="0" w:color="auto"/>
          </w:divBdr>
          <w:divsChild>
            <w:div w:id="1822887748">
              <w:marLeft w:val="0"/>
              <w:marRight w:val="0"/>
              <w:marTop w:val="0"/>
              <w:marBottom w:val="0"/>
              <w:divBdr>
                <w:top w:val="none" w:sz="0" w:space="0" w:color="auto"/>
                <w:left w:val="none" w:sz="0" w:space="0" w:color="auto"/>
                <w:bottom w:val="none" w:sz="0" w:space="0" w:color="auto"/>
                <w:right w:val="none" w:sz="0" w:space="0" w:color="auto"/>
              </w:divBdr>
              <w:divsChild>
                <w:div w:id="402677278">
                  <w:marLeft w:val="0"/>
                  <w:marRight w:val="0"/>
                  <w:marTop w:val="0"/>
                  <w:marBottom w:val="0"/>
                  <w:divBdr>
                    <w:top w:val="none" w:sz="0" w:space="0" w:color="auto"/>
                    <w:left w:val="none" w:sz="0" w:space="0" w:color="auto"/>
                    <w:bottom w:val="none" w:sz="0" w:space="0" w:color="auto"/>
                    <w:right w:val="none" w:sz="0" w:space="0" w:color="auto"/>
                  </w:divBdr>
                  <w:divsChild>
                    <w:div w:id="1029912217">
                      <w:marLeft w:val="0"/>
                      <w:marRight w:val="0"/>
                      <w:marTop w:val="0"/>
                      <w:marBottom w:val="0"/>
                      <w:divBdr>
                        <w:top w:val="none" w:sz="0" w:space="0" w:color="auto"/>
                        <w:left w:val="none" w:sz="0" w:space="0" w:color="auto"/>
                        <w:bottom w:val="none" w:sz="0" w:space="0" w:color="auto"/>
                        <w:right w:val="none" w:sz="0" w:space="0" w:color="auto"/>
                      </w:divBdr>
                      <w:divsChild>
                        <w:div w:id="999230176">
                          <w:marLeft w:val="0"/>
                          <w:marRight w:val="0"/>
                          <w:marTop w:val="0"/>
                          <w:marBottom w:val="0"/>
                          <w:divBdr>
                            <w:top w:val="none" w:sz="0" w:space="0" w:color="auto"/>
                            <w:left w:val="none" w:sz="0" w:space="0" w:color="auto"/>
                            <w:bottom w:val="none" w:sz="0" w:space="0" w:color="auto"/>
                            <w:right w:val="none" w:sz="0" w:space="0" w:color="auto"/>
                          </w:divBdr>
                          <w:divsChild>
                            <w:div w:id="1224292821">
                              <w:marLeft w:val="0"/>
                              <w:marRight w:val="0"/>
                              <w:marTop w:val="0"/>
                              <w:marBottom w:val="0"/>
                              <w:divBdr>
                                <w:top w:val="none" w:sz="0" w:space="0" w:color="auto"/>
                                <w:left w:val="none" w:sz="0" w:space="0" w:color="auto"/>
                                <w:bottom w:val="none" w:sz="0" w:space="0" w:color="auto"/>
                                <w:right w:val="none" w:sz="0" w:space="0" w:color="auto"/>
                              </w:divBdr>
                              <w:divsChild>
                                <w:div w:id="707530362">
                                  <w:marLeft w:val="0"/>
                                  <w:marRight w:val="0"/>
                                  <w:marTop w:val="0"/>
                                  <w:marBottom w:val="0"/>
                                  <w:divBdr>
                                    <w:top w:val="none" w:sz="0" w:space="0" w:color="auto"/>
                                    <w:left w:val="none" w:sz="0" w:space="0" w:color="auto"/>
                                    <w:bottom w:val="none" w:sz="0" w:space="0" w:color="auto"/>
                                    <w:right w:val="none" w:sz="0" w:space="0" w:color="auto"/>
                                  </w:divBdr>
                                  <w:divsChild>
                                    <w:div w:id="1301493992">
                                      <w:marLeft w:val="0"/>
                                      <w:marRight w:val="0"/>
                                      <w:marTop w:val="0"/>
                                      <w:marBottom w:val="0"/>
                                      <w:divBdr>
                                        <w:top w:val="none" w:sz="0" w:space="0" w:color="auto"/>
                                        <w:left w:val="none" w:sz="0" w:space="0" w:color="auto"/>
                                        <w:bottom w:val="none" w:sz="0" w:space="0" w:color="auto"/>
                                        <w:right w:val="none" w:sz="0" w:space="0" w:color="auto"/>
                                      </w:divBdr>
                                    </w:div>
                                  </w:divsChild>
                                </w:div>
                                <w:div w:id="2084525156">
                                  <w:marLeft w:val="0"/>
                                  <w:marRight w:val="0"/>
                                  <w:marTop w:val="0"/>
                                  <w:marBottom w:val="0"/>
                                  <w:divBdr>
                                    <w:top w:val="none" w:sz="0" w:space="0" w:color="auto"/>
                                    <w:left w:val="none" w:sz="0" w:space="0" w:color="auto"/>
                                    <w:bottom w:val="none" w:sz="0" w:space="0" w:color="auto"/>
                                    <w:right w:val="none" w:sz="0" w:space="0" w:color="auto"/>
                                  </w:divBdr>
                                </w:div>
                                <w:div w:id="256912828">
                                  <w:marLeft w:val="0"/>
                                  <w:marRight w:val="0"/>
                                  <w:marTop w:val="0"/>
                                  <w:marBottom w:val="0"/>
                                  <w:divBdr>
                                    <w:top w:val="none" w:sz="0" w:space="0" w:color="auto"/>
                                    <w:left w:val="none" w:sz="0" w:space="0" w:color="auto"/>
                                    <w:bottom w:val="none" w:sz="0" w:space="0" w:color="auto"/>
                                    <w:right w:val="none" w:sz="0" w:space="0" w:color="auto"/>
                                  </w:divBdr>
                                </w:div>
                                <w:div w:id="159661030">
                                  <w:marLeft w:val="0"/>
                                  <w:marRight w:val="0"/>
                                  <w:marTop w:val="0"/>
                                  <w:marBottom w:val="0"/>
                                  <w:divBdr>
                                    <w:top w:val="none" w:sz="0" w:space="0" w:color="auto"/>
                                    <w:left w:val="none" w:sz="0" w:space="0" w:color="auto"/>
                                    <w:bottom w:val="none" w:sz="0" w:space="0" w:color="auto"/>
                                    <w:right w:val="none" w:sz="0" w:space="0" w:color="auto"/>
                                  </w:divBdr>
                                </w:div>
                                <w:div w:id="19557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9518">
                  <w:marLeft w:val="0"/>
                  <w:marRight w:val="0"/>
                  <w:marTop w:val="0"/>
                  <w:marBottom w:val="0"/>
                  <w:divBdr>
                    <w:top w:val="none" w:sz="0" w:space="0" w:color="auto"/>
                    <w:left w:val="none" w:sz="0" w:space="0" w:color="auto"/>
                    <w:bottom w:val="none" w:sz="0" w:space="0" w:color="auto"/>
                    <w:right w:val="none" w:sz="0" w:space="0" w:color="auto"/>
                  </w:divBdr>
                </w:div>
                <w:div w:id="1157110501">
                  <w:marLeft w:val="0"/>
                  <w:marRight w:val="0"/>
                  <w:marTop w:val="0"/>
                  <w:marBottom w:val="0"/>
                  <w:divBdr>
                    <w:top w:val="none" w:sz="0" w:space="0" w:color="auto"/>
                    <w:left w:val="none" w:sz="0" w:space="0" w:color="auto"/>
                    <w:bottom w:val="none" w:sz="0" w:space="0" w:color="auto"/>
                    <w:right w:val="none" w:sz="0" w:space="0" w:color="auto"/>
                  </w:divBdr>
                </w:div>
                <w:div w:id="39063963">
                  <w:marLeft w:val="0"/>
                  <w:marRight w:val="0"/>
                  <w:marTop w:val="0"/>
                  <w:marBottom w:val="0"/>
                  <w:divBdr>
                    <w:top w:val="none" w:sz="0" w:space="0" w:color="auto"/>
                    <w:left w:val="none" w:sz="0" w:space="0" w:color="auto"/>
                    <w:bottom w:val="none" w:sz="0" w:space="0" w:color="auto"/>
                    <w:right w:val="none" w:sz="0" w:space="0" w:color="auto"/>
                  </w:divBdr>
                </w:div>
                <w:div w:id="2027437268">
                  <w:marLeft w:val="0"/>
                  <w:marRight w:val="0"/>
                  <w:marTop w:val="0"/>
                  <w:marBottom w:val="0"/>
                  <w:divBdr>
                    <w:top w:val="none" w:sz="0" w:space="0" w:color="auto"/>
                    <w:left w:val="none" w:sz="0" w:space="0" w:color="auto"/>
                    <w:bottom w:val="none" w:sz="0" w:space="0" w:color="auto"/>
                    <w:right w:val="none" w:sz="0" w:space="0" w:color="auto"/>
                  </w:divBdr>
                </w:div>
                <w:div w:id="1020816288">
                  <w:marLeft w:val="0"/>
                  <w:marRight w:val="0"/>
                  <w:marTop w:val="0"/>
                  <w:marBottom w:val="0"/>
                  <w:divBdr>
                    <w:top w:val="none" w:sz="0" w:space="0" w:color="auto"/>
                    <w:left w:val="none" w:sz="0" w:space="0" w:color="auto"/>
                    <w:bottom w:val="none" w:sz="0" w:space="0" w:color="auto"/>
                    <w:right w:val="none" w:sz="0" w:space="0" w:color="auto"/>
                  </w:divBdr>
                </w:div>
                <w:div w:id="1079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637445920">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senate.gov/Tracker/ManageAccount/EmailFrequen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senate.gov/Tracker/ManageAccount/EmailFrequ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lsenate.gov/Tracker/ManageAccount/EmailFrequency" TargetMode="External"/><Relationship Id="rId4" Type="http://schemas.openxmlformats.org/officeDocument/2006/relationships/settings" Target="settings.xml"/><Relationship Id="rId9" Type="http://schemas.openxmlformats.org/officeDocument/2006/relationships/hyperlink" Target="https://www.flsenate.gov/Tracker/ManageAccount/EmailFrequen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C250-4081-4E9E-9AE7-DF66A0C4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15335</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2016-11-13T15:38:00Z</dcterms:created>
  <dcterms:modified xsi:type="dcterms:W3CDTF">2016-11-14T14:54:00Z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