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F07" w:rsidRDefault="00F9535D" w:rsidP="00146E4E">
      <w:pPr>
        <w:pStyle w:val="BlockText"/>
        <w:jc w:val="center"/>
        <w:rPr>
          <w:b/>
          <w:sz w:val="32"/>
          <w:szCs w:val="32"/>
        </w:rPr>
      </w:pPr>
      <w:r w:rsidRPr="00DD0357">
        <w:rPr>
          <w:b/>
          <w:sz w:val="32"/>
          <w:szCs w:val="32"/>
        </w:rPr>
        <w:t>The Florida Bar: Real Property, Probate and Trust Law Section</w:t>
      </w:r>
    </w:p>
    <w:p w:rsidR="009A10B6" w:rsidRPr="00DD0357" w:rsidRDefault="00F9535D" w:rsidP="00832A42">
      <w:pPr>
        <w:pStyle w:val="BlockText"/>
        <w:jc w:val="center"/>
        <w:rPr>
          <w:b/>
          <w:sz w:val="32"/>
          <w:szCs w:val="32"/>
        </w:rPr>
      </w:pPr>
      <w:r w:rsidRPr="00DD0357">
        <w:rPr>
          <w:b/>
          <w:sz w:val="32"/>
          <w:szCs w:val="32"/>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6F4CE9" w:rsidRPr="00541BCF" w:rsidRDefault="001476D7" w:rsidP="00541BCF">
      <w:pPr>
        <w:pStyle w:val="BlockText"/>
        <w:jc w:val="center"/>
      </w:pPr>
      <w:r>
        <w:t>Month</w:t>
      </w:r>
      <w:r w:rsidR="00076663">
        <w:t>s of July-August</w:t>
      </w:r>
      <w:r w:rsidR="00986C6C">
        <w:t xml:space="preserve"> </w:t>
      </w:r>
      <w:r w:rsidR="009324C3">
        <w:t>2016</w:t>
      </w:r>
    </w:p>
    <w:p w:rsidR="00CC601F" w:rsidRDefault="00CC601F" w:rsidP="007D14A8">
      <w:pPr>
        <w:pStyle w:val="BlockText"/>
        <w:rPr>
          <w:b/>
          <w:u w:val="single"/>
        </w:rPr>
      </w:pPr>
    </w:p>
    <w:p w:rsidR="005F2CFE" w:rsidRDefault="005F2CFE" w:rsidP="005F2CFE">
      <w:pPr>
        <w:pStyle w:val="BlockText"/>
      </w:pPr>
      <w:r>
        <w:tab/>
      </w:r>
    </w:p>
    <w:p w:rsidR="005F2CFE" w:rsidRDefault="005F2CFE" w:rsidP="007D14A8">
      <w:pPr>
        <w:pStyle w:val="BlockText"/>
        <w:rPr>
          <w:b/>
          <w:u w:val="single"/>
        </w:rPr>
      </w:pPr>
    </w:p>
    <w:p w:rsidR="007F16BD" w:rsidRDefault="00DD0357" w:rsidP="007D14A8">
      <w:pPr>
        <w:pStyle w:val="BlockText"/>
      </w:pPr>
      <w:r>
        <w:rPr>
          <w:b/>
          <w:u w:val="single"/>
        </w:rPr>
        <w:t>STATE AND FEDERAL APPELLATE DECISIONS</w:t>
      </w:r>
      <w:r w:rsidR="00D9771C" w:rsidRPr="00D9771C">
        <w:rPr>
          <w:b/>
          <w:u w:val="single"/>
        </w:rPr>
        <w:t>:</w:t>
      </w:r>
      <w:r w:rsidR="003045D2">
        <w:rPr>
          <w:b/>
          <w:u w:val="single"/>
        </w:rPr>
        <w:t xml:space="preserve">  </w:t>
      </w:r>
    </w:p>
    <w:p w:rsidR="00941D67" w:rsidRDefault="00941D67" w:rsidP="007D14A8">
      <w:pPr>
        <w:pStyle w:val="BlockText"/>
      </w:pPr>
    </w:p>
    <w:p w:rsidR="00941D67" w:rsidRDefault="00941D67" w:rsidP="007D14A8">
      <w:pPr>
        <w:pStyle w:val="BlockText"/>
      </w:pPr>
      <w:r>
        <w:rPr>
          <w:u w:val="single"/>
        </w:rPr>
        <w:t>Altman Contractors, Inc. v. Crum &amp; Forster Specialty Insurance Company</w:t>
      </w:r>
      <w:r>
        <w:t xml:space="preserve">, 2016 WL 4087782, --- F.3d --- (U.S. Ct. of Appeals, Eleventh Circuit, 2016).  The District Court held that a chapter 558 notice unambiguously does not trigger the insurer’s duty to defend or indemnify.  The Eleventh Circuit is “not as sure” and certified the matter to the Florida Supreme Court. </w:t>
      </w:r>
    </w:p>
    <w:p w:rsidR="00941D67" w:rsidRDefault="00941D67" w:rsidP="007D14A8">
      <w:pPr>
        <w:pStyle w:val="BlockText"/>
      </w:pPr>
    </w:p>
    <w:p w:rsidR="00C57EC3" w:rsidRDefault="00941D67" w:rsidP="007D14A8">
      <w:pPr>
        <w:pStyle w:val="BlockText"/>
      </w:pPr>
      <w:r>
        <w:rPr>
          <w:u w:val="single"/>
        </w:rPr>
        <w:t>Great American Insurance Company v. Brewer, et al.</w:t>
      </w:r>
      <w:r>
        <w:t xml:space="preserve">, 2016 WL 3640395 (M.D. Fla., Orlando Division).  The trial court granted partial summary judgment to a surety on the indemnitor’s defense that section 725.06, Fl. Stat., applies to </w:t>
      </w:r>
      <w:r w:rsidR="00C57EC3">
        <w:t>nullify an indemnity agreement.  Section 725.06 does not apply to a surety as plaintiff because it is not an owner of real property, or an architect, engineer, general contractor, subcontractor, sub-subcontractor, or materialman.</w:t>
      </w:r>
    </w:p>
    <w:p w:rsidR="00C57EC3" w:rsidRDefault="00C57EC3" w:rsidP="007D14A8">
      <w:pPr>
        <w:pStyle w:val="BlockText"/>
      </w:pPr>
    </w:p>
    <w:p w:rsidR="00941D67" w:rsidRPr="00941D67" w:rsidRDefault="00C57EC3" w:rsidP="007D14A8">
      <w:pPr>
        <w:pStyle w:val="BlockText"/>
      </w:pPr>
      <w:r>
        <w:rPr>
          <w:u w:val="single"/>
        </w:rPr>
        <w:t>Maschmeyer Concrete Company of Florida v. American Southern Insurance Company</w:t>
      </w:r>
      <w:r>
        <w:t xml:space="preserve">, 2016 WL 3746379 (M.D. Fla., Orlando Division).  In a section 255.05 payment bond case, the trial court held the surety liable on summary judgment.  The contract was for an initial term of one year with a provision to allow the parties to renew the term for up to 60 months.  The bond term expressly limited the surety’s liability to a single term year that was prior to plaintiff’s provision of materials.  The trial court found that section 255.05(1)(e) rendered the limitation unenforceable.  That </w:t>
      </w:r>
      <w:r w:rsidR="004B7EAF">
        <w:t>statute</w:t>
      </w:r>
      <w:r>
        <w:t xml:space="preserve"> provides in part that “any provision in [a statutory bond] issued on or after October 1, 2012</w:t>
      </w:r>
      <w:r w:rsidR="004B7EAF">
        <w:t>, . . . which limits or expands the effective duration of the [statutory bond] . . . is unenforceable.”</w:t>
      </w:r>
      <w:bookmarkStart w:id="0" w:name="_GoBack"/>
      <w:bookmarkEnd w:id="0"/>
    </w:p>
    <w:p w:rsidR="00C97707" w:rsidRDefault="00C97707" w:rsidP="007D14A8">
      <w:pPr>
        <w:pStyle w:val="BlockText"/>
        <w:rPr>
          <w:b/>
          <w:u w:val="single"/>
        </w:rPr>
      </w:pPr>
    </w:p>
    <w:p w:rsidR="001D277E" w:rsidRPr="00B972A0" w:rsidRDefault="001D277E" w:rsidP="00133FBD">
      <w:pPr>
        <w:pStyle w:val="BlockText"/>
        <w:rPr>
          <w:b/>
          <w:u w:val="single"/>
        </w:rPr>
      </w:pPr>
    </w:p>
    <w:p w:rsidR="00437958" w:rsidRDefault="00EB61E2" w:rsidP="00133FBD">
      <w:pPr>
        <w:pStyle w:val="BlockText"/>
        <w:rPr>
          <w:u w:val="single"/>
        </w:rPr>
      </w:pPr>
      <w:r w:rsidRPr="00797252">
        <w:rPr>
          <w:b/>
          <w:u w:val="single"/>
        </w:rPr>
        <w:t>DOAH</w:t>
      </w:r>
      <w:r w:rsidR="00062BAB">
        <w:rPr>
          <w:b/>
          <w:u w:val="single"/>
        </w:rPr>
        <w:t xml:space="preserve"> ORDERS</w:t>
      </w:r>
      <w:r w:rsidR="00DD0357">
        <w:rPr>
          <w:b/>
          <w:u w:val="single"/>
        </w:rPr>
        <w:t xml:space="preserve"> </w:t>
      </w:r>
      <w:r w:rsidR="00DD0357">
        <w:rPr>
          <w:u w:val="single"/>
        </w:rPr>
        <w:t>(if any)</w:t>
      </w:r>
      <w:r w:rsidR="00D9771C" w:rsidRPr="00DD0357">
        <w:rPr>
          <w:u w:val="single"/>
        </w:rPr>
        <w:t>:</w:t>
      </w:r>
    </w:p>
    <w:p w:rsidR="005A0848" w:rsidRDefault="005A0848" w:rsidP="00133FBD">
      <w:pPr>
        <w:pStyle w:val="BlockText"/>
        <w:rPr>
          <w:u w:val="single"/>
        </w:rPr>
      </w:pPr>
    </w:p>
    <w:p w:rsidR="005A0848" w:rsidRDefault="005A0848" w:rsidP="00BB62F8">
      <w:pPr>
        <w:pStyle w:val="BlockText"/>
        <w:ind w:firstLine="720"/>
      </w:pPr>
      <w:r w:rsidRPr="005A0848">
        <w:rPr>
          <w:i/>
          <w:u w:val="single"/>
        </w:rPr>
        <w:t>Department of Financial Services, Division of Workers’ Compensation v. Soler and Son Roofing</w:t>
      </w:r>
      <w:r>
        <w:t>, DOAH Case No. 15-7356: Recommended</w:t>
      </w:r>
      <w:r w:rsidR="0017188D">
        <w:t xml:space="preserve"> order issued on July 19, 2016. A roofing company was assessed over $63,000 for having one (1) uninsured worker, with the penalty calculated based on the department’s statutory “imputation” that the worker</w:t>
      </w:r>
      <w:r w:rsidR="0050749E">
        <w:t>:</w:t>
      </w:r>
      <w:r w:rsidR="0017188D">
        <w:t xml:space="preserve"> (1) had been employed for the past two (2) years</w:t>
      </w:r>
      <w:r w:rsidR="0050749E">
        <w:t>, and,</w:t>
      </w:r>
      <w:r w:rsidR="0017188D">
        <w:t xml:space="preserve"> (2) at the “average weekly wage” of $841.57 (as determined annually by the Department of Economic Opportunity). Since the evidence showed that the worker earned only $10 per hour, which was found to rebut the statutory presumption of the “average weekly wage,” the Administrative Law Judge determined that </w:t>
      </w:r>
      <w:r w:rsidR="0050749E">
        <w:t xml:space="preserve">the </w:t>
      </w:r>
      <w:r w:rsidR="0017188D">
        <w:t>penalty assessment should have been calculated at only $15,000</w:t>
      </w:r>
      <w:r w:rsidR="0050749E">
        <w:t xml:space="preserve"> (as an alternative to only a $1,000 fine)</w:t>
      </w:r>
      <w:r w:rsidR="0017188D">
        <w:t>.</w:t>
      </w:r>
    </w:p>
    <w:p w:rsidR="0017188D" w:rsidRDefault="0017188D" w:rsidP="00133FBD">
      <w:pPr>
        <w:pStyle w:val="BlockText"/>
      </w:pPr>
    </w:p>
    <w:p w:rsidR="00BB62F8" w:rsidRDefault="0017188D" w:rsidP="00BB62F8">
      <w:pPr>
        <w:pStyle w:val="BlockText"/>
        <w:ind w:firstLine="720"/>
      </w:pPr>
      <w:r>
        <w:t xml:space="preserve">HOWEVER, in addition, </w:t>
      </w:r>
      <w:r w:rsidR="00ED72A5">
        <w:t xml:space="preserve">even though the company failed to produce payroll records, </w:t>
      </w:r>
      <w:r w:rsidR="0050749E">
        <w:t>the ALJ</w:t>
      </w:r>
      <w:r w:rsidR="00ED72A5">
        <w:t xml:space="preserve"> found that the department had failed to prove by “clear and convincing evidence” that the worker had been employed for more than just one (1) day</w:t>
      </w:r>
      <w:r w:rsidR="00BB62F8">
        <w:t>, and rejected the two-year imputation of employment based on a conflict between the statutory provisions of section 440.107(7</w:t>
      </w:r>
      <w:r w:rsidR="00B633E7">
        <w:t>) (</w:t>
      </w:r>
      <w:r w:rsidR="00BB62F8">
        <w:t>d)1, and Rule 69L-</w:t>
      </w:r>
      <w:r w:rsidR="00BB62F8">
        <w:lastRenderedPageBreak/>
        <w:t xml:space="preserve">6.028(2). </w:t>
      </w:r>
      <w:r w:rsidR="0050749E">
        <w:t>In particular, the ALJ held that the employer’s failure to produce business records was not a basis for the department to impute a two-year employment period.</w:t>
      </w:r>
    </w:p>
    <w:p w:rsidR="00BB62F8" w:rsidRDefault="00BB62F8" w:rsidP="00133FBD">
      <w:pPr>
        <w:pStyle w:val="BlockText"/>
      </w:pPr>
    </w:p>
    <w:p w:rsidR="0017188D" w:rsidRDefault="00BB62F8" w:rsidP="00BB62F8">
      <w:pPr>
        <w:pStyle w:val="BlockText"/>
        <w:ind w:firstLine="720"/>
      </w:pPr>
      <w:r>
        <w:t>By invalidating this rule, the ALJ then applied the July 1, 2016, effective date change in section 120.57(1)(e), which now provides the authority to invalidate a rule</w:t>
      </w:r>
      <w:r w:rsidR="0050749E">
        <w:t xml:space="preserve"> in a 57.105 hearing, and prohibits agency or ALJ action based on an invalid exercise of delegated legislative authority. </w:t>
      </w:r>
    </w:p>
    <w:p w:rsidR="0050749E" w:rsidRDefault="0050749E" w:rsidP="00BB62F8">
      <w:pPr>
        <w:pStyle w:val="BlockText"/>
        <w:ind w:firstLine="720"/>
      </w:pPr>
    </w:p>
    <w:p w:rsidR="0050749E" w:rsidRDefault="0050749E" w:rsidP="00BB62F8">
      <w:pPr>
        <w:pStyle w:val="BlockText"/>
        <w:ind w:firstLine="720"/>
      </w:pPr>
      <w:r>
        <w:t xml:space="preserve">Anticipating, based on prior decisions, that the department would attempt to make an Exception to this Conclusion of Law, and override it with a contrary conclusion, the ALJ noted that this area of law (i.e., determination of rules of evidence) may not be in the </w:t>
      </w:r>
      <w:r w:rsidR="00B633E7">
        <w:t>agency’s</w:t>
      </w:r>
      <w:r>
        <w:t xml:space="preserve"> “substantive jurisdiction” (which, if so, would prevent the agency from overturning the ALJ’s “conclusion of law” on this point.</w:t>
      </w:r>
    </w:p>
    <w:p w:rsidR="0050749E" w:rsidRDefault="0050749E" w:rsidP="0050749E">
      <w:pPr>
        <w:pStyle w:val="BlockText"/>
      </w:pPr>
    </w:p>
    <w:p w:rsidR="0050749E" w:rsidRPr="005A0848" w:rsidRDefault="0050749E" w:rsidP="0050749E">
      <w:pPr>
        <w:pStyle w:val="BlockText"/>
      </w:pPr>
      <w:r w:rsidRPr="006E723E">
        <w:rPr>
          <w:b/>
          <w:u w:val="single"/>
        </w:rPr>
        <w:t>Editor’s Note:</w:t>
      </w:r>
      <w:r>
        <w:t xml:space="preserve"> This </w:t>
      </w:r>
      <w:r w:rsidR="006E723E">
        <w:t>is a very important decision; however, it’s only</w:t>
      </w:r>
      <w:r>
        <w:t xml:space="preserve"> a “recommended”</w:t>
      </w:r>
      <w:r w:rsidR="006E723E">
        <w:t xml:space="preserve"> order, and must now go t</w:t>
      </w:r>
      <w:r>
        <w:t>o the agency to enter a “final” order; accordingly, we will continue to monitor this case for any changes the agency may make in its final order (and for any appellate actions based thereon).</w:t>
      </w:r>
    </w:p>
    <w:p w:rsidR="00863EC6" w:rsidRDefault="00863EC6" w:rsidP="00133FBD">
      <w:pPr>
        <w:pStyle w:val="BlockText"/>
        <w:rPr>
          <w:u w:val="single"/>
        </w:rPr>
      </w:pPr>
    </w:p>
    <w:p w:rsidR="004E60B2" w:rsidRPr="004E60B2" w:rsidRDefault="004E60B2" w:rsidP="00133FBD">
      <w:pPr>
        <w:pStyle w:val="BlockText"/>
      </w:pPr>
    </w:p>
    <w:p w:rsidR="006E723E" w:rsidRDefault="006E723E" w:rsidP="00D72E5C">
      <w:pPr>
        <w:pStyle w:val="BlockText"/>
        <w:rPr>
          <w:b/>
          <w:u w:val="single"/>
        </w:rPr>
      </w:pPr>
    </w:p>
    <w:p w:rsidR="006E723E" w:rsidRDefault="006E723E" w:rsidP="00D72E5C">
      <w:pPr>
        <w:pStyle w:val="BlockText"/>
        <w:rPr>
          <w:b/>
          <w:u w:val="single"/>
        </w:rPr>
      </w:pPr>
    </w:p>
    <w:p w:rsidR="00B26EF6" w:rsidRDefault="00B26EF6" w:rsidP="00D72E5C">
      <w:pPr>
        <w:pStyle w:val="BlockText"/>
        <w:rPr>
          <w:b/>
          <w:u w:val="single"/>
        </w:rPr>
      </w:pPr>
      <w:r w:rsidRPr="00B26EF6">
        <w:rPr>
          <w:b/>
          <w:u w:val="single"/>
        </w:rPr>
        <w:t>AGENCY REGULATIONS:</w:t>
      </w:r>
      <w:r w:rsidR="00146910">
        <w:rPr>
          <w:b/>
          <w:u w:val="single"/>
        </w:rPr>
        <w:t xml:space="preserve"> </w:t>
      </w:r>
    </w:p>
    <w:p w:rsidR="00146910" w:rsidRDefault="00146910" w:rsidP="00D72E5C">
      <w:pPr>
        <w:pStyle w:val="BlockText"/>
        <w:rPr>
          <w:b/>
          <w:u w:val="single"/>
        </w:rPr>
      </w:pPr>
    </w:p>
    <w:p w:rsidR="004E142A" w:rsidRDefault="00DE52F2" w:rsidP="00DE52F2">
      <w:pPr>
        <w:pStyle w:val="BlockText"/>
        <w:rPr>
          <w:b/>
          <w:u w:val="single"/>
        </w:rPr>
      </w:pPr>
      <w:r w:rsidRPr="007A76DB">
        <w:rPr>
          <w:b/>
          <w:u w:val="single"/>
        </w:rPr>
        <w:t>A.</w:t>
      </w:r>
      <w:r w:rsidRPr="007A76DB">
        <w:rPr>
          <w:u w:val="single"/>
        </w:rPr>
        <w:t xml:space="preserve"> </w:t>
      </w:r>
      <w:r w:rsidR="004E142A" w:rsidRPr="007A76DB">
        <w:rPr>
          <w:b/>
          <w:u w:val="single"/>
        </w:rPr>
        <w:t>Department of Business and Professional Regulation</w:t>
      </w:r>
      <w:r w:rsidR="007A76DB" w:rsidRPr="007A76DB">
        <w:rPr>
          <w:b/>
          <w:u w:val="single"/>
        </w:rPr>
        <w:t>:</w:t>
      </w:r>
      <w:r w:rsidR="00483127">
        <w:rPr>
          <w:b/>
          <w:u w:val="single"/>
        </w:rPr>
        <w:t xml:space="preserve"> </w:t>
      </w:r>
    </w:p>
    <w:p w:rsidR="00483127" w:rsidRPr="00483127" w:rsidRDefault="00483127" w:rsidP="00DE52F2">
      <w:pPr>
        <w:pStyle w:val="BlockText"/>
      </w:pPr>
      <w:r>
        <w:tab/>
      </w:r>
    </w:p>
    <w:p w:rsidR="002A7577" w:rsidRPr="00B36BD2" w:rsidRDefault="004E142A" w:rsidP="0008109E">
      <w:pPr>
        <w:pStyle w:val="BlockText"/>
        <w:numPr>
          <w:ilvl w:val="0"/>
          <w:numId w:val="11"/>
        </w:numPr>
        <w:rPr>
          <w:b/>
        </w:rPr>
      </w:pPr>
      <w:r w:rsidRPr="00897F26">
        <w:rPr>
          <w:b/>
          <w:u w:val="single"/>
        </w:rPr>
        <w:t>Construction Industry Licensing Board</w:t>
      </w:r>
      <w:r>
        <w:t xml:space="preserve"> – Chapter 489, Part I, FS and Chapter 61G4 FAC: </w:t>
      </w:r>
    </w:p>
    <w:p w:rsidR="00B36BD2" w:rsidRPr="002A7577" w:rsidRDefault="00B36BD2" w:rsidP="00B36BD2">
      <w:pPr>
        <w:pStyle w:val="BlockText"/>
        <w:ind w:left="1080"/>
        <w:rPr>
          <w:b/>
        </w:rPr>
      </w:pPr>
    </w:p>
    <w:p w:rsidR="0010255D" w:rsidRDefault="00FE4A4B" w:rsidP="0010255D">
      <w:pPr>
        <w:pStyle w:val="BlockText"/>
        <w:numPr>
          <w:ilvl w:val="1"/>
          <w:numId w:val="11"/>
        </w:numPr>
        <w:ind w:left="1800"/>
      </w:pPr>
      <w:r>
        <w:rPr>
          <w:b/>
          <w:u w:val="single"/>
        </w:rPr>
        <w:t>Rule Changes</w:t>
      </w:r>
      <w:r w:rsidR="004E142A">
        <w:t xml:space="preserve"> (if any)</w:t>
      </w:r>
      <w:r w:rsidR="00B754FE">
        <w:t>:</w:t>
      </w:r>
      <w:r w:rsidR="00076663">
        <w:t xml:space="preserve"> </w:t>
      </w:r>
    </w:p>
    <w:p w:rsidR="0010255D" w:rsidRDefault="0010255D" w:rsidP="0010255D">
      <w:pPr>
        <w:pStyle w:val="BlockText"/>
        <w:ind w:left="1980"/>
        <w:rPr>
          <w:b/>
          <w:u w:val="single"/>
        </w:rPr>
      </w:pPr>
    </w:p>
    <w:p w:rsidR="004A46B4" w:rsidRDefault="0010255D" w:rsidP="0010255D">
      <w:pPr>
        <w:pStyle w:val="BlockText"/>
        <w:ind w:left="1800"/>
      </w:pPr>
      <w:r>
        <w:rPr>
          <w:b/>
          <w:u w:val="single"/>
        </w:rPr>
        <w:t>NOTE:</w:t>
      </w:r>
      <w:r>
        <w:rPr>
          <w:b/>
        </w:rPr>
        <w:t xml:space="preserve"> </w:t>
      </w:r>
      <w:r w:rsidR="00076663">
        <w:t xml:space="preserve">The board will hold a rules workshop on August 12, 2016, in Jacksonville on a Petition for Rulemaking filed by the Florida Pool and Spa Association, requesting clarification of the scope of a pool contractor’s license with regard to replacing pool equipment </w:t>
      </w:r>
      <w:r>
        <w:t>that is operated by electricity.</w:t>
      </w:r>
    </w:p>
    <w:p w:rsidR="00076663" w:rsidRPr="004A46B4" w:rsidRDefault="00076663" w:rsidP="00897F26">
      <w:pPr>
        <w:pStyle w:val="BlockText"/>
        <w:ind w:left="1440"/>
        <w:rPr>
          <w:b/>
        </w:rPr>
      </w:pPr>
    </w:p>
    <w:p w:rsidR="004A46B4" w:rsidRDefault="004A46B4" w:rsidP="004A46B4">
      <w:pPr>
        <w:pStyle w:val="BlockText"/>
        <w:ind w:left="1800"/>
      </w:pPr>
    </w:p>
    <w:p w:rsidR="00A2704C" w:rsidRDefault="001D0770" w:rsidP="0010255D">
      <w:pPr>
        <w:pStyle w:val="BlockText"/>
        <w:ind w:left="1260" w:firstLine="540"/>
        <w:rPr>
          <w:b/>
        </w:rPr>
      </w:pPr>
      <w:r>
        <w:rPr>
          <w:b/>
        </w:rPr>
        <w:t>Rule 61G4-12.011</w:t>
      </w:r>
      <w:r w:rsidR="00A2704C">
        <w:rPr>
          <w:b/>
        </w:rPr>
        <w:t>:</w:t>
      </w:r>
    </w:p>
    <w:p w:rsidR="00B972A0" w:rsidRPr="00A2704C" w:rsidRDefault="00A2704C" w:rsidP="0010255D">
      <w:pPr>
        <w:pStyle w:val="BlockText"/>
        <w:ind w:left="1800"/>
        <w:rPr>
          <w:b/>
        </w:rPr>
      </w:pPr>
      <w:r>
        <w:t>The terms “active experience” and “proven experience,” and</w:t>
      </w:r>
      <w:r w:rsidR="00806FA9">
        <w:t xml:space="preserve"> the </w:t>
      </w:r>
      <w:r w:rsidR="0010255D">
        <w:t xml:space="preserve">items of work that </w:t>
      </w:r>
      <w:r w:rsidR="001D0770">
        <w:t>are not exempted from licensure under section 489.103(9) [“casual, minor, or inco</w:t>
      </w:r>
      <w:r w:rsidR="00FD4519">
        <w:t>nsequential], is to be clarified</w:t>
      </w:r>
      <w:r w:rsidR="001D0770">
        <w:t>, but the preliminary text of this rule change is not yet available.</w:t>
      </w:r>
    </w:p>
    <w:p w:rsidR="00FD4519" w:rsidRDefault="00FD4519" w:rsidP="002A2F20">
      <w:pPr>
        <w:pStyle w:val="BlockText"/>
        <w:ind w:left="1890"/>
      </w:pPr>
    </w:p>
    <w:p w:rsidR="00806FA9" w:rsidRDefault="00FE4A4B" w:rsidP="0010255D">
      <w:pPr>
        <w:pStyle w:val="BlockText"/>
        <w:ind w:left="1800"/>
      </w:pPr>
      <w:r>
        <w:rPr>
          <w:b/>
        </w:rPr>
        <w:t>Rule 61G4-15.001</w:t>
      </w:r>
      <w:r>
        <w:t xml:space="preserve">, </w:t>
      </w:r>
      <w:r w:rsidR="00806FA9">
        <w:t xml:space="preserve">regarding </w:t>
      </w:r>
      <w:r>
        <w:t>qualifications for work experience and verification, has been amended by the board, but have been objected to the Joint Administrative Procedures Committee (“JAPC”)</w:t>
      </w:r>
      <w:r w:rsidR="00FD4519">
        <w:t xml:space="preserve"> by letter dated December 15, 2015</w:t>
      </w:r>
      <w:r>
        <w:t>, and</w:t>
      </w:r>
      <w:r w:rsidR="00FD4519">
        <w:t xml:space="preserve"> the rule changes are not</w:t>
      </w:r>
      <w:r>
        <w:t xml:space="preserve"> effective until these objections have been addressed</w:t>
      </w:r>
      <w:r w:rsidR="00A2704C">
        <w:t>. In the meantime, the board has postponed changes to this rule.</w:t>
      </w:r>
    </w:p>
    <w:p w:rsidR="00F21C36" w:rsidRPr="001776E6" w:rsidRDefault="00F21C36" w:rsidP="00F21C36">
      <w:pPr>
        <w:pStyle w:val="BlockText"/>
        <w:tabs>
          <w:tab w:val="left" w:pos="1440"/>
          <w:tab w:val="left" w:pos="1980"/>
        </w:tabs>
        <w:rPr>
          <w:b/>
        </w:rPr>
      </w:pPr>
    </w:p>
    <w:p w:rsidR="00312017" w:rsidRDefault="00146910" w:rsidP="00312017">
      <w:pPr>
        <w:pStyle w:val="BlockText"/>
        <w:ind w:left="1890" w:hanging="450"/>
      </w:pPr>
      <w:r w:rsidRPr="00146910">
        <w:rPr>
          <w:b/>
        </w:rPr>
        <w:t>(b)</w:t>
      </w:r>
      <w:r>
        <w:t xml:space="preserve"> </w:t>
      </w:r>
      <w:r w:rsidR="00CC064D">
        <w:t xml:space="preserve"> </w:t>
      </w:r>
      <w:r w:rsidR="00A750A9" w:rsidRPr="00A750A9">
        <w:rPr>
          <w:b/>
          <w:u w:val="single"/>
        </w:rPr>
        <w:t>P</w:t>
      </w:r>
      <w:r w:rsidR="0032443B" w:rsidRPr="00A750A9">
        <w:rPr>
          <w:b/>
          <w:u w:val="single"/>
        </w:rPr>
        <w:t>etitions for Declaratory Statement</w:t>
      </w:r>
      <w:r w:rsidR="00A750A9">
        <w:t xml:space="preserve"> (if</w:t>
      </w:r>
      <w:r w:rsidR="00CC064D">
        <w:t xml:space="preserve"> </w:t>
      </w:r>
      <w:r w:rsidR="0032443B">
        <w:t>any):</w:t>
      </w:r>
    </w:p>
    <w:p w:rsidR="000E0782" w:rsidRDefault="000E0782" w:rsidP="00A2704C">
      <w:pPr>
        <w:pStyle w:val="BlockText"/>
      </w:pPr>
    </w:p>
    <w:p w:rsidR="00432932" w:rsidRDefault="000E0782" w:rsidP="00076663">
      <w:pPr>
        <w:pStyle w:val="BlockText"/>
        <w:ind w:left="1890" w:hanging="450"/>
      </w:pPr>
      <w:r>
        <w:tab/>
      </w:r>
      <w:r w:rsidR="00076663">
        <w:rPr>
          <w:b/>
        </w:rPr>
        <w:t xml:space="preserve">Charlie Deathridge </w:t>
      </w:r>
      <w:r w:rsidR="00076663">
        <w:t>– Petition filed on February 8, 2016, seeking a determination of the applicability of section 489.105 as it relates to the activities of installing ground anchors, utility poles and backfilling. By order entered on July 6, 2016, the board declined to answer because petitioner was not a substantially affected person and had no standing.</w:t>
      </w:r>
    </w:p>
    <w:p w:rsidR="00076663" w:rsidRDefault="00076663" w:rsidP="00076663">
      <w:pPr>
        <w:pStyle w:val="BlockText"/>
        <w:ind w:left="1890" w:hanging="450"/>
      </w:pPr>
    </w:p>
    <w:p w:rsidR="00076663" w:rsidRPr="00076663" w:rsidRDefault="00076663" w:rsidP="00076663">
      <w:pPr>
        <w:pStyle w:val="BlockText"/>
        <w:ind w:left="1890" w:hanging="450"/>
      </w:pPr>
      <w:r>
        <w:tab/>
      </w:r>
      <w:r w:rsidRPr="00076663">
        <w:rPr>
          <w:b/>
        </w:rPr>
        <w:t>Roger W. Feicht</w:t>
      </w:r>
      <w:r>
        <w:t xml:space="preserve"> – Petition filed on February 22, 2016, seeking a determination of the applicability of sections 455.227 (grounds for discipline) and 489.129 (disciplinary proceedings) based on conduct of a contractor that occurred in 2007, 2008 and 2009. By order entered on July 6, 2016, the board declined to answer because the petitioner was not substantially affected and did not have standing.</w:t>
      </w:r>
    </w:p>
    <w:p w:rsidR="00435681" w:rsidRDefault="00435681" w:rsidP="00133FBD">
      <w:pPr>
        <w:pStyle w:val="BlockText"/>
        <w:ind w:left="1890"/>
      </w:pPr>
    </w:p>
    <w:p w:rsidR="00EC608B" w:rsidRDefault="004C7BF4" w:rsidP="00EC608B">
      <w:pPr>
        <w:pStyle w:val="BlockText"/>
        <w:ind w:left="1890"/>
      </w:pPr>
      <w:r>
        <w:rPr>
          <w:b/>
        </w:rPr>
        <w:t>Larry Carnley</w:t>
      </w:r>
      <w:r>
        <w:t xml:space="preserve"> – Petition filed on April 5</w:t>
      </w:r>
      <w:r w:rsidR="00435681">
        <w:t>, 2016, seeki</w:t>
      </w:r>
      <w:r>
        <w:t xml:space="preserve">ng a determination of whether the scope of a pool/spa contractor’s license in performing electrical work, has </w:t>
      </w:r>
      <w:r w:rsidR="00EC608B">
        <w:t>not yet been scheduled for hearing.</w:t>
      </w:r>
    </w:p>
    <w:p w:rsidR="00217479" w:rsidRDefault="00217479" w:rsidP="00217479">
      <w:pPr>
        <w:pStyle w:val="BlockText"/>
        <w:ind w:left="1890"/>
      </w:pPr>
      <w:r w:rsidRPr="00217479">
        <w:rPr>
          <w:b/>
          <w:u w:val="single"/>
        </w:rPr>
        <w:t>Editor’s Note:</w:t>
      </w:r>
      <w:r>
        <w:t xml:space="preserve"> It is not likely that the board will address this petition in light of the Rules Workshop noted above.</w:t>
      </w:r>
    </w:p>
    <w:p w:rsidR="006E723E" w:rsidRDefault="006E723E" w:rsidP="00217479">
      <w:pPr>
        <w:pStyle w:val="BlockText"/>
        <w:ind w:left="1890"/>
      </w:pPr>
    </w:p>
    <w:p w:rsidR="00217479" w:rsidRDefault="00217479" w:rsidP="00133FBD">
      <w:pPr>
        <w:pStyle w:val="BlockText"/>
        <w:ind w:left="1890"/>
      </w:pPr>
    </w:p>
    <w:p w:rsidR="008C30E6" w:rsidRPr="009B4801" w:rsidRDefault="00217479" w:rsidP="00146910">
      <w:pPr>
        <w:pStyle w:val="BlockText"/>
        <w:ind w:left="1440"/>
        <w:rPr>
          <w:b/>
        </w:rPr>
      </w:pPr>
      <w:r w:rsidRPr="00146910">
        <w:rPr>
          <w:b/>
        </w:rPr>
        <w:t xml:space="preserve"> </w:t>
      </w:r>
      <w:r w:rsidR="00146910" w:rsidRPr="00146910">
        <w:rPr>
          <w:b/>
        </w:rPr>
        <w:t>(</w:t>
      </w:r>
      <w:r w:rsidR="00CC064D">
        <w:rPr>
          <w:b/>
        </w:rPr>
        <w:t>c</w:t>
      </w:r>
      <w:r w:rsidR="00146910" w:rsidRPr="00146910">
        <w:rPr>
          <w:b/>
        </w:rPr>
        <w:t>)</w:t>
      </w:r>
      <w:r w:rsidR="00146910">
        <w:t xml:space="preserve"> </w:t>
      </w:r>
      <w:r w:rsidR="00A750A9">
        <w:rPr>
          <w:b/>
        </w:rPr>
        <w:t xml:space="preserve"> </w:t>
      </w:r>
      <w:r w:rsidR="00A750A9" w:rsidRPr="00A750A9">
        <w:rPr>
          <w:b/>
          <w:u w:val="single"/>
        </w:rPr>
        <w:t>P</w:t>
      </w:r>
      <w:r w:rsidR="002558FB" w:rsidRPr="00A750A9">
        <w:rPr>
          <w:b/>
          <w:u w:val="single"/>
        </w:rPr>
        <w:t>etition</w:t>
      </w:r>
      <w:r w:rsidR="009F7BC1" w:rsidRPr="00A750A9">
        <w:rPr>
          <w:b/>
          <w:u w:val="single"/>
        </w:rPr>
        <w:t>s</w:t>
      </w:r>
      <w:r w:rsidR="004E142A" w:rsidRPr="00A750A9">
        <w:rPr>
          <w:b/>
          <w:u w:val="single"/>
        </w:rPr>
        <w:t xml:space="preserve"> for Va</w:t>
      </w:r>
      <w:r w:rsidR="0092555A" w:rsidRPr="00A750A9">
        <w:rPr>
          <w:b/>
          <w:u w:val="single"/>
        </w:rPr>
        <w:t>riance or Waiver</w:t>
      </w:r>
      <w:r w:rsidR="00BB6D12">
        <w:t xml:space="preserve"> (if any</w:t>
      </w:r>
      <w:r w:rsidR="00BB6D12" w:rsidRPr="009B4801">
        <w:t>):</w:t>
      </w:r>
      <w:r w:rsidR="00530BF1" w:rsidRPr="009B4801">
        <w:t xml:space="preserve"> </w:t>
      </w:r>
    </w:p>
    <w:p w:rsidR="003642F6" w:rsidRDefault="003642F6" w:rsidP="00217479">
      <w:pPr>
        <w:pStyle w:val="BlockText"/>
      </w:pPr>
    </w:p>
    <w:p w:rsidR="003642F6" w:rsidRDefault="00E6710A" w:rsidP="002A2F20">
      <w:pPr>
        <w:pStyle w:val="BlockText"/>
        <w:ind w:left="1890"/>
      </w:pPr>
      <w:r>
        <w:rPr>
          <w:b/>
        </w:rPr>
        <w:t>Richard Albert Stolte</w:t>
      </w:r>
      <w:r w:rsidR="003642F6">
        <w:t xml:space="preserve"> – Pet</w:t>
      </w:r>
      <w:r>
        <w:t>ition filed on April 12, 2016</w:t>
      </w:r>
      <w:r w:rsidR="003642F6">
        <w:t>, seeking a waiver of the rule</w:t>
      </w:r>
      <w:r>
        <w:t xml:space="preserve"> requiring a passing score on the Business and Finance Exam.</w:t>
      </w:r>
      <w:r w:rsidR="003642F6">
        <w:t xml:space="preserve"> </w:t>
      </w:r>
    </w:p>
    <w:p w:rsidR="00E6710A" w:rsidRDefault="00E6710A" w:rsidP="002A2F20">
      <w:pPr>
        <w:pStyle w:val="BlockText"/>
        <w:ind w:left="1890"/>
      </w:pPr>
    </w:p>
    <w:p w:rsidR="00E6710A" w:rsidRDefault="00E6710A" w:rsidP="002A2F20">
      <w:pPr>
        <w:pStyle w:val="BlockText"/>
        <w:ind w:left="1890"/>
      </w:pPr>
      <w:r w:rsidRPr="00E6710A">
        <w:rPr>
          <w:b/>
        </w:rPr>
        <w:t>Nolan Carl Sweeting</w:t>
      </w:r>
      <w:r>
        <w:t xml:space="preserve"> – Petition filed on May 11, 2016, seeking a waiver from the building contractor’s license examination until December 31, 2016.</w:t>
      </w:r>
    </w:p>
    <w:p w:rsidR="00217479" w:rsidRDefault="00217479" w:rsidP="002A2F20">
      <w:pPr>
        <w:pStyle w:val="BlockText"/>
        <w:ind w:left="1890"/>
      </w:pPr>
    </w:p>
    <w:p w:rsidR="00217479" w:rsidRDefault="00217479" w:rsidP="002A2F20">
      <w:pPr>
        <w:pStyle w:val="BlockText"/>
        <w:ind w:left="1890"/>
      </w:pPr>
      <w:r w:rsidRPr="00217479">
        <w:rPr>
          <w:b/>
        </w:rPr>
        <w:t>Scott Douglas Chambers</w:t>
      </w:r>
      <w:r>
        <w:t xml:space="preserve"> – Petition filed on July 15, 2016, seeking a waiver of the financial responsibility and stability requirements of Rule 61G4-15.006 in order to change the status of the petitioner license to that of a certified pool/spa servicing contractor.</w:t>
      </w:r>
    </w:p>
    <w:p w:rsidR="0067243A" w:rsidRDefault="0067243A" w:rsidP="002A2F20">
      <w:pPr>
        <w:pStyle w:val="BlockText"/>
        <w:ind w:left="1890"/>
      </w:pPr>
      <w:r w:rsidRPr="0067243A">
        <w:rPr>
          <w:b/>
          <w:u w:val="single"/>
        </w:rPr>
        <w:t>Editor’s Note</w:t>
      </w:r>
      <w:r w:rsidRPr="0067243A">
        <w:rPr>
          <w:u w:val="single"/>
        </w:rPr>
        <w:t>:</w:t>
      </w:r>
      <w:r>
        <w:t xml:space="preserve"> This petition currently holds a certified pool/spa contractor’s license, so such a change of status is a “downgrade.”</w:t>
      </w:r>
    </w:p>
    <w:p w:rsidR="008C30E6" w:rsidRDefault="008C30E6" w:rsidP="00201FC1">
      <w:pPr>
        <w:pStyle w:val="BlockText"/>
      </w:pPr>
    </w:p>
    <w:p w:rsidR="00E05588" w:rsidRDefault="004E142A" w:rsidP="00E05588">
      <w:pPr>
        <w:pStyle w:val="BlockText"/>
        <w:numPr>
          <w:ilvl w:val="0"/>
          <w:numId w:val="11"/>
        </w:numPr>
      </w:pPr>
      <w:r w:rsidRPr="00897F26">
        <w:rPr>
          <w:b/>
          <w:u w:val="single"/>
        </w:rPr>
        <w:t>Electrical Contracting Licensing Board</w:t>
      </w:r>
      <w:r>
        <w:t xml:space="preserve"> (includes both electricians and alarm contractors) – Chapter </w:t>
      </w:r>
      <w:r w:rsidR="00EF30B1">
        <w:t>489, Part II, FS and 61G6, FAC</w:t>
      </w:r>
      <w:r w:rsidR="00E6710A">
        <w:t>;</w:t>
      </w:r>
    </w:p>
    <w:p w:rsidR="00F2420F" w:rsidRDefault="00F2420F" w:rsidP="00F2420F">
      <w:pPr>
        <w:pStyle w:val="BlockText"/>
        <w:ind w:left="1080"/>
      </w:pPr>
    </w:p>
    <w:p w:rsidR="005510CD" w:rsidRDefault="006E723E" w:rsidP="00D9031C">
      <w:pPr>
        <w:pStyle w:val="BlockText"/>
        <w:numPr>
          <w:ilvl w:val="0"/>
          <w:numId w:val="21"/>
        </w:numPr>
        <w:tabs>
          <w:tab w:val="left" w:pos="1800"/>
          <w:tab w:val="left" w:pos="1890"/>
        </w:tabs>
        <w:ind w:left="2160" w:hanging="720"/>
      </w:pPr>
      <w:r>
        <w:rPr>
          <w:b/>
        </w:rPr>
        <w:t xml:space="preserve">  </w:t>
      </w:r>
      <w:r w:rsidR="00A750A9" w:rsidRPr="0067243A">
        <w:rPr>
          <w:b/>
          <w:u w:val="single"/>
        </w:rPr>
        <w:t>Rules</w:t>
      </w:r>
      <w:r w:rsidR="00FE4A4B" w:rsidRPr="0067243A">
        <w:rPr>
          <w:b/>
          <w:u w:val="single"/>
        </w:rPr>
        <w:t xml:space="preserve"> Changes</w:t>
      </w:r>
      <w:r w:rsidR="00BD45AE">
        <w:t xml:space="preserve"> (if any</w:t>
      </w:r>
      <w:r w:rsidR="0067243A">
        <w:t>): None noticed.</w:t>
      </w:r>
    </w:p>
    <w:p w:rsidR="0067243A" w:rsidRDefault="0067243A" w:rsidP="0067243A">
      <w:pPr>
        <w:pStyle w:val="BlockText"/>
        <w:tabs>
          <w:tab w:val="left" w:pos="1800"/>
          <w:tab w:val="left" w:pos="1890"/>
        </w:tabs>
        <w:ind w:left="2160"/>
      </w:pPr>
    </w:p>
    <w:p w:rsidR="00A110DD" w:rsidRDefault="006E723E" w:rsidP="00A750A9">
      <w:pPr>
        <w:pStyle w:val="BlockText"/>
        <w:numPr>
          <w:ilvl w:val="0"/>
          <w:numId w:val="21"/>
        </w:numPr>
        <w:tabs>
          <w:tab w:val="left" w:pos="1800"/>
        </w:tabs>
        <w:ind w:firstLine="720"/>
      </w:pPr>
      <w:r>
        <w:rPr>
          <w:b/>
        </w:rPr>
        <w:t xml:space="preserve">  </w:t>
      </w:r>
      <w:r w:rsidR="00A750A9" w:rsidRPr="00A750A9">
        <w:rPr>
          <w:b/>
          <w:u w:val="single"/>
        </w:rPr>
        <w:t>P</w:t>
      </w:r>
      <w:r w:rsidR="004E142A" w:rsidRPr="00A750A9">
        <w:rPr>
          <w:b/>
          <w:u w:val="single"/>
        </w:rPr>
        <w:t xml:space="preserve">etitions for </w:t>
      </w:r>
      <w:r w:rsidR="00CC064D" w:rsidRPr="00A750A9">
        <w:rPr>
          <w:b/>
          <w:u w:val="single"/>
        </w:rPr>
        <w:t xml:space="preserve">Declaratory </w:t>
      </w:r>
      <w:r w:rsidR="00DB4628" w:rsidRPr="00A750A9">
        <w:rPr>
          <w:b/>
          <w:u w:val="single"/>
        </w:rPr>
        <w:t xml:space="preserve">Statement </w:t>
      </w:r>
      <w:r w:rsidR="00400FFE">
        <w:t>(if</w:t>
      </w:r>
      <w:r w:rsidR="00CC064D">
        <w:t xml:space="preserve"> </w:t>
      </w:r>
      <w:r w:rsidR="00DB4628">
        <w:t>any):</w:t>
      </w:r>
      <w:r w:rsidR="00360AA3">
        <w:t xml:space="preserve"> </w:t>
      </w:r>
      <w:r w:rsidR="004813C0">
        <w:t>None noticed.</w:t>
      </w:r>
    </w:p>
    <w:p w:rsidR="00360D91" w:rsidRDefault="00360D91" w:rsidP="00E71158">
      <w:pPr>
        <w:pStyle w:val="BlockText"/>
      </w:pPr>
    </w:p>
    <w:p w:rsidR="00595D13" w:rsidRDefault="00A750A9" w:rsidP="006E723E">
      <w:pPr>
        <w:pStyle w:val="BlockText"/>
        <w:numPr>
          <w:ilvl w:val="0"/>
          <w:numId w:val="21"/>
        </w:numPr>
        <w:ind w:left="1890" w:hanging="450"/>
      </w:pPr>
      <w:r w:rsidRPr="00A750A9">
        <w:rPr>
          <w:b/>
          <w:u w:val="single"/>
        </w:rPr>
        <w:t>P</w:t>
      </w:r>
      <w:r w:rsidR="004E142A" w:rsidRPr="00A750A9">
        <w:rPr>
          <w:b/>
          <w:u w:val="single"/>
        </w:rPr>
        <w:t xml:space="preserve">etitions for </w:t>
      </w:r>
      <w:r w:rsidR="009E2A70" w:rsidRPr="00A750A9">
        <w:rPr>
          <w:b/>
          <w:u w:val="single"/>
        </w:rPr>
        <w:t>Va</w:t>
      </w:r>
      <w:r w:rsidR="00CB169A" w:rsidRPr="00A750A9">
        <w:rPr>
          <w:b/>
          <w:u w:val="single"/>
        </w:rPr>
        <w:t>riance or Waiver</w:t>
      </w:r>
      <w:r w:rsidR="00CB169A">
        <w:t xml:space="preserve"> </w:t>
      </w:r>
      <w:r w:rsidR="00DB4628">
        <w:t>(if any</w:t>
      </w:r>
      <w:r w:rsidR="006960B4">
        <w:t xml:space="preserve">): </w:t>
      </w:r>
      <w:r w:rsidR="00E6710A" w:rsidRPr="006E723E">
        <w:rPr>
          <w:b/>
        </w:rPr>
        <w:t>Nathan Macksey</w:t>
      </w:r>
      <w:r w:rsidR="00E6710A">
        <w:t xml:space="preserve"> – Petition filed on June 23</w:t>
      </w:r>
      <w:r w:rsidR="00595D13">
        <w:t>, 2016, seeking a waiver of the rule that examination scores are valid only for a period of two (2) years.</w:t>
      </w:r>
    </w:p>
    <w:p w:rsidR="00802164" w:rsidRPr="00F917FF" w:rsidRDefault="00802164" w:rsidP="00595D13">
      <w:pPr>
        <w:pStyle w:val="BlockText"/>
      </w:pPr>
    </w:p>
    <w:p w:rsidR="004E142A" w:rsidRDefault="004E142A" w:rsidP="007B2FC8">
      <w:pPr>
        <w:pStyle w:val="BlockText"/>
        <w:numPr>
          <w:ilvl w:val="0"/>
          <w:numId w:val="11"/>
        </w:numPr>
      </w:pPr>
      <w:r w:rsidRPr="006D1C4E">
        <w:rPr>
          <w:b/>
          <w:u w:val="single"/>
        </w:rPr>
        <w:t>Board of Architecture and Interior Design</w:t>
      </w:r>
      <w:r>
        <w:t xml:space="preserve"> – Chapter 481, Part I, FS and 61G1 FAC: </w:t>
      </w:r>
    </w:p>
    <w:p w:rsidR="004E142A" w:rsidRDefault="004E142A" w:rsidP="004E142A">
      <w:pPr>
        <w:pStyle w:val="BlockText"/>
        <w:ind w:left="1080"/>
      </w:pPr>
    </w:p>
    <w:p w:rsidR="00AC4FD0" w:rsidRDefault="00A750A9" w:rsidP="00CC064D">
      <w:pPr>
        <w:pStyle w:val="BlockText"/>
        <w:numPr>
          <w:ilvl w:val="1"/>
          <w:numId w:val="11"/>
        </w:numPr>
        <w:tabs>
          <w:tab w:val="left" w:pos="1710"/>
        </w:tabs>
        <w:ind w:hanging="540"/>
      </w:pPr>
      <w:r>
        <w:rPr>
          <w:b/>
          <w:u w:val="single"/>
        </w:rPr>
        <w:lastRenderedPageBreak/>
        <w:t>Rules</w:t>
      </w:r>
      <w:r w:rsidR="00FE4A4B">
        <w:rPr>
          <w:b/>
          <w:u w:val="single"/>
        </w:rPr>
        <w:t xml:space="preserve"> Changes</w:t>
      </w:r>
      <w:r w:rsidR="00297D0C">
        <w:t xml:space="preserve"> (if any)</w:t>
      </w:r>
      <w:r w:rsidR="000B1E71">
        <w:t xml:space="preserve">: </w:t>
      </w:r>
      <w:r w:rsidR="0019337F">
        <w:t>None noticed.</w:t>
      </w:r>
    </w:p>
    <w:p w:rsidR="009D0597" w:rsidRDefault="009D0597" w:rsidP="009D0597">
      <w:pPr>
        <w:pStyle w:val="BlockText"/>
        <w:tabs>
          <w:tab w:val="left" w:pos="1710"/>
        </w:tabs>
        <w:ind w:left="1800"/>
      </w:pPr>
    </w:p>
    <w:p w:rsidR="00CC064D" w:rsidRDefault="00A750A9" w:rsidP="00A750A9">
      <w:pPr>
        <w:pStyle w:val="BlockText"/>
        <w:numPr>
          <w:ilvl w:val="1"/>
          <w:numId w:val="11"/>
        </w:numPr>
        <w:ind w:hanging="540"/>
      </w:pPr>
      <w:r w:rsidRPr="00FE4A4B">
        <w:rPr>
          <w:b/>
          <w:u w:val="single"/>
        </w:rPr>
        <w:t>P</w:t>
      </w:r>
      <w:r w:rsidR="004E142A" w:rsidRPr="00FE4A4B">
        <w:rPr>
          <w:b/>
          <w:u w:val="single"/>
        </w:rPr>
        <w:t xml:space="preserve">etitions for Declaratory </w:t>
      </w:r>
      <w:r w:rsidR="004E142A" w:rsidRPr="00A750A9">
        <w:rPr>
          <w:b/>
          <w:u w:val="single"/>
        </w:rPr>
        <w:t>Statement</w:t>
      </w:r>
      <w:r>
        <w:t xml:space="preserve"> (if any):</w:t>
      </w:r>
      <w:r w:rsidR="0019337F">
        <w:t xml:space="preserve"> None noticed.</w:t>
      </w:r>
    </w:p>
    <w:p w:rsidR="00CC064D" w:rsidRDefault="00CC064D" w:rsidP="00CC064D">
      <w:pPr>
        <w:pStyle w:val="ListParagraph"/>
        <w:rPr>
          <w:u w:val="single"/>
        </w:rPr>
      </w:pPr>
    </w:p>
    <w:p w:rsidR="009D0597" w:rsidRDefault="00A750A9" w:rsidP="00CC064D">
      <w:pPr>
        <w:pStyle w:val="BlockText"/>
        <w:numPr>
          <w:ilvl w:val="1"/>
          <w:numId w:val="11"/>
        </w:numPr>
        <w:ind w:hanging="540"/>
      </w:pPr>
      <w:r w:rsidRPr="00A750A9">
        <w:rPr>
          <w:b/>
          <w:u w:val="single"/>
        </w:rPr>
        <w:t>P</w:t>
      </w:r>
      <w:r w:rsidR="004E142A" w:rsidRPr="00A750A9">
        <w:rPr>
          <w:b/>
          <w:u w:val="single"/>
        </w:rPr>
        <w:t>etitions f</w:t>
      </w:r>
      <w:r w:rsidR="00273404" w:rsidRPr="00A750A9">
        <w:rPr>
          <w:b/>
          <w:u w:val="single"/>
        </w:rPr>
        <w:t>or Variance or Waiver</w:t>
      </w:r>
      <w:r w:rsidR="00273404">
        <w:t xml:space="preserve"> (if any):</w:t>
      </w:r>
      <w:r w:rsidR="0019337F">
        <w:t xml:space="preserve"> None noticed.</w:t>
      </w:r>
    </w:p>
    <w:p w:rsidR="004E2A5D" w:rsidRDefault="004E2A5D" w:rsidP="00AC4FD0">
      <w:pPr>
        <w:pStyle w:val="BlockText"/>
      </w:pPr>
    </w:p>
    <w:p w:rsidR="004E142A" w:rsidRDefault="004E142A" w:rsidP="00FA53DC">
      <w:pPr>
        <w:pStyle w:val="BlockText"/>
        <w:numPr>
          <w:ilvl w:val="0"/>
          <w:numId w:val="11"/>
        </w:numPr>
      </w:pPr>
      <w:r w:rsidRPr="00E519F0">
        <w:rPr>
          <w:b/>
          <w:u w:val="single"/>
        </w:rPr>
        <w:t>Board of Professional Engineers</w:t>
      </w:r>
      <w:r>
        <w:t xml:space="preserve"> – Chapter 471, FS and 61G15 FAC: </w:t>
      </w:r>
    </w:p>
    <w:p w:rsidR="004E142A" w:rsidRDefault="004E142A" w:rsidP="004E142A">
      <w:pPr>
        <w:pStyle w:val="BlockText"/>
      </w:pPr>
    </w:p>
    <w:p w:rsidR="00010953" w:rsidRDefault="00FA53DC" w:rsidP="00FA53DC">
      <w:pPr>
        <w:pStyle w:val="BlockText"/>
        <w:ind w:left="1800" w:hanging="360"/>
      </w:pPr>
      <w:r>
        <w:rPr>
          <w:b/>
        </w:rPr>
        <w:t xml:space="preserve">(a) </w:t>
      </w:r>
      <w:r w:rsidR="00CC064D">
        <w:t xml:space="preserve">   </w:t>
      </w:r>
      <w:r w:rsidR="00FE4A4B" w:rsidRPr="00FE4A4B">
        <w:rPr>
          <w:b/>
          <w:u w:val="single"/>
        </w:rPr>
        <w:t>Rules Changes</w:t>
      </w:r>
      <w:r w:rsidR="00FE4A4B">
        <w:rPr>
          <w:b/>
        </w:rPr>
        <w:t xml:space="preserve"> </w:t>
      </w:r>
      <w:r w:rsidR="00434B55">
        <w:t>(if any):</w:t>
      </w:r>
      <w:r w:rsidR="00DD5289">
        <w:t xml:space="preserve"> </w:t>
      </w:r>
    </w:p>
    <w:p w:rsidR="00802164" w:rsidRDefault="00802164" w:rsidP="00577D3F">
      <w:pPr>
        <w:pStyle w:val="BlockText"/>
      </w:pPr>
    </w:p>
    <w:p w:rsidR="00577D3F" w:rsidRDefault="00577D3F" w:rsidP="00133FBD">
      <w:pPr>
        <w:pStyle w:val="BlockText"/>
        <w:ind w:left="1980"/>
        <w:rPr>
          <w:b/>
        </w:rPr>
      </w:pPr>
      <w:r>
        <w:rPr>
          <w:b/>
        </w:rPr>
        <w:t>Rule 61G15-</w:t>
      </w:r>
      <w:r w:rsidR="00802164" w:rsidRPr="004B0BF0">
        <w:rPr>
          <w:b/>
        </w:rPr>
        <w:t>19.004</w:t>
      </w:r>
      <w:r w:rsidR="00802164">
        <w:t xml:space="preserve">, regarding grounds for disciplinary proceedings to </w:t>
      </w:r>
      <w:r>
        <w:t>delete the discretionary phrase “depending on the severity of the offense.”</w:t>
      </w:r>
      <w:r w:rsidRPr="00657721">
        <w:rPr>
          <w:b/>
        </w:rPr>
        <w:t xml:space="preserve"> </w:t>
      </w:r>
    </w:p>
    <w:p w:rsidR="00577D3F" w:rsidRDefault="00577D3F" w:rsidP="00133FBD">
      <w:pPr>
        <w:pStyle w:val="BlockText"/>
        <w:ind w:left="1980"/>
        <w:rPr>
          <w:b/>
        </w:rPr>
      </w:pPr>
    </w:p>
    <w:p w:rsidR="00657721" w:rsidRDefault="00577D3F" w:rsidP="00133FBD">
      <w:pPr>
        <w:pStyle w:val="BlockText"/>
        <w:ind w:left="1980"/>
      </w:pPr>
      <w:r>
        <w:rPr>
          <w:b/>
        </w:rPr>
        <w:t>Rule 61G15-24.001</w:t>
      </w:r>
      <w:r w:rsidR="00657721">
        <w:t xml:space="preserve"> </w:t>
      </w:r>
      <w:r>
        <w:t>to reduce licensure fees and established fees for CE courses.</w:t>
      </w:r>
    </w:p>
    <w:p w:rsidR="0019337F" w:rsidRDefault="0019337F" w:rsidP="00577D3F">
      <w:pPr>
        <w:pStyle w:val="BlockText"/>
        <w:tabs>
          <w:tab w:val="left" w:pos="1620"/>
        </w:tabs>
        <w:rPr>
          <w:b/>
        </w:rPr>
      </w:pPr>
    </w:p>
    <w:p w:rsidR="00E3126D" w:rsidRDefault="0019337F" w:rsidP="00CC064D">
      <w:pPr>
        <w:pStyle w:val="BlockText"/>
        <w:tabs>
          <w:tab w:val="left" w:pos="1620"/>
        </w:tabs>
        <w:ind w:left="1980" w:hanging="540"/>
      </w:pPr>
      <w:r>
        <w:rPr>
          <w:b/>
        </w:rPr>
        <w:t xml:space="preserve"> </w:t>
      </w:r>
      <w:r w:rsidR="007F7B3F">
        <w:rPr>
          <w:b/>
        </w:rPr>
        <w:t xml:space="preserve">(b) </w:t>
      </w:r>
      <w:r w:rsidR="00CC064D">
        <w:rPr>
          <w:b/>
        </w:rPr>
        <w:t xml:space="preserve"> </w:t>
      </w:r>
      <w:r w:rsidR="009E2A70" w:rsidRPr="00A750A9">
        <w:rPr>
          <w:b/>
          <w:u w:val="single"/>
        </w:rPr>
        <w:t xml:space="preserve">Petitions for </w:t>
      </w:r>
      <w:r w:rsidR="00052694" w:rsidRPr="00A750A9">
        <w:rPr>
          <w:b/>
          <w:u w:val="single"/>
        </w:rPr>
        <w:t>Declaratory Statement</w:t>
      </w:r>
      <w:r w:rsidR="00003119">
        <w:t xml:space="preserve"> (if any</w:t>
      </w:r>
      <w:r w:rsidR="00A750A9">
        <w:t>):</w:t>
      </w:r>
      <w:r w:rsidR="004B0BF0">
        <w:t xml:space="preserve"> Mr. and Mrs. Tom Shoquist, seeking a determination of whether one-site inspections to determine the percentage of work completed and compliance with drawings and specifications on a new, permitted construction project, is required to be performed by a licensed engineer or </w:t>
      </w:r>
      <w:r w:rsidR="006F3FB3">
        <w:t>architect</w:t>
      </w:r>
      <w:r w:rsidR="004B0BF0">
        <w:t>.</w:t>
      </w:r>
      <w:r w:rsidR="00577D3F">
        <w:t xml:space="preserve"> By order filed on April 14, 2016, the petitioner’s motion to </w:t>
      </w:r>
      <w:r w:rsidR="00577D3F" w:rsidRPr="00577D3F">
        <w:rPr>
          <w:b/>
        </w:rPr>
        <w:t>withdraw</w:t>
      </w:r>
      <w:r w:rsidR="00577D3F">
        <w:t xml:space="preserve"> this petition was granted.</w:t>
      </w:r>
    </w:p>
    <w:p w:rsidR="000B0D3F" w:rsidRDefault="000B0D3F" w:rsidP="000B0D3F">
      <w:pPr>
        <w:pStyle w:val="BlockText"/>
        <w:ind w:left="1800"/>
      </w:pPr>
    </w:p>
    <w:p w:rsidR="00CC1B0F" w:rsidRDefault="007F7B3F" w:rsidP="00CC064D">
      <w:pPr>
        <w:pStyle w:val="BlockText"/>
        <w:ind w:left="2250" w:hanging="810"/>
      </w:pPr>
      <w:r>
        <w:rPr>
          <w:b/>
        </w:rPr>
        <w:t>(c)</w:t>
      </w:r>
      <w:r w:rsidR="00CC064D">
        <w:t xml:space="preserve">  </w:t>
      </w:r>
      <w:r w:rsidR="00A750A9">
        <w:t xml:space="preserve">  </w:t>
      </w:r>
      <w:r w:rsidR="000B0D3F" w:rsidRPr="00A750A9">
        <w:rPr>
          <w:b/>
          <w:u w:val="single"/>
        </w:rPr>
        <w:t>Petitions for Variance or Waiver</w:t>
      </w:r>
      <w:r w:rsidR="000B0D3F">
        <w:t xml:space="preserve"> (i</w:t>
      </w:r>
      <w:r w:rsidR="00B73DBD">
        <w:t>f any):</w:t>
      </w:r>
      <w:r w:rsidR="00034306">
        <w:t xml:space="preserve"> </w:t>
      </w:r>
    </w:p>
    <w:p w:rsidR="00F505EF" w:rsidRDefault="00F505EF" w:rsidP="00CC064D">
      <w:pPr>
        <w:pStyle w:val="BlockText"/>
        <w:ind w:left="2250" w:hanging="810"/>
      </w:pPr>
    </w:p>
    <w:p w:rsidR="00577D3F" w:rsidRDefault="00577D3F" w:rsidP="00F505EF">
      <w:pPr>
        <w:pStyle w:val="BlockText"/>
        <w:ind w:left="1919"/>
      </w:pPr>
      <w:r>
        <w:rPr>
          <w:b/>
        </w:rPr>
        <w:t xml:space="preserve">Julian B. Irby </w:t>
      </w:r>
      <w:r>
        <w:t>–</w:t>
      </w:r>
      <w:r w:rsidR="00651011">
        <w:t xml:space="preserve"> Petition </w:t>
      </w:r>
      <w:r>
        <w:t xml:space="preserve">filed on January 19, 2016, seeking a </w:t>
      </w:r>
      <w:r w:rsidR="00651011">
        <w:t>waiver</w:t>
      </w:r>
      <w:r>
        <w:t xml:space="preserve"> of Rule 61G15-23.003(1) requiring that engineering documents be signed by “hand.” By order filed o</w:t>
      </w:r>
      <w:r w:rsidR="00651011">
        <w:t>n March 1, 2016, the board granted the waiver based on undue hardship.</w:t>
      </w:r>
    </w:p>
    <w:p w:rsidR="00651011" w:rsidRDefault="00651011" w:rsidP="00F505EF">
      <w:pPr>
        <w:pStyle w:val="BlockText"/>
        <w:ind w:left="1919"/>
      </w:pPr>
    </w:p>
    <w:p w:rsidR="00651011" w:rsidRDefault="00651011" w:rsidP="00F505EF">
      <w:pPr>
        <w:pStyle w:val="BlockText"/>
        <w:ind w:left="1919"/>
      </w:pPr>
      <w:r w:rsidRPr="00651011">
        <w:rPr>
          <w:b/>
        </w:rPr>
        <w:t>Adriana Jaegerman</w:t>
      </w:r>
      <w:r>
        <w:t xml:space="preserve"> – Petition filed on January 21, 2016, seeking a waiver of Rule 61G15-35.000(1) requiring that relevant experience be gained with seven (7) years of the application. By order filed on February 11, 2016, the board granted petitioner’s request to </w:t>
      </w:r>
      <w:r w:rsidRPr="00651011">
        <w:rPr>
          <w:b/>
        </w:rPr>
        <w:t>withdraw</w:t>
      </w:r>
      <w:r>
        <w:t xml:space="preserve"> the petition.</w:t>
      </w:r>
    </w:p>
    <w:p w:rsidR="00B96236" w:rsidRDefault="00B96236" w:rsidP="00F505EF">
      <w:pPr>
        <w:pStyle w:val="BlockText"/>
        <w:ind w:left="1919"/>
      </w:pPr>
    </w:p>
    <w:p w:rsidR="00B96236" w:rsidRDefault="00B96236" w:rsidP="00B96236">
      <w:pPr>
        <w:pStyle w:val="BlockText"/>
        <w:ind w:left="1919"/>
      </w:pPr>
      <w:r w:rsidRPr="00B96236">
        <w:rPr>
          <w:b/>
        </w:rPr>
        <w:t>Olof H. Jacobson</w:t>
      </w:r>
      <w:r>
        <w:t xml:space="preserve"> – Petition filed on May 11, 2016, seeking a </w:t>
      </w:r>
      <w:r w:rsidR="00B633E7">
        <w:t>waiver</w:t>
      </w:r>
      <w:r>
        <w:t xml:space="preserve"> of Rule 61G15-21.001(1) (a) and licensure by endorsement. By order filed on July 5, 2016, the board granted the petition because the petitioner meet the purpose of the underlying statute by passage of a state Fundamentals of Engineering and Principals Exam, which is substantially equivalent to Parts I and II of the NCEES licensure exam.</w:t>
      </w:r>
    </w:p>
    <w:p w:rsidR="00651011" w:rsidRDefault="00651011" w:rsidP="00F505EF">
      <w:pPr>
        <w:pStyle w:val="BlockText"/>
        <w:ind w:left="1919"/>
      </w:pPr>
    </w:p>
    <w:p w:rsidR="00651011" w:rsidRDefault="00651011" w:rsidP="00F505EF">
      <w:pPr>
        <w:pStyle w:val="BlockText"/>
        <w:ind w:left="1919"/>
      </w:pPr>
      <w:r w:rsidRPr="00FD690E">
        <w:rPr>
          <w:b/>
        </w:rPr>
        <w:t>Wassin Naguib</w:t>
      </w:r>
      <w:r w:rsidR="00B96236">
        <w:t xml:space="preserve"> – P</w:t>
      </w:r>
      <w:r>
        <w:t xml:space="preserve">etition filed on May 17, 2016, seeking a waiver of </w:t>
      </w:r>
      <w:r>
        <w:br/>
        <w:t>Rule 61G15-20.007(5) and allowing petitioner to be licensed by endorsement. By order filed on July 5, 2016, the petition was denied for failure to meet the purpose of the underlying statute by other means.</w:t>
      </w:r>
    </w:p>
    <w:p w:rsidR="00651011" w:rsidRDefault="00651011" w:rsidP="00F505EF">
      <w:pPr>
        <w:pStyle w:val="BlockText"/>
        <w:ind w:left="1919"/>
      </w:pPr>
    </w:p>
    <w:p w:rsidR="00651011" w:rsidRDefault="00651011" w:rsidP="00651011">
      <w:pPr>
        <w:pStyle w:val="BlockText"/>
        <w:ind w:left="1919"/>
      </w:pPr>
      <w:r w:rsidRPr="00FD690E">
        <w:rPr>
          <w:b/>
        </w:rPr>
        <w:t>David Bush</w:t>
      </w:r>
      <w:r w:rsidR="00B96236">
        <w:t xml:space="preserve"> – P</w:t>
      </w:r>
      <w:r>
        <w:t>etition filed on May 18, 2016, seeking a waiver</w:t>
      </w:r>
      <w:r w:rsidRPr="00FD690E">
        <w:t xml:space="preserve"> </w:t>
      </w:r>
      <w:r>
        <w:t>of Rule 61G15-21.001(1)</w:t>
      </w:r>
      <w:r w:rsidR="00B96236">
        <w:t xml:space="preserve"> </w:t>
      </w:r>
      <w:r>
        <w:t xml:space="preserve">(a) and licensure by endorsement. By order filed on July 5, 2016, the </w:t>
      </w:r>
      <w:r>
        <w:lastRenderedPageBreak/>
        <w:t>board granted the petition because the petitioner meet the purpose of the underlying statute by passage of a state Fundamentals of Engineering and Principals Exam</w:t>
      </w:r>
      <w:r w:rsidR="00B96236">
        <w:t>, which is substantially equivalent to Parts I and II of the NCEES licensure exam.</w:t>
      </w:r>
    </w:p>
    <w:p w:rsidR="00B633E7" w:rsidRDefault="00B633E7" w:rsidP="00651011">
      <w:pPr>
        <w:pStyle w:val="BlockText"/>
        <w:ind w:left="1919"/>
      </w:pPr>
    </w:p>
    <w:p w:rsidR="00B96236" w:rsidRDefault="00B96236" w:rsidP="00651011">
      <w:pPr>
        <w:pStyle w:val="BlockText"/>
        <w:ind w:left="1919"/>
      </w:pPr>
      <w:r>
        <w:rPr>
          <w:b/>
        </w:rPr>
        <w:t xml:space="preserve">Manoj Tadhani </w:t>
      </w:r>
      <w:r>
        <w:t>– Petition filed on August 1, 2016, seeking a waiver from Rule 61G15-20.007(3) requiring that CLEP courses be used to satisfy educational deficiencies in General Education but not in Math and Basic Science (to be heard by the board on August 18).</w:t>
      </w:r>
    </w:p>
    <w:p w:rsidR="00651011" w:rsidRPr="00577D3F" w:rsidRDefault="00651011" w:rsidP="00F505EF">
      <w:pPr>
        <w:pStyle w:val="BlockText"/>
        <w:ind w:left="1919"/>
      </w:pPr>
    </w:p>
    <w:p w:rsidR="00577D3F" w:rsidRPr="00B96236" w:rsidRDefault="00B96236" w:rsidP="00F505EF">
      <w:pPr>
        <w:pStyle w:val="BlockText"/>
        <w:ind w:left="1919"/>
      </w:pPr>
      <w:r>
        <w:rPr>
          <w:b/>
        </w:rPr>
        <w:t xml:space="preserve">Raghavender Joshi </w:t>
      </w:r>
      <w:r>
        <w:t>– Petition filed on August 3, 2016 seeking a waiver of Rule 61G15-20.007(1) (b) requiring that applicants for licensure with non EAC/ABET accredited degrees demonstrate 9 hours of general education credit (to be heard by the board on August 18).</w:t>
      </w:r>
    </w:p>
    <w:p w:rsidR="000B0D3F" w:rsidRDefault="000B0D3F" w:rsidP="000B0D3F">
      <w:pPr>
        <w:pStyle w:val="BlockText"/>
      </w:pPr>
    </w:p>
    <w:p w:rsidR="004E142A" w:rsidRDefault="004E142A" w:rsidP="00FA53DC">
      <w:pPr>
        <w:pStyle w:val="BlockText"/>
        <w:numPr>
          <w:ilvl w:val="0"/>
          <w:numId w:val="11"/>
        </w:numPr>
      </w:pPr>
      <w:r w:rsidRPr="00E519F0">
        <w:rPr>
          <w:b/>
          <w:u w:val="single"/>
        </w:rPr>
        <w:t>Building Code Administrators and Inspectors</w:t>
      </w:r>
      <w:r w:rsidRPr="00E519F0">
        <w:rPr>
          <w:b/>
        </w:rPr>
        <w:t xml:space="preserve"> Board</w:t>
      </w:r>
      <w:r>
        <w:t xml:space="preserve"> – Chapt</w:t>
      </w:r>
      <w:r w:rsidR="00E3126D">
        <w:t>er 468, Part XII and 61G19 FAC:</w:t>
      </w:r>
    </w:p>
    <w:p w:rsidR="004E142A" w:rsidRDefault="004E142A" w:rsidP="004E142A">
      <w:pPr>
        <w:pStyle w:val="BlockText"/>
        <w:ind w:left="1440"/>
      </w:pPr>
    </w:p>
    <w:p w:rsidR="003E1169" w:rsidRDefault="007B0198" w:rsidP="00FA53DC">
      <w:pPr>
        <w:pStyle w:val="BlockText"/>
        <w:numPr>
          <w:ilvl w:val="1"/>
          <w:numId w:val="11"/>
        </w:numPr>
        <w:ind w:left="1800"/>
      </w:pPr>
      <w:r>
        <w:t xml:space="preserve">  </w:t>
      </w:r>
      <w:r w:rsidR="00212AD9">
        <w:rPr>
          <w:b/>
          <w:u w:val="single"/>
        </w:rPr>
        <w:t>Rul</w:t>
      </w:r>
      <w:r w:rsidR="00FE4A4B">
        <w:rPr>
          <w:b/>
          <w:u w:val="single"/>
        </w:rPr>
        <w:t>e Changes</w:t>
      </w:r>
      <w:r w:rsidR="00212AD9">
        <w:rPr>
          <w:b/>
          <w:u w:val="single"/>
        </w:rPr>
        <w:t>:</w:t>
      </w:r>
      <w:r w:rsidR="00212AD9">
        <w:rPr>
          <w:b/>
        </w:rPr>
        <w:t xml:space="preserve"> </w:t>
      </w:r>
      <w:r w:rsidR="00E1125C">
        <w:t>(if</w:t>
      </w:r>
      <w:r w:rsidR="00E519F0">
        <w:t xml:space="preserve"> </w:t>
      </w:r>
      <w:r w:rsidR="00E1125C">
        <w:t>any):</w:t>
      </w:r>
      <w:r w:rsidR="00523A7F">
        <w:t xml:space="preserve"> None noticed.</w:t>
      </w:r>
    </w:p>
    <w:p w:rsidR="00E436A7" w:rsidRDefault="00E436A7" w:rsidP="00E436A7">
      <w:pPr>
        <w:pStyle w:val="BlockText"/>
        <w:ind w:left="1800"/>
      </w:pPr>
    </w:p>
    <w:p w:rsidR="001358A0" w:rsidRDefault="00835EE6" w:rsidP="00516796">
      <w:pPr>
        <w:pStyle w:val="BlockText"/>
        <w:numPr>
          <w:ilvl w:val="1"/>
          <w:numId w:val="11"/>
        </w:numPr>
        <w:ind w:left="1800"/>
      </w:pPr>
      <w:r>
        <w:t xml:space="preserve">  </w:t>
      </w:r>
      <w:r w:rsidR="004E142A" w:rsidRPr="005E2FA8">
        <w:rPr>
          <w:b/>
          <w:u w:val="single"/>
        </w:rPr>
        <w:t>Petitions for Declaratory Statement</w:t>
      </w:r>
      <w:r w:rsidR="004E142A">
        <w:t xml:space="preserve"> (if any</w:t>
      </w:r>
      <w:r w:rsidR="001358A0">
        <w:t>):</w:t>
      </w:r>
      <w:r w:rsidR="00523A7F">
        <w:t xml:space="preserve"> None noticed.</w:t>
      </w:r>
    </w:p>
    <w:p w:rsidR="001A1C5D" w:rsidRDefault="001A1C5D" w:rsidP="00B01391">
      <w:pPr>
        <w:pStyle w:val="BlockText"/>
        <w:tabs>
          <w:tab w:val="left" w:pos="1710"/>
        </w:tabs>
      </w:pPr>
    </w:p>
    <w:p w:rsidR="00516796" w:rsidRDefault="004E142A" w:rsidP="00567F82">
      <w:pPr>
        <w:pStyle w:val="BlockText"/>
        <w:numPr>
          <w:ilvl w:val="1"/>
          <w:numId w:val="11"/>
        </w:numPr>
        <w:ind w:left="1890" w:hanging="450"/>
      </w:pPr>
      <w:r w:rsidRPr="0090548D">
        <w:rPr>
          <w:b/>
          <w:u w:val="single"/>
        </w:rPr>
        <w:t>Petitions for Variance or Waiver</w:t>
      </w:r>
      <w:r w:rsidR="005D7FBD">
        <w:t xml:space="preserve"> (if any):</w:t>
      </w:r>
      <w:r w:rsidR="00B77A8C">
        <w:t xml:space="preserve"> None noticed.</w:t>
      </w:r>
    </w:p>
    <w:p w:rsidR="00516796" w:rsidRDefault="00516796" w:rsidP="00516796">
      <w:pPr>
        <w:pStyle w:val="BlockText"/>
        <w:ind w:left="1890"/>
      </w:pPr>
    </w:p>
    <w:p w:rsidR="00595D13" w:rsidRDefault="004E142A" w:rsidP="009A0A9B">
      <w:pPr>
        <w:pStyle w:val="BlockText"/>
        <w:numPr>
          <w:ilvl w:val="0"/>
          <w:numId w:val="11"/>
        </w:numPr>
      </w:pPr>
      <w:r w:rsidRPr="00403905">
        <w:rPr>
          <w:b/>
          <w:u w:val="single"/>
        </w:rPr>
        <w:t>Florida Building Commission</w:t>
      </w:r>
      <w:r>
        <w:rPr>
          <w:rStyle w:val="FootnoteReference"/>
          <w:u w:val="single"/>
        </w:rPr>
        <w:footnoteReference w:id="1"/>
      </w:r>
      <w:r>
        <w:t xml:space="preserve"> – Chapter 553, Part IV and Chapter 61G20, FAC): </w:t>
      </w:r>
    </w:p>
    <w:p w:rsidR="00523A7F" w:rsidRDefault="00C1101B" w:rsidP="003045D2">
      <w:pPr>
        <w:pStyle w:val="BlockText"/>
        <w:ind w:left="1080"/>
      </w:pPr>
      <w:r>
        <w:rPr>
          <w:b/>
          <w:u w:val="single"/>
        </w:rPr>
        <w:t>Note</w:t>
      </w:r>
      <w:r w:rsidRPr="00C1101B">
        <w:t>:</w:t>
      </w:r>
      <w:r w:rsidR="00595D13">
        <w:t xml:space="preserve"> T</w:t>
      </w:r>
      <w:r>
        <w:t>he</w:t>
      </w:r>
      <w:r w:rsidR="00595D13">
        <w:t xml:space="preserve"> current</w:t>
      </w:r>
      <w:r>
        <w:t xml:space="preserve"> Florida Building</w:t>
      </w:r>
      <w:r w:rsidR="00595D13">
        <w:t xml:space="preserve"> Code is</w:t>
      </w:r>
      <w:r>
        <w:t xml:space="preserve"> the 5</w:t>
      </w:r>
      <w:r w:rsidRPr="00C1101B">
        <w:rPr>
          <w:vertAlign w:val="superscript"/>
        </w:rPr>
        <w:t>th</w:t>
      </w:r>
      <w:r w:rsidR="00835E8C">
        <w:t xml:space="preserve"> edition (2014).</w:t>
      </w:r>
    </w:p>
    <w:p w:rsidR="00523A7F" w:rsidRPr="00FE4DEA" w:rsidRDefault="00523A7F" w:rsidP="003045D2">
      <w:pPr>
        <w:pStyle w:val="BlockText"/>
        <w:ind w:left="1080"/>
      </w:pPr>
    </w:p>
    <w:p w:rsidR="00E041E8" w:rsidRDefault="005E2FA8" w:rsidP="00FA53DC">
      <w:pPr>
        <w:pStyle w:val="BlockText"/>
        <w:numPr>
          <w:ilvl w:val="1"/>
          <w:numId w:val="11"/>
        </w:numPr>
        <w:ind w:hanging="540"/>
      </w:pPr>
      <w:r w:rsidRPr="005E2FA8">
        <w:rPr>
          <w:b/>
          <w:u w:val="single"/>
        </w:rPr>
        <w:t>Rule</w:t>
      </w:r>
      <w:r w:rsidR="00FE4A4B">
        <w:rPr>
          <w:b/>
          <w:u w:val="single"/>
        </w:rPr>
        <w:t xml:space="preserve"> Changes</w:t>
      </w:r>
      <w:r>
        <w:rPr>
          <w:b/>
        </w:rPr>
        <w:t xml:space="preserve"> </w:t>
      </w:r>
      <w:r w:rsidR="00E1125C">
        <w:t>(if any):</w:t>
      </w:r>
      <w:r w:rsidR="00AB69C6">
        <w:t xml:space="preserve"> </w:t>
      </w:r>
      <w:r w:rsidR="006F3FB3">
        <w:t>The commission has announced a series of meetings of its various Technical Advisory Committees (TACs) for the purpose of taking public input on changes to the 6</w:t>
      </w:r>
      <w:r w:rsidR="006F3FB3" w:rsidRPr="006F3FB3">
        <w:rPr>
          <w:vertAlign w:val="superscript"/>
        </w:rPr>
        <w:t>th</w:t>
      </w:r>
      <w:r w:rsidR="006F3FB3">
        <w:t xml:space="preserve"> edition (2017) of t</w:t>
      </w:r>
      <w:r w:rsidR="00403905">
        <w:t>he Florida Building Code.</w:t>
      </w:r>
    </w:p>
    <w:p w:rsidR="00403905" w:rsidRDefault="00403905" w:rsidP="00403905">
      <w:pPr>
        <w:pStyle w:val="BlockText"/>
        <w:ind w:left="1440"/>
      </w:pPr>
    </w:p>
    <w:p w:rsidR="00403905" w:rsidRPr="00567F82" w:rsidRDefault="00403905" w:rsidP="00403905">
      <w:pPr>
        <w:pStyle w:val="BlockText"/>
        <w:ind w:left="1980"/>
        <w:rPr>
          <w:b/>
          <w:u w:val="single"/>
        </w:rPr>
      </w:pPr>
      <w:r w:rsidRPr="00B656B4">
        <w:rPr>
          <w:b/>
        </w:rPr>
        <w:t>Rule 61G20-1.001</w:t>
      </w:r>
      <w:r>
        <w:t>, to make changes to the 5</w:t>
      </w:r>
      <w:r w:rsidRPr="00403905">
        <w:rPr>
          <w:vertAlign w:val="superscript"/>
        </w:rPr>
        <w:t>th</w:t>
      </w:r>
      <w:r>
        <w:t xml:space="preserve"> edition (2014) of the Florida Building Code</w:t>
      </w:r>
      <w:r w:rsidR="00835E8C">
        <w:t xml:space="preserve">, </w:t>
      </w:r>
      <w:r w:rsidR="00835E8C" w:rsidRPr="00835E8C">
        <w:rPr>
          <w:b/>
        </w:rPr>
        <w:t>effective June 8, 2016</w:t>
      </w:r>
      <w:r w:rsidR="00835E8C">
        <w:t>,</w:t>
      </w:r>
      <w:r>
        <w:t xml:space="preserve"> pursuant to Chapter 2016-129 and Chapter 2016-211, Laws of Florida.</w:t>
      </w:r>
      <w:r w:rsidR="00835E8C">
        <w:t xml:space="preserve"> </w:t>
      </w:r>
      <w:r w:rsidR="00835E8C" w:rsidRPr="00567F82">
        <w:rPr>
          <w:b/>
          <w:u w:val="single"/>
        </w:rPr>
        <w:t>The newly created Energy Rating Index Workgroup has completed its first meeting and is expected to make recommendations regarding “onsite renewable power generation” at the commission’s August 17</w:t>
      </w:r>
      <w:r w:rsidR="00835E8C" w:rsidRPr="00567F82">
        <w:rPr>
          <w:b/>
          <w:u w:val="single"/>
          <w:vertAlign w:val="superscript"/>
        </w:rPr>
        <w:t>th</w:t>
      </w:r>
      <w:r w:rsidR="00835E8C" w:rsidRPr="00567F82">
        <w:rPr>
          <w:b/>
          <w:u w:val="single"/>
        </w:rPr>
        <w:t xml:space="preserve"> meeting in Fort Lauderdale.</w:t>
      </w:r>
    </w:p>
    <w:p w:rsidR="00E041E8" w:rsidRDefault="00E041E8" w:rsidP="00B77A8C">
      <w:pPr>
        <w:pStyle w:val="BlockText"/>
      </w:pPr>
    </w:p>
    <w:p w:rsidR="007C1C60" w:rsidRPr="005E2FA8" w:rsidRDefault="00E1125C" w:rsidP="00FA53DC">
      <w:pPr>
        <w:pStyle w:val="BlockText"/>
        <w:numPr>
          <w:ilvl w:val="1"/>
          <w:numId w:val="11"/>
        </w:numPr>
        <w:ind w:hanging="540"/>
        <w:rPr>
          <w:b/>
          <w:u w:val="single"/>
        </w:rPr>
      </w:pPr>
      <w:r w:rsidRPr="005E2FA8">
        <w:rPr>
          <w:b/>
          <w:u w:val="single"/>
        </w:rPr>
        <w:t>Petition</w:t>
      </w:r>
      <w:r w:rsidR="00C05096" w:rsidRPr="005E2FA8">
        <w:rPr>
          <w:b/>
          <w:u w:val="single"/>
        </w:rPr>
        <w:t>(</w:t>
      </w:r>
      <w:r w:rsidRPr="005E2FA8">
        <w:rPr>
          <w:b/>
          <w:u w:val="single"/>
        </w:rPr>
        <w:t>s</w:t>
      </w:r>
      <w:r w:rsidR="00C05096" w:rsidRPr="005E2FA8">
        <w:rPr>
          <w:b/>
          <w:u w:val="single"/>
        </w:rPr>
        <w:t>)</w:t>
      </w:r>
      <w:r w:rsidRPr="005E2FA8">
        <w:rPr>
          <w:b/>
          <w:u w:val="single"/>
        </w:rPr>
        <w:t xml:space="preserve"> for </w:t>
      </w:r>
      <w:r w:rsidR="005E2FA8" w:rsidRPr="005E2FA8">
        <w:rPr>
          <w:b/>
          <w:u w:val="single"/>
        </w:rPr>
        <w:t>Declaratory Statement</w:t>
      </w:r>
      <w:r w:rsidR="005E2FA8">
        <w:rPr>
          <w:b/>
        </w:rPr>
        <w:t xml:space="preserve"> </w:t>
      </w:r>
      <w:r w:rsidR="005E2FA8">
        <w:t>(if any):</w:t>
      </w:r>
    </w:p>
    <w:p w:rsidR="00C1101B" w:rsidRDefault="00C1101B" w:rsidP="00B77A8C">
      <w:pPr>
        <w:pStyle w:val="BlockText"/>
      </w:pPr>
    </w:p>
    <w:p w:rsidR="00516796" w:rsidRDefault="00835E8C" w:rsidP="00516796">
      <w:pPr>
        <w:pStyle w:val="BlockText"/>
        <w:ind w:left="1980"/>
      </w:pPr>
      <w:r>
        <w:rPr>
          <w:b/>
        </w:rPr>
        <w:t>Patriot Plumbing Corp. of USA</w:t>
      </w:r>
      <w:r w:rsidR="00516796">
        <w:t xml:space="preserve"> – seeking a determinat</w:t>
      </w:r>
      <w:r>
        <w:t>ion of whether Section 405.3.1 of the Plumbing volume considers</w:t>
      </w:r>
      <w:r w:rsidR="00516796">
        <w:t xml:space="preserve"> </w:t>
      </w:r>
      <w:r>
        <w:t xml:space="preserve">the built out on the left corner of a bathtub </w:t>
      </w:r>
      <w:r w:rsidR="005A0848">
        <w:t xml:space="preserve">to be a sidewall or an obstruction. </w:t>
      </w:r>
    </w:p>
    <w:p w:rsidR="005A0848" w:rsidRDefault="005A0848" w:rsidP="005A0848">
      <w:pPr>
        <w:pStyle w:val="BlockText"/>
        <w:tabs>
          <w:tab w:val="left" w:pos="2070"/>
        </w:tabs>
        <w:ind w:left="1980"/>
      </w:pPr>
      <w:r>
        <w:rPr>
          <w:b/>
        </w:rPr>
        <w:lastRenderedPageBreak/>
        <w:br/>
        <w:t>Ted Berman &amp; Associates</w:t>
      </w:r>
      <w:r w:rsidR="00516796">
        <w:t xml:space="preserve"> – seek</w:t>
      </w:r>
      <w:r>
        <w:t>ing clarification of Section 1609.1.2, Building volume of whether an opening protection system that is tested and analyzed for load resistance would be within the exemption.</w:t>
      </w:r>
    </w:p>
    <w:p w:rsidR="00567F82" w:rsidRDefault="00567F82" w:rsidP="005A0848">
      <w:pPr>
        <w:pStyle w:val="BlockText"/>
        <w:tabs>
          <w:tab w:val="left" w:pos="2070"/>
        </w:tabs>
        <w:ind w:left="1980"/>
      </w:pPr>
    </w:p>
    <w:p w:rsidR="00516796" w:rsidRDefault="005A0848" w:rsidP="005A0848">
      <w:pPr>
        <w:pStyle w:val="BlockText"/>
        <w:tabs>
          <w:tab w:val="left" w:pos="2070"/>
        </w:tabs>
        <w:ind w:left="1980"/>
      </w:pPr>
      <w:r>
        <w:rPr>
          <w:b/>
        </w:rPr>
        <w:t>Deco</w:t>
      </w:r>
      <w:r w:rsidRPr="005A0848">
        <w:t>-</w:t>
      </w:r>
      <w:r>
        <w:t>Flash – seeking clarification as to whether its products, a hybrid between a window buck and a window flashing, falls within the scope of Rule 61G20-3.001</w:t>
      </w:r>
      <w:r w:rsidR="00516796">
        <w:t>.</w:t>
      </w:r>
    </w:p>
    <w:p w:rsidR="00E84B84" w:rsidRDefault="00E84B84" w:rsidP="002978B7">
      <w:pPr>
        <w:pStyle w:val="BlockText"/>
        <w:ind w:left="1980"/>
      </w:pPr>
    </w:p>
    <w:p w:rsidR="00CE31AB" w:rsidRDefault="000B0D3F" w:rsidP="00FA53DC">
      <w:pPr>
        <w:pStyle w:val="BlockText"/>
        <w:numPr>
          <w:ilvl w:val="1"/>
          <w:numId w:val="11"/>
        </w:numPr>
        <w:ind w:hanging="540"/>
      </w:pPr>
      <w:r w:rsidRPr="005E2FA8">
        <w:rPr>
          <w:b/>
          <w:u w:val="single"/>
        </w:rPr>
        <w:t>Petitions for Variance or Waiver</w:t>
      </w:r>
      <w:r>
        <w:t xml:space="preserve"> (if any</w:t>
      </w:r>
      <w:r w:rsidR="005E2FA8">
        <w:t xml:space="preserve">): </w:t>
      </w:r>
      <w:r w:rsidR="002C5242">
        <w:t>None noticed.</w:t>
      </w:r>
    </w:p>
    <w:p w:rsidR="00CE31AB" w:rsidRDefault="00CE31AB" w:rsidP="00CE31AB">
      <w:pPr>
        <w:pStyle w:val="BlockText"/>
        <w:ind w:left="1800"/>
      </w:pPr>
    </w:p>
    <w:p w:rsidR="00681534" w:rsidRDefault="005E2FA8" w:rsidP="00FA53DC">
      <w:pPr>
        <w:pStyle w:val="BlockText"/>
        <w:numPr>
          <w:ilvl w:val="1"/>
          <w:numId w:val="11"/>
        </w:numPr>
        <w:ind w:hanging="540"/>
      </w:pPr>
      <w:r w:rsidRPr="005E2FA8">
        <w:rPr>
          <w:b/>
          <w:u w:val="single"/>
        </w:rPr>
        <w:t xml:space="preserve">Petitions for </w:t>
      </w:r>
      <w:r>
        <w:rPr>
          <w:b/>
          <w:u w:val="single"/>
        </w:rPr>
        <w:t>I</w:t>
      </w:r>
      <w:r w:rsidR="00452CC3" w:rsidRPr="005E2FA8">
        <w:rPr>
          <w:b/>
          <w:u w:val="single"/>
        </w:rPr>
        <w:t>nterpretation</w:t>
      </w:r>
      <w:r>
        <w:rPr>
          <w:b/>
          <w:u w:val="single"/>
        </w:rPr>
        <w:t xml:space="preserve"> of B</w:t>
      </w:r>
      <w:r w:rsidR="008F17A7" w:rsidRPr="005E2FA8">
        <w:rPr>
          <w:b/>
          <w:u w:val="single"/>
        </w:rPr>
        <w:t>uilding</w:t>
      </w:r>
      <w:r w:rsidR="008F17A7" w:rsidRPr="005E2FA8">
        <w:rPr>
          <w:b/>
        </w:rPr>
        <w:t xml:space="preserve"> </w:t>
      </w:r>
      <w:r w:rsidRPr="005E2FA8">
        <w:rPr>
          <w:b/>
        </w:rPr>
        <w:t>C</w:t>
      </w:r>
      <w:r w:rsidR="008F17A7" w:rsidRPr="005E2FA8">
        <w:rPr>
          <w:b/>
        </w:rPr>
        <w:t>ode</w:t>
      </w:r>
      <w:r>
        <w:t xml:space="preserve"> (i</w:t>
      </w:r>
      <w:r w:rsidR="008F17A7" w:rsidRPr="005E2FA8">
        <w:t>f</w:t>
      </w:r>
      <w:r w:rsidR="008F17A7">
        <w:t xml:space="preserve"> any):</w:t>
      </w:r>
      <w:r w:rsidR="002C5242">
        <w:t xml:space="preserve"> None noticed.</w:t>
      </w:r>
    </w:p>
    <w:p w:rsidR="00996855" w:rsidRPr="00996855" w:rsidRDefault="00996855" w:rsidP="00681534">
      <w:pPr>
        <w:pStyle w:val="BlockText"/>
        <w:rPr>
          <w:b/>
        </w:rPr>
      </w:pPr>
    </w:p>
    <w:p w:rsidR="005E2FA8" w:rsidRPr="002978B7" w:rsidRDefault="005E2FA8" w:rsidP="005E2FA8">
      <w:pPr>
        <w:pStyle w:val="BlockText"/>
        <w:numPr>
          <w:ilvl w:val="0"/>
          <w:numId w:val="24"/>
        </w:numPr>
      </w:pPr>
      <w:r>
        <w:rPr>
          <w:b/>
          <w:u w:val="single"/>
        </w:rPr>
        <w:t>Department of Financial Services:</w:t>
      </w:r>
    </w:p>
    <w:p w:rsidR="002978B7" w:rsidRPr="002978B7" w:rsidRDefault="002978B7" w:rsidP="002978B7">
      <w:pPr>
        <w:pStyle w:val="BlockText"/>
        <w:ind w:left="720"/>
      </w:pPr>
    </w:p>
    <w:p w:rsidR="002978B7" w:rsidRDefault="002978B7" w:rsidP="002978B7">
      <w:pPr>
        <w:pStyle w:val="BlockText"/>
        <w:ind w:left="72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5E2FA8" w:rsidRDefault="005E2FA8" w:rsidP="0073295B">
      <w:pPr>
        <w:pStyle w:val="BlockText"/>
        <w:rPr>
          <w:b/>
          <w:u w:val="single"/>
        </w:rPr>
      </w:pPr>
    </w:p>
    <w:p w:rsidR="005E2FA8" w:rsidRDefault="003C2DE3" w:rsidP="00BC18F8">
      <w:pPr>
        <w:pStyle w:val="BlockText"/>
        <w:ind w:firstLine="720"/>
      </w:pPr>
      <w:r w:rsidRPr="00B7181B">
        <w:rPr>
          <w:b/>
          <w:u w:val="single"/>
        </w:rPr>
        <w:t>Division of Workers’ Compensation</w:t>
      </w:r>
      <w:r w:rsidR="004E142A">
        <w:t xml:space="preserve"> – Chapter 440 and 6</w:t>
      </w:r>
      <w:r w:rsidR="00BD42D8">
        <w:t>9L FAC:</w:t>
      </w:r>
      <w:r w:rsidR="0032124B">
        <w:t xml:space="preserve"> </w:t>
      </w:r>
    </w:p>
    <w:p w:rsidR="005E2FA8" w:rsidRDefault="005E2FA8" w:rsidP="005E2FA8">
      <w:pPr>
        <w:pStyle w:val="BlockText"/>
        <w:ind w:left="720"/>
      </w:pPr>
    </w:p>
    <w:p w:rsidR="00DD6729" w:rsidRDefault="005E2FA8" w:rsidP="001465E5">
      <w:pPr>
        <w:pStyle w:val="BlockText"/>
        <w:numPr>
          <w:ilvl w:val="0"/>
          <w:numId w:val="43"/>
        </w:numPr>
      </w:pPr>
      <w:r w:rsidRPr="00BC18F8">
        <w:rPr>
          <w:b/>
        </w:rPr>
        <w:t>R</w:t>
      </w:r>
      <w:r w:rsidR="00FE4A4B" w:rsidRPr="00BC18F8">
        <w:rPr>
          <w:b/>
        </w:rPr>
        <w:t>ule Changes</w:t>
      </w:r>
      <w:r>
        <w:t xml:space="preserve"> </w:t>
      </w:r>
      <w:r w:rsidR="0032124B">
        <w:t>(if any):</w:t>
      </w:r>
    </w:p>
    <w:p w:rsidR="001465E5" w:rsidRDefault="001465E5" w:rsidP="001465E5">
      <w:pPr>
        <w:pStyle w:val="BlockText"/>
      </w:pPr>
    </w:p>
    <w:p w:rsidR="001465E5" w:rsidRDefault="001465E5" w:rsidP="001465E5">
      <w:pPr>
        <w:pStyle w:val="BlockText"/>
        <w:ind w:left="1800"/>
      </w:pPr>
      <w:r w:rsidRPr="0095500F">
        <w:rPr>
          <w:b/>
        </w:rPr>
        <w:t>Rule 69L-6.028</w:t>
      </w:r>
      <w:r w:rsidR="0095500F">
        <w:rPr>
          <w:b/>
        </w:rPr>
        <w:t xml:space="preserve"> </w:t>
      </w:r>
      <w:r>
        <w:t xml:space="preserve">– clarification of time periods of employer non-compliance for penalty calculations and imputation </w:t>
      </w:r>
      <w:r w:rsidR="0095500F">
        <w:t>of employer’s payroll.</w:t>
      </w:r>
    </w:p>
    <w:p w:rsidR="0095500F" w:rsidRDefault="0095500F" w:rsidP="001465E5">
      <w:pPr>
        <w:pStyle w:val="BlockText"/>
        <w:ind w:left="1800"/>
      </w:pPr>
    </w:p>
    <w:p w:rsidR="0095500F" w:rsidRDefault="0095500F" w:rsidP="001465E5">
      <w:pPr>
        <w:pStyle w:val="BlockText"/>
        <w:ind w:left="1800"/>
      </w:pPr>
      <w:r w:rsidRPr="00B65EDE">
        <w:rPr>
          <w:b/>
        </w:rPr>
        <w:t>Rule 69L-6.035</w:t>
      </w:r>
      <w:r>
        <w:t xml:space="preserve"> – defines remuneration</w:t>
      </w:r>
      <w:r w:rsidR="00B65EDE">
        <w:t xml:space="preserve"> to include expense reimbursements, and that occurring on the day the stop-work order is issued.</w:t>
      </w:r>
      <w:r>
        <w:t xml:space="preserve"> </w:t>
      </w:r>
    </w:p>
    <w:p w:rsidR="00BC18F8" w:rsidRDefault="00BC18F8" w:rsidP="00BC18F8">
      <w:pPr>
        <w:pStyle w:val="BlockText"/>
        <w:ind w:left="1800"/>
      </w:pPr>
    </w:p>
    <w:p w:rsidR="00BC18F8" w:rsidRDefault="00BC18F8" w:rsidP="00BC18F8">
      <w:pPr>
        <w:pStyle w:val="BlockText"/>
        <w:numPr>
          <w:ilvl w:val="0"/>
          <w:numId w:val="41"/>
        </w:numPr>
      </w:pPr>
      <w:r w:rsidRPr="00BC18F8">
        <w:rPr>
          <w:b/>
        </w:rPr>
        <w:t xml:space="preserve">Petitions for Declaratory Statement </w:t>
      </w:r>
      <w:r>
        <w:t>(if any):</w:t>
      </w:r>
      <w:r w:rsidR="00835E8C">
        <w:t xml:space="preserve"> None noticed.</w:t>
      </w:r>
    </w:p>
    <w:p w:rsidR="00A94142" w:rsidRDefault="00A94142" w:rsidP="00B633E7">
      <w:pPr>
        <w:pStyle w:val="BlockText"/>
      </w:pPr>
    </w:p>
    <w:p w:rsidR="00A94142" w:rsidRPr="00BC18F8" w:rsidRDefault="00A94142" w:rsidP="00A94142">
      <w:pPr>
        <w:pStyle w:val="BlockText"/>
        <w:numPr>
          <w:ilvl w:val="0"/>
          <w:numId w:val="41"/>
        </w:numPr>
      </w:pPr>
      <w:r>
        <w:rPr>
          <w:b/>
        </w:rPr>
        <w:t xml:space="preserve">Petitions for Variance or Waiver </w:t>
      </w:r>
      <w:r>
        <w:t>(if any): None noticed.</w:t>
      </w:r>
    </w:p>
    <w:p w:rsidR="0073295B" w:rsidRDefault="0073295B" w:rsidP="002978B7">
      <w:pPr>
        <w:pStyle w:val="BlockText"/>
        <w:ind w:left="1440" w:firstLine="720"/>
      </w:pPr>
    </w:p>
    <w:p w:rsidR="004271D8" w:rsidRDefault="004271D8" w:rsidP="005C76EE">
      <w:pPr>
        <w:pStyle w:val="BlockText"/>
        <w:rPr>
          <w:b/>
          <w:u w:val="single"/>
        </w:rPr>
      </w:pPr>
    </w:p>
    <w:p w:rsidR="00701D5A" w:rsidRPr="0077169A" w:rsidRDefault="00CF37B7" w:rsidP="00B65EDE">
      <w:pPr>
        <w:pStyle w:val="BlockText"/>
        <w:rPr>
          <w:rFonts w:cs="Times New Roman"/>
        </w:rPr>
      </w:pPr>
      <w:r w:rsidRPr="00CD02EB">
        <w:rPr>
          <w:b/>
          <w:u w:val="single"/>
        </w:rPr>
        <w:t>Legislative Action:</w:t>
      </w:r>
      <w:r w:rsidR="00156092">
        <w:t xml:space="preserve"> </w:t>
      </w:r>
      <w:r w:rsidR="00CC4315">
        <w:t xml:space="preserve"> </w:t>
      </w:r>
      <w:r w:rsidR="00B633E7">
        <w:t>There is n</w:t>
      </w:r>
      <w:r w:rsidR="00B65EDE">
        <w:t>othing to report</w:t>
      </w:r>
      <w:r w:rsidR="00B633E7">
        <w:t xml:space="preserve"> at this time</w:t>
      </w:r>
      <w:r w:rsidR="00B65EDE">
        <w:t>; the next regular legislative sessio</w:t>
      </w:r>
      <w:r w:rsidR="00590029">
        <w:t>n</w:t>
      </w:r>
      <w:r w:rsidR="0090548D">
        <w:t xml:space="preserve"> is due to commence on </w:t>
      </w:r>
      <w:r w:rsidR="0090548D" w:rsidRPr="00B633E7">
        <w:rPr>
          <w:b/>
          <w:i/>
          <w:u w:val="single"/>
        </w:rPr>
        <w:t>March 7</w:t>
      </w:r>
      <w:r w:rsidR="00590029" w:rsidRPr="00B633E7">
        <w:rPr>
          <w:b/>
          <w:i/>
          <w:u w:val="single"/>
        </w:rPr>
        <w:t>,</w:t>
      </w:r>
      <w:r w:rsidR="00B65EDE" w:rsidRPr="00B633E7">
        <w:rPr>
          <w:b/>
          <w:i/>
          <w:u w:val="single"/>
        </w:rPr>
        <w:t xml:space="preserve"> 2017</w:t>
      </w:r>
      <w:r w:rsidR="00B65EDE" w:rsidRPr="00B633E7">
        <w:rPr>
          <w:i/>
          <w:u w:val="single"/>
        </w:rPr>
        <w:t xml:space="preserve"> for 60 consecutive calendar days</w:t>
      </w:r>
      <w:r w:rsidR="00B65EDE">
        <w:t xml:space="preserve">. No bills will be filed prior to the General Election on November 8, 2016, except </w:t>
      </w:r>
      <w:r w:rsidR="00B633E7">
        <w:t>Senate Claims bills that are required</w:t>
      </w:r>
      <w:r w:rsidR="00B65EDE">
        <w:t xml:space="preserve"> to be filed no later than August </w:t>
      </w:r>
      <w:r w:rsidR="00835E8C">
        <w:t xml:space="preserve">1, </w:t>
      </w:r>
      <w:r w:rsidR="00B65EDE">
        <w:t>2016</w:t>
      </w:r>
      <w:r w:rsidR="00BD221F">
        <w:t>; as of that date, nine (9) such bills have been filed</w:t>
      </w:r>
      <w:r w:rsidR="00B65EDE">
        <w:t>.</w:t>
      </w:r>
    </w:p>
    <w:p w:rsidR="00BE0375" w:rsidRPr="00BE0375" w:rsidRDefault="00BE0375" w:rsidP="00701D5A">
      <w:pPr>
        <w:pStyle w:val="BlockText"/>
        <w:rPr>
          <w:rFonts w:eastAsia="Times New Roman" w:cs="Times New Roman"/>
          <w:b/>
          <w:bCs/>
          <w:vanish/>
          <w:sz w:val="27"/>
          <w:szCs w:val="27"/>
        </w:rPr>
      </w:pPr>
      <w:r w:rsidRPr="00BE0375">
        <w:rPr>
          <w:rFonts w:eastAsia="Times New Roman" w:cs="Times New Roman"/>
          <w:b/>
          <w:bCs/>
          <w:vanish/>
          <w:sz w:val="27"/>
          <w:szCs w:val="27"/>
        </w:rPr>
        <w:t>Senators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by your tracked Senators in the past 7 days. You will receive email notifications when media and publications are posted; according to your </w:t>
      </w:r>
      <w:hyperlink r:id="rId8"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Senators.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Committees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meeting records and publications posted by your tracked committees for the next or previous 8 days. You will receive email notifications when committee meeting records and publications are posted; according to your </w:t>
      </w:r>
      <w:hyperlink r:id="rId9"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Committees.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Offices</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by your tracked Offices in the past 7 days. You will receive email notifications when media and publications are posted; according to your </w:t>
      </w:r>
      <w:hyperlink r:id="rId10"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Offices. </w:t>
      </w:r>
    </w:p>
    <w:p w:rsidR="00BE0375" w:rsidRPr="00BE0375" w:rsidRDefault="00BE0375" w:rsidP="00BE0375">
      <w:pPr>
        <w:spacing w:before="100" w:beforeAutospacing="1" w:after="100" w:afterAutospacing="1"/>
        <w:outlineLvl w:val="2"/>
        <w:rPr>
          <w:rFonts w:eastAsia="Times New Roman" w:cs="Times New Roman"/>
          <w:b/>
          <w:bCs/>
          <w:vanish/>
          <w:sz w:val="27"/>
          <w:szCs w:val="27"/>
        </w:rPr>
      </w:pPr>
      <w:r w:rsidRPr="00BE0375">
        <w:rPr>
          <w:rFonts w:eastAsia="Times New Roman" w:cs="Times New Roman"/>
          <w:b/>
          <w:bCs/>
          <w:vanish/>
          <w:sz w:val="27"/>
          <w:szCs w:val="27"/>
        </w:rPr>
        <w:t>Media</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 xml:space="preserve">Below are the media and publications posted in the past 7 days. You will receive email notifications when Press Releases, Publications, and Speeches are posted; according to your </w:t>
      </w:r>
      <w:hyperlink r:id="rId11" w:history="1">
        <w:r w:rsidRPr="00BE0375">
          <w:rPr>
            <w:rFonts w:eastAsia="Times New Roman" w:cs="Times New Roman"/>
            <w:vanish/>
            <w:color w:val="0000FF"/>
            <w:u w:val="single"/>
          </w:rPr>
          <w:t>email frequency settings</w:t>
        </w:r>
      </w:hyperlink>
      <w:r w:rsidRPr="00BE0375">
        <w:rPr>
          <w:rFonts w:eastAsia="Times New Roman" w:cs="Times New Roman"/>
          <w:vanish/>
        </w:rPr>
        <w:t>.</w:t>
      </w:r>
    </w:p>
    <w:p w:rsidR="00BE0375" w:rsidRPr="00BE0375" w:rsidRDefault="00BE0375" w:rsidP="00BE0375">
      <w:pPr>
        <w:spacing w:before="100" w:beforeAutospacing="1" w:after="100" w:afterAutospacing="1"/>
        <w:rPr>
          <w:rFonts w:eastAsia="Times New Roman" w:cs="Times New Roman"/>
          <w:vanish/>
        </w:rPr>
      </w:pPr>
      <w:r w:rsidRPr="00BE0375">
        <w:rPr>
          <w:rFonts w:eastAsia="Times New Roman" w:cs="Times New Roman"/>
          <w:vanish/>
        </w:rPr>
        <w:t>You are not tracking any Media. </w:t>
      </w:r>
    </w:p>
    <w:p w:rsidR="00701D5A" w:rsidRDefault="00701D5A" w:rsidP="004C67E5">
      <w:pPr>
        <w:pBdr>
          <w:top w:val="single" w:sz="6" w:space="1" w:color="auto"/>
        </w:pBdr>
        <w:jc w:val="center"/>
        <w:rPr>
          <w:rFonts w:ascii="Arial" w:eastAsia="Times New Roman" w:hAnsi="Arial" w:cs="Arial"/>
          <w:sz w:val="16"/>
          <w:szCs w:val="16"/>
        </w:rPr>
      </w:pPr>
    </w:p>
    <w:p w:rsidR="004C67E5" w:rsidRPr="004C67E5" w:rsidRDefault="004C67E5" w:rsidP="004C67E5">
      <w:pPr>
        <w:pBdr>
          <w:top w:val="single" w:sz="6" w:space="1" w:color="auto"/>
        </w:pBdr>
        <w:jc w:val="center"/>
        <w:rPr>
          <w:rFonts w:ascii="Arial" w:eastAsia="Times New Roman" w:hAnsi="Arial" w:cs="Arial"/>
          <w:vanish/>
          <w:sz w:val="16"/>
          <w:szCs w:val="16"/>
        </w:rPr>
      </w:pPr>
      <w:r w:rsidRPr="004C67E5">
        <w:rPr>
          <w:rFonts w:ascii="Arial" w:eastAsia="Times New Roman" w:hAnsi="Arial" w:cs="Arial"/>
          <w:vanish/>
          <w:sz w:val="16"/>
          <w:szCs w:val="16"/>
        </w:rPr>
        <w:t>Bottom of Form</w:t>
      </w:r>
    </w:p>
    <w:p w:rsidR="00BC261C" w:rsidRDefault="00BC261C" w:rsidP="002B78B0">
      <w:pPr>
        <w:pStyle w:val="BlockText"/>
      </w:pPr>
      <w:r>
        <w:t>Respectfully submitted,</w:t>
      </w:r>
    </w:p>
    <w:p w:rsidR="00BC261C" w:rsidRDefault="00BC261C" w:rsidP="002B78B0">
      <w:pPr>
        <w:pStyle w:val="BlockText"/>
      </w:pPr>
      <w:r>
        <w:t>Fred R. Dudley, Esq.</w:t>
      </w:r>
    </w:p>
    <w:p w:rsidR="00502614" w:rsidRDefault="003B3B50" w:rsidP="002B78B0">
      <w:pPr>
        <w:pStyle w:val="BlockText"/>
      </w:pPr>
      <w:r>
        <w:t>Steven</w:t>
      </w:r>
      <w:r w:rsidR="00502614">
        <w:t xml:space="preserve"> </w:t>
      </w:r>
      <w:r w:rsidR="00C10E53">
        <w:t xml:space="preserve">E. </w:t>
      </w:r>
      <w:r w:rsidR="00502614">
        <w:t>Sellers</w:t>
      </w:r>
      <w:r w:rsidR="001F0D0C">
        <w:t>, Esq.</w:t>
      </w:r>
    </w:p>
    <w:p w:rsidR="00887CE4" w:rsidRDefault="00887CE4" w:rsidP="002B78B0">
      <w:pPr>
        <w:pStyle w:val="BlockText"/>
      </w:pPr>
      <w:r>
        <w:t>Dudley, Sellers, Healy &amp; Heath, P. L.</w:t>
      </w:r>
    </w:p>
    <w:p w:rsidR="00997BD1" w:rsidRDefault="00997BD1" w:rsidP="002B78B0">
      <w:pPr>
        <w:pStyle w:val="BlockText"/>
      </w:pPr>
      <w:r>
        <w:t>Tallahassee, Florida</w:t>
      </w:r>
    </w:p>
    <w:p w:rsidR="00466EB9" w:rsidRDefault="00E21E1E" w:rsidP="002B78B0">
      <w:pPr>
        <w:pStyle w:val="BlockText"/>
      </w:pPr>
      <w:r>
        <w:t>August 8</w:t>
      </w:r>
      <w:r w:rsidR="0029168D">
        <w:t>, 2</w:t>
      </w:r>
      <w:r w:rsidR="00887CE4">
        <w:t>016</w:t>
      </w:r>
    </w:p>
    <w:sectPr w:rsidR="00466EB9" w:rsidSect="009A10B6">
      <w:footerReference w:type="default" r:id="rId12"/>
      <w:footerReference w:type="first" r:id="rId13"/>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A99" w:rsidRDefault="00A11A99" w:rsidP="009A2CBA">
      <w:r>
        <w:separator/>
      </w:r>
    </w:p>
  </w:endnote>
  <w:endnote w:type="continuationSeparator" w:id="0">
    <w:p w:rsidR="00A11A99" w:rsidRDefault="00A11A99"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BC2" w:rsidRPr="00B40FA6" w:rsidRDefault="00482BC2" w:rsidP="000421B5">
    <w:pPr>
      <w:pStyle w:val="Footer"/>
      <w:rPr>
        <w:rStyle w:val="DocID"/>
        <w:sz w:val="24"/>
      </w:rPr>
    </w:pPr>
    <w:r>
      <w:tab/>
    </w:r>
    <w:r>
      <w:fldChar w:fldCharType="begin"/>
    </w:r>
    <w:r>
      <w:instrText xml:space="preserve"> PAGE   \* MERGEFORMAT </w:instrText>
    </w:r>
    <w:r>
      <w:fldChar w:fldCharType="separate"/>
    </w:r>
    <w:r w:rsidR="004B7EAF">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BC2" w:rsidRPr="00911FE4" w:rsidRDefault="00482BC2"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4B7EAF">
      <w:rPr>
        <w:noProof/>
        <w:sz w:val="20"/>
      </w:rPr>
      <w:instrText>6</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A99" w:rsidRDefault="00A11A99" w:rsidP="009A2CBA">
      <w:r>
        <w:separator/>
      </w:r>
    </w:p>
  </w:footnote>
  <w:footnote w:type="continuationSeparator" w:id="0">
    <w:p w:rsidR="00A11A99" w:rsidRDefault="00A11A99" w:rsidP="009A2CBA">
      <w:r>
        <w:continuationSeparator/>
      </w:r>
    </w:p>
  </w:footnote>
  <w:footnote w:id="1">
    <w:p w:rsidR="00482BC2" w:rsidRDefault="00482BC2" w:rsidP="004E142A">
      <w:pPr>
        <w:pStyle w:val="BlockText"/>
      </w:pPr>
      <w:r>
        <w:rPr>
          <w:rStyle w:val="FootnoteReference"/>
        </w:rPr>
        <w:footnoteRef/>
      </w:r>
      <w:r>
        <w:t xml:space="preserve"> The Florida Building Commission is </w:t>
      </w:r>
      <w:r w:rsidRPr="00F054FC">
        <w:rPr>
          <w:b/>
          <w:u w:val="single"/>
        </w:rPr>
        <w:t>not</w:t>
      </w:r>
      <w:r>
        <w:t xml:space="preserve"> allowed to grant variances or waivers from the Florida Building Code, expect as to handicapped accessibility issues, but is specifically authorized to issue declaratory statement</w:t>
      </w:r>
      <w:r w:rsidR="00835E8C">
        <w:t>s</w:t>
      </w:r>
      <w:r>
        <w:t xml:space="preserve"> interpreting sections of the code.</w:t>
      </w:r>
    </w:p>
    <w:p w:rsidR="00482BC2" w:rsidRDefault="00482BC2" w:rsidP="004E142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021CA"/>
    <w:multiLevelType w:val="hybridMultilevel"/>
    <w:tmpl w:val="ED068F38"/>
    <w:lvl w:ilvl="0" w:tplc="0490704A">
      <w:start w:val="2"/>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16E0998"/>
    <w:multiLevelType w:val="multilevel"/>
    <w:tmpl w:val="824E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E085A"/>
    <w:multiLevelType w:val="hybridMultilevel"/>
    <w:tmpl w:val="3EAA907A"/>
    <w:lvl w:ilvl="0" w:tplc="EB00E56E">
      <w:start w:val="2"/>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040E49AF"/>
    <w:multiLevelType w:val="hybridMultilevel"/>
    <w:tmpl w:val="EF2E76C6"/>
    <w:lvl w:ilvl="0" w:tplc="D0DAF9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117BD5"/>
    <w:multiLevelType w:val="hybridMultilevel"/>
    <w:tmpl w:val="02386818"/>
    <w:lvl w:ilvl="0" w:tplc="AF4C9E14">
      <w:start w:val="1"/>
      <w:numFmt w:val="lowerLetter"/>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E0D0B"/>
    <w:multiLevelType w:val="hybridMultilevel"/>
    <w:tmpl w:val="F2B24110"/>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09C3436">
      <w:start w:val="2"/>
      <w:numFmt w:val="upperLetter"/>
      <w:lvlText w:val="%4."/>
      <w:lvlJc w:val="left"/>
      <w:pPr>
        <w:ind w:left="3960" w:hanging="360"/>
      </w:pPr>
      <w:rPr>
        <w:rFonts w:hint="default"/>
        <w:b/>
      </w:rPr>
    </w:lvl>
    <w:lvl w:ilvl="4" w:tplc="9C4A388E">
      <w:start w:val="1"/>
      <w:numFmt w:val="decimal"/>
      <w:lvlText w:val="%5."/>
      <w:lvlJc w:val="left"/>
      <w:pPr>
        <w:ind w:left="4680" w:hanging="360"/>
      </w:pPr>
      <w:rPr>
        <w:rFonts w:hint="default"/>
        <w:b/>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74D26FA"/>
    <w:multiLevelType w:val="multilevel"/>
    <w:tmpl w:val="071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E0B5B"/>
    <w:multiLevelType w:val="hybridMultilevel"/>
    <w:tmpl w:val="D340D100"/>
    <w:lvl w:ilvl="0" w:tplc="19DEAAC4">
      <w:start w:val="3"/>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321F64"/>
    <w:multiLevelType w:val="multilevel"/>
    <w:tmpl w:val="03FA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177C2"/>
    <w:multiLevelType w:val="hybridMultilevel"/>
    <w:tmpl w:val="221022DC"/>
    <w:lvl w:ilvl="0" w:tplc="0EB45DA6">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8A3310"/>
    <w:multiLevelType w:val="multilevel"/>
    <w:tmpl w:val="5E10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62CE4"/>
    <w:multiLevelType w:val="hybridMultilevel"/>
    <w:tmpl w:val="DB04C5AA"/>
    <w:lvl w:ilvl="0" w:tplc="2B7ED4C2">
      <w:start w:val="3"/>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B4AA8C70">
      <w:start w:val="1"/>
      <w:numFmt w:val="lowerLetter"/>
      <w:lvlText w:val="(%6)"/>
      <w:lvlJc w:val="left"/>
      <w:pPr>
        <w:ind w:left="5580" w:hanging="360"/>
      </w:pPr>
      <w:rPr>
        <w:rFonts w:hint="default"/>
        <w:b/>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2B702DC"/>
    <w:multiLevelType w:val="hybridMultilevel"/>
    <w:tmpl w:val="A9583200"/>
    <w:lvl w:ilvl="0" w:tplc="B0E4D1F8">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0E0A57"/>
    <w:multiLevelType w:val="hybridMultilevel"/>
    <w:tmpl w:val="CAB06480"/>
    <w:lvl w:ilvl="0" w:tplc="454857CA">
      <w:start w:val="1"/>
      <w:numFmt w:val="decimal"/>
      <w:lvlText w:val="%1."/>
      <w:lvlJc w:val="left"/>
      <w:pPr>
        <w:ind w:left="1080" w:hanging="360"/>
      </w:pPr>
      <w:rPr>
        <w:rFonts w:hint="default"/>
        <w:b/>
      </w:rPr>
    </w:lvl>
    <w:lvl w:ilvl="1" w:tplc="F7A653F0">
      <w:start w:val="1"/>
      <w:numFmt w:val="lowerLetter"/>
      <w:lvlText w:val="(%2)"/>
      <w:lvlJc w:val="left"/>
      <w:pPr>
        <w:ind w:left="1980" w:hanging="360"/>
      </w:pPr>
      <w:rPr>
        <w:rFonts w:ascii="Times New Roman" w:eastAsiaTheme="minorEastAsia" w:hAnsi="Times New Roman" w:cstheme="minorBidi"/>
        <w:b/>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5FEE27E">
      <w:start w:val="1"/>
      <w:numFmt w:val="upperLetter"/>
      <w:lvlText w:val="%5."/>
      <w:lvlJc w:val="left"/>
      <w:pPr>
        <w:ind w:left="3960" w:hanging="360"/>
      </w:pPr>
      <w:rPr>
        <w:rFonts w:hint="default"/>
        <w:b/>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3A37B7"/>
    <w:multiLevelType w:val="multilevel"/>
    <w:tmpl w:val="55C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E0ECE"/>
    <w:multiLevelType w:val="multilevel"/>
    <w:tmpl w:val="2A4E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D6841"/>
    <w:multiLevelType w:val="hybridMultilevel"/>
    <w:tmpl w:val="AC4EDAE4"/>
    <w:lvl w:ilvl="0" w:tplc="C1C651EE">
      <w:start w:val="2"/>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3" w15:restartNumberingAfterBreak="0">
    <w:nsid w:val="39F81DD0"/>
    <w:multiLevelType w:val="hybridMultilevel"/>
    <w:tmpl w:val="7B0AA5A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23A61E98">
      <w:start w:val="3"/>
      <w:numFmt w:val="upperLetter"/>
      <w:lvlText w:val="%5."/>
      <w:lvlJc w:val="left"/>
      <w:pPr>
        <w:ind w:left="4680" w:hanging="360"/>
      </w:pPr>
      <w:rPr>
        <w:rFonts w:hint="default"/>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A324C7C"/>
    <w:multiLevelType w:val="multilevel"/>
    <w:tmpl w:val="CD32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0A765D"/>
    <w:multiLevelType w:val="hybridMultilevel"/>
    <w:tmpl w:val="16F28B36"/>
    <w:lvl w:ilvl="0" w:tplc="2DB2780C">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4B239C"/>
    <w:multiLevelType w:val="multilevel"/>
    <w:tmpl w:val="AA4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98732C"/>
    <w:multiLevelType w:val="hybridMultilevel"/>
    <w:tmpl w:val="5942D13E"/>
    <w:lvl w:ilvl="0" w:tplc="D10075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F6B7884"/>
    <w:multiLevelType w:val="hybridMultilevel"/>
    <w:tmpl w:val="833AE64C"/>
    <w:lvl w:ilvl="0" w:tplc="3C46B9DA">
      <w:start w:val="3"/>
      <w:numFmt w:val="upperLetter"/>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EA13A4"/>
    <w:multiLevelType w:val="multilevel"/>
    <w:tmpl w:val="3E3C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D155C"/>
    <w:multiLevelType w:val="multilevel"/>
    <w:tmpl w:val="5CF6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4C4CC9"/>
    <w:multiLevelType w:val="hybridMultilevel"/>
    <w:tmpl w:val="B6740F6E"/>
    <w:lvl w:ilvl="0" w:tplc="233644E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562567"/>
    <w:multiLevelType w:val="hybridMultilevel"/>
    <w:tmpl w:val="5254EE84"/>
    <w:lvl w:ilvl="0" w:tplc="CF7EB4F0">
      <w:start w:val="1"/>
      <w:numFmt w:val="upperLetter"/>
      <w:lvlText w:val="%1."/>
      <w:lvlJc w:val="left"/>
      <w:pPr>
        <w:ind w:left="1800" w:hanging="360"/>
      </w:pPr>
      <w:rPr>
        <w:rFonts w:hint="default"/>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56C21FCE"/>
    <w:multiLevelType w:val="multilevel"/>
    <w:tmpl w:val="A808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614D83"/>
    <w:multiLevelType w:val="hybridMultilevel"/>
    <w:tmpl w:val="66A89B4C"/>
    <w:lvl w:ilvl="0" w:tplc="B792E12E">
      <w:start w:val="2"/>
      <w:numFmt w:val="low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3D80F3C"/>
    <w:multiLevelType w:val="hybridMultilevel"/>
    <w:tmpl w:val="3C308236"/>
    <w:lvl w:ilvl="0" w:tplc="C4AA249C">
      <w:start w:val="2"/>
      <w:numFmt w:val="upperLetter"/>
      <w:lvlText w:val="%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F96CDD"/>
    <w:multiLevelType w:val="multilevel"/>
    <w:tmpl w:val="4244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4963C6"/>
    <w:multiLevelType w:val="hybridMultilevel"/>
    <w:tmpl w:val="7CCE687A"/>
    <w:lvl w:ilvl="0" w:tplc="76F4D16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B569A2"/>
    <w:multiLevelType w:val="hybridMultilevel"/>
    <w:tmpl w:val="A3CE88D8"/>
    <w:lvl w:ilvl="0" w:tplc="7F2C1DB2">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8"/>
  </w:num>
  <w:num w:numId="4">
    <w:abstractNumId w:val="41"/>
  </w:num>
  <w:num w:numId="5">
    <w:abstractNumId w:val="34"/>
  </w:num>
  <w:num w:numId="6">
    <w:abstractNumId w:val="42"/>
  </w:num>
  <w:num w:numId="7">
    <w:abstractNumId w:val="9"/>
  </w:num>
  <w:num w:numId="8">
    <w:abstractNumId w:val="16"/>
  </w:num>
  <w:num w:numId="9">
    <w:abstractNumId w:val="3"/>
  </w:num>
  <w:num w:numId="10">
    <w:abstractNumId w:val="1"/>
  </w:num>
  <w:num w:numId="11">
    <w:abstractNumId w:val="19"/>
  </w:num>
  <w:num w:numId="12">
    <w:abstractNumId w:val="18"/>
  </w:num>
  <w:num w:numId="13">
    <w:abstractNumId w:val="10"/>
  </w:num>
  <w:num w:numId="14">
    <w:abstractNumId w:val="23"/>
  </w:num>
  <w:num w:numId="15">
    <w:abstractNumId w:val="17"/>
  </w:num>
  <w:num w:numId="16">
    <w:abstractNumId w:val="25"/>
  </w:num>
  <w:num w:numId="17">
    <w:abstractNumId w:val="32"/>
  </w:num>
  <w:num w:numId="18">
    <w:abstractNumId w:val="4"/>
  </w:num>
  <w:num w:numId="19">
    <w:abstractNumId w:val="39"/>
  </w:num>
  <w:num w:numId="20">
    <w:abstractNumId w:val="36"/>
  </w:num>
  <w:num w:numId="21">
    <w:abstractNumId w:val="7"/>
  </w:num>
  <w:num w:numId="22">
    <w:abstractNumId w:val="40"/>
  </w:num>
  <w:num w:numId="23">
    <w:abstractNumId w:val="12"/>
  </w:num>
  <w:num w:numId="24">
    <w:abstractNumId w:val="28"/>
  </w:num>
  <w:num w:numId="25">
    <w:abstractNumId w:val="22"/>
  </w:num>
  <w:num w:numId="26">
    <w:abstractNumId w:val="6"/>
  </w:num>
  <w:num w:numId="27">
    <w:abstractNumId w:val="15"/>
  </w:num>
  <w:num w:numId="28">
    <w:abstractNumId w:val="37"/>
  </w:num>
  <w:num w:numId="29">
    <w:abstractNumId w:val="33"/>
  </w:num>
  <w:num w:numId="30">
    <w:abstractNumId w:val="29"/>
  </w:num>
  <w:num w:numId="31">
    <w:abstractNumId w:val="21"/>
  </w:num>
  <w:num w:numId="32">
    <w:abstractNumId w:val="30"/>
  </w:num>
  <w:num w:numId="33">
    <w:abstractNumId w:val="13"/>
  </w:num>
  <w:num w:numId="34">
    <w:abstractNumId w:val="5"/>
  </w:num>
  <w:num w:numId="35">
    <w:abstractNumId w:val="11"/>
  </w:num>
  <w:num w:numId="36">
    <w:abstractNumId w:val="24"/>
  </w:num>
  <w:num w:numId="37">
    <w:abstractNumId w:val="20"/>
  </w:num>
  <w:num w:numId="38">
    <w:abstractNumId w:val="26"/>
  </w:num>
  <w:num w:numId="39">
    <w:abstractNumId w:val="8"/>
  </w:num>
  <w:num w:numId="40">
    <w:abstractNumId w:val="35"/>
  </w:num>
  <w:num w:numId="41">
    <w:abstractNumId w:val="14"/>
  </w:num>
  <w:num w:numId="42">
    <w:abstractNumId w:val="27"/>
  </w:num>
  <w:num w:numId="43">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0953"/>
    <w:rsid w:val="00011776"/>
    <w:rsid w:val="0001260C"/>
    <w:rsid w:val="00013164"/>
    <w:rsid w:val="00016A29"/>
    <w:rsid w:val="0002257F"/>
    <w:rsid w:val="00026394"/>
    <w:rsid w:val="00026C6B"/>
    <w:rsid w:val="00027FC3"/>
    <w:rsid w:val="000302BC"/>
    <w:rsid w:val="000324B5"/>
    <w:rsid w:val="000340FB"/>
    <w:rsid w:val="000341ED"/>
    <w:rsid w:val="00034306"/>
    <w:rsid w:val="00041C50"/>
    <w:rsid w:val="000421B5"/>
    <w:rsid w:val="0005012E"/>
    <w:rsid w:val="000509E7"/>
    <w:rsid w:val="00052694"/>
    <w:rsid w:val="00054D0D"/>
    <w:rsid w:val="0005515D"/>
    <w:rsid w:val="00055700"/>
    <w:rsid w:val="00061C8E"/>
    <w:rsid w:val="00062BAB"/>
    <w:rsid w:val="00065B23"/>
    <w:rsid w:val="00066D23"/>
    <w:rsid w:val="00071707"/>
    <w:rsid w:val="00072343"/>
    <w:rsid w:val="00074BCE"/>
    <w:rsid w:val="00074EDF"/>
    <w:rsid w:val="00076663"/>
    <w:rsid w:val="0008109E"/>
    <w:rsid w:val="00084298"/>
    <w:rsid w:val="00086D79"/>
    <w:rsid w:val="00090B54"/>
    <w:rsid w:val="00094361"/>
    <w:rsid w:val="00094EBD"/>
    <w:rsid w:val="00097585"/>
    <w:rsid w:val="000A3246"/>
    <w:rsid w:val="000A4BA4"/>
    <w:rsid w:val="000A66AC"/>
    <w:rsid w:val="000B0D3F"/>
    <w:rsid w:val="000B0E17"/>
    <w:rsid w:val="000B1DDB"/>
    <w:rsid w:val="000B1E71"/>
    <w:rsid w:val="000B2203"/>
    <w:rsid w:val="000B43A9"/>
    <w:rsid w:val="000B70C4"/>
    <w:rsid w:val="000B76DD"/>
    <w:rsid w:val="000B78F0"/>
    <w:rsid w:val="000C0376"/>
    <w:rsid w:val="000C4772"/>
    <w:rsid w:val="000C4BC7"/>
    <w:rsid w:val="000C5ABA"/>
    <w:rsid w:val="000C5FBA"/>
    <w:rsid w:val="000C722C"/>
    <w:rsid w:val="000D08E7"/>
    <w:rsid w:val="000D2555"/>
    <w:rsid w:val="000D3AAE"/>
    <w:rsid w:val="000D4C0F"/>
    <w:rsid w:val="000D650B"/>
    <w:rsid w:val="000D7A4E"/>
    <w:rsid w:val="000E0782"/>
    <w:rsid w:val="000E17E8"/>
    <w:rsid w:val="000E282A"/>
    <w:rsid w:val="000E6D1A"/>
    <w:rsid w:val="000F112D"/>
    <w:rsid w:val="000F2EBD"/>
    <w:rsid w:val="000F6911"/>
    <w:rsid w:val="000F69D8"/>
    <w:rsid w:val="00100E22"/>
    <w:rsid w:val="0010255D"/>
    <w:rsid w:val="00103A3B"/>
    <w:rsid w:val="00103CDF"/>
    <w:rsid w:val="0010433D"/>
    <w:rsid w:val="00107362"/>
    <w:rsid w:val="00110D3B"/>
    <w:rsid w:val="001114F7"/>
    <w:rsid w:val="00112949"/>
    <w:rsid w:val="001148B5"/>
    <w:rsid w:val="001150F0"/>
    <w:rsid w:val="001156AF"/>
    <w:rsid w:val="00117224"/>
    <w:rsid w:val="00117544"/>
    <w:rsid w:val="00121A5A"/>
    <w:rsid w:val="00124F94"/>
    <w:rsid w:val="00126ABD"/>
    <w:rsid w:val="0013367A"/>
    <w:rsid w:val="00133FBD"/>
    <w:rsid w:val="001358A0"/>
    <w:rsid w:val="00135B1C"/>
    <w:rsid w:val="00142044"/>
    <w:rsid w:val="001437FC"/>
    <w:rsid w:val="00143919"/>
    <w:rsid w:val="001462FC"/>
    <w:rsid w:val="00146574"/>
    <w:rsid w:val="001465E5"/>
    <w:rsid w:val="00146910"/>
    <w:rsid w:val="00146E4E"/>
    <w:rsid w:val="001476D7"/>
    <w:rsid w:val="00150F40"/>
    <w:rsid w:val="00151063"/>
    <w:rsid w:val="00151720"/>
    <w:rsid w:val="00151F43"/>
    <w:rsid w:val="00156092"/>
    <w:rsid w:val="001572A8"/>
    <w:rsid w:val="00162E5A"/>
    <w:rsid w:val="00163831"/>
    <w:rsid w:val="001649EE"/>
    <w:rsid w:val="00165F0B"/>
    <w:rsid w:val="001673C5"/>
    <w:rsid w:val="0017187B"/>
    <w:rsid w:val="0017188D"/>
    <w:rsid w:val="00172C04"/>
    <w:rsid w:val="00173510"/>
    <w:rsid w:val="00173BB8"/>
    <w:rsid w:val="0017420F"/>
    <w:rsid w:val="00175923"/>
    <w:rsid w:val="001768AB"/>
    <w:rsid w:val="00176CCB"/>
    <w:rsid w:val="001776E6"/>
    <w:rsid w:val="00177973"/>
    <w:rsid w:val="00177AA7"/>
    <w:rsid w:val="00182EC5"/>
    <w:rsid w:val="00183D27"/>
    <w:rsid w:val="0019065B"/>
    <w:rsid w:val="0019337F"/>
    <w:rsid w:val="00193DF7"/>
    <w:rsid w:val="001963BC"/>
    <w:rsid w:val="001A1C5D"/>
    <w:rsid w:val="001A3667"/>
    <w:rsid w:val="001B0E80"/>
    <w:rsid w:val="001B11FD"/>
    <w:rsid w:val="001B4226"/>
    <w:rsid w:val="001B5A99"/>
    <w:rsid w:val="001B5DD4"/>
    <w:rsid w:val="001B6195"/>
    <w:rsid w:val="001B73F6"/>
    <w:rsid w:val="001C3A80"/>
    <w:rsid w:val="001C7B0D"/>
    <w:rsid w:val="001D0121"/>
    <w:rsid w:val="001D0770"/>
    <w:rsid w:val="001D1B70"/>
    <w:rsid w:val="001D2330"/>
    <w:rsid w:val="001D25D1"/>
    <w:rsid w:val="001D277E"/>
    <w:rsid w:val="001D35CA"/>
    <w:rsid w:val="001D50A8"/>
    <w:rsid w:val="001D5776"/>
    <w:rsid w:val="001E2D3C"/>
    <w:rsid w:val="001E327E"/>
    <w:rsid w:val="001E3281"/>
    <w:rsid w:val="001F01B4"/>
    <w:rsid w:val="001F0D0C"/>
    <w:rsid w:val="001F18CD"/>
    <w:rsid w:val="001F7DB9"/>
    <w:rsid w:val="00200951"/>
    <w:rsid w:val="00200AF1"/>
    <w:rsid w:val="00201FC1"/>
    <w:rsid w:val="00202C5B"/>
    <w:rsid w:val="002031ED"/>
    <w:rsid w:val="002066F0"/>
    <w:rsid w:val="00206A45"/>
    <w:rsid w:val="00210263"/>
    <w:rsid w:val="00212AD9"/>
    <w:rsid w:val="002145F0"/>
    <w:rsid w:val="00217479"/>
    <w:rsid w:val="00217DA2"/>
    <w:rsid w:val="00217EBB"/>
    <w:rsid w:val="00221926"/>
    <w:rsid w:val="00221AAE"/>
    <w:rsid w:val="00222C12"/>
    <w:rsid w:val="002236E8"/>
    <w:rsid w:val="0022445A"/>
    <w:rsid w:val="00227443"/>
    <w:rsid w:val="002321A5"/>
    <w:rsid w:val="002348A5"/>
    <w:rsid w:val="00234D30"/>
    <w:rsid w:val="002363CA"/>
    <w:rsid w:val="00236A0B"/>
    <w:rsid w:val="00236AB0"/>
    <w:rsid w:val="00236AF7"/>
    <w:rsid w:val="00237AEC"/>
    <w:rsid w:val="002438D2"/>
    <w:rsid w:val="00243FF8"/>
    <w:rsid w:val="00246D22"/>
    <w:rsid w:val="00251EB1"/>
    <w:rsid w:val="00252DC4"/>
    <w:rsid w:val="002542DC"/>
    <w:rsid w:val="002544B7"/>
    <w:rsid w:val="00254B22"/>
    <w:rsid w:val="002550F4"/>
    <w:rsid w:val="002558FB"/>
    <w:rsid w:val="00261795"/>
    <w:rsid w:val="00262A25"/>
    <w:rsid w:val="002630F7"/>
    <w:rsid w:val="002630FF"/>
    <w:rsid w:val="00264519"/>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8B7"/>
    <w:rsid w:val="00297D0C"/>
    <w:rsid w:val="002A2F20"/>
    <w:rsid w:val="002A4DD8"/>
    <w:rsid w:val="002A5595"/>
    <w:rsid w:val="002A5A54"/>
    <w:rsid w:val="002A7577"/>
    <w:rsid w:val="002A777F"/>
    <w:rsid w:val="002B09F1"/>
    <w:rsid w:val="002B0DFC"/>
    <w:rsid w:val="002B1F21"/>
    <w:rsid w:val="002B35C5"/>
    <w:rsid w:val="002B3E98"/>
    <w:rsid w:val="002B78B0"/>
    <w:rsid w:val="002C0513"/>
    <w:rsid w:val="002C3092"/>
    <w:rsid w:val="002C3294"/>
    <w:rsid w:val="002C378F"/>
    <w:rsid w:val="002C5242"/>
    <w:rsid w:val="002C5E1D"/>
    <w:rsid w:val="002D1599"/>
    <w:rsid w:val="002D365F"/>
    <w:rsid w:val="002D366C"/>
    <w:rsid w:val="002D4362"/>
    <w:rsid w:val="002E2A6D"/>
    <w:rsid w:val="002E2F5E"/>
    <w:rsid w:val="002F015B"/>
    <w:rsid w:val="002F16B3"/>
    <w:rsid w:val="002F2016"/>
    <w:rsid w:val="002F61E3"/>
    <w:rsid w:val="00300A3A"/>
    <w:rsid w:val="00303F39"/>
    <w:rsid w:val="00304305"/>
    <w:rsid w:val="003045D2"/>
    <w:rsid w:val="00305D83"/>
    <w:rsid w:val="00305FDE"/>
    <w:rsid w:val="00311BC1"/>
    <w:rsid w:val="00311DF4"/>
    <w:rsid w:val="00312017"/>
    <w:rsid w:val="00312FA2"/>
    <w:rsid w:val="003134D3"/>
    <w:rsid w:val="0031487D"/>
    <w:rsid w:val="003154E8"/>
    <w:rsid w:val="00317330"/>
    <w:rsid w:val="003208B4"/>
    <w:rsid w:val="0032124B"/>
    <w:rsid w:val="00321E89"/>
    <w:rsid w:val="0032220C"/>
    <w:rsid w:val="003239B0"/>
    <w:rsid w:val="0032443B"/>
    <w:rsid w:val="0032598E"/>
    <w:rsid w:val="00325FC1"/>
    <w:rsid w:val="003313DA"/>
    <w:rsid w:val="003319A7"/>
    <w:rsid w:val="00332825"/>
    <w:rsid w:val="003370E3"/>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0AA3"/>
    <w:rsid w:val="00360D91"/>
    <w:rsid w:val="00361628"/>
    <w:rsid w:val="003642F6"/>
    <w:rsid w:val="0036439B"/>
    <w:rsid w:val="00364771"/>
    <w:rsid w:val="003747B5"/>
    <w:rsid w:val="00376DA1"/>
    <w:rsid w:val="003776B3"/>
    <w:rsid w:val="0038047E"/>
    <w:rsid w:val="00383EFB"/>
    <w:rsid w:val="00384141"/>
    <w:rsid w:val="00385904"/>
    <w:rsid w:val="003A0148"/>
    <w:rsid w:val="003A1E91"/>
    <w:rsid w:val="003A33A5"/>
    <w:rsid w:val="003A4FB0"/>
    <w:rsid w:val="003A5916"/>
    <w:rsid w:val="003A7CB2"/>
    <w:rsid w:val="003B1697"/>
    <w:rsid w:val="003B388E"/>
    <w:rsid w:val="003B3B50"/>
    <w:rsid w:val="003B52AB"/>
    <w:rsid w:val="003B59EA"/>
    <w:rsid w:val="003B5B30"/>
    <w:rsid w:val="003B5B32"/>
    <w:rsid w:val="003C09F0"/>
    <w:rsid w:val="003C265E"/>
    <w:rsid w:val="003C2DE3"/>
    <w:rsid w:val="003C3E7C"/>
    <w:rsid w:val="003C40E8"/>
    <w:rsid w:val="003C4C6F"/>
    <w:rsid w:val="003C50CC"/>
    <w:rsid w:val="003D1D42"/>
    <w:rsid w:val="003D2853"/>
    <w:rsid w:val="003D34DF"/>
    <w:rsid w:val="003D6EAC"/>
    <w:rsid w:val="003D7308"/>
    <w:rsid w:val="003E09D4"/>
    <w:rsid w:val="003E1169"/>
    <w:rsid w:val="003E13A7"/>
    <w:rsid w:val="003E3843"/>
    <w:rsid w:val="003E6AD8"/>
    <w:rsid w:val="003E6F51"/>
    <w:rsid w:val="003F395F"/>
    <w:rsid w:val="003F4811"/>
    <w:rsid w:val="003F5F1A"/>
    <w:rsid w:val="003F6A5C"/>
    <w:rsid w:val="00400FFE"/>
    <w:rsid w:val="00401A5C"/>
    <w:rsid w:val="00403905"/>
    <w:rsid w:val="004077C2"/>
    <w:rsid w:val="0041051F"/>
    <w:rsid w:val="0041113F"/>
    <w:rsid w:val="00413E91"/>
    <w:rsid w:val="00414D9E"/>
    <w:rsid w:val="00414DE9"/>
    <w:rsid w:val="0041534C"/>
    <w:rsid w:val="00416C25"/>
    <w:rsid w:val="00416CC9"/>
    <w:rsid w:val="004200FB"/>
    <w:rsid w:val="004204AE"/>
    <w:rsid w:val="00421A4C"/>
    <w:rsid w:val="00425FE8"/>
    <w:rsid w:val="004271D8"/>
    <w:rsid w:val="0042730E"/>
    <w:rsid w:val="00427E2F"/>
    <w:rsid w:val="00430AB5"/>
    <w:rsid w:val="00431C88"/>
    <w:rsid w:val="00431F8E"/>
    <w:rsid w:val="00432932"/>
    <w:rsid w:val="00434B55"/>
    <w:rsid w:val="00435681"/>
    <w:rsid w:val="00436BA2"/>
    <w:rsid w:val="00437958"/>
    <w:rsid w:val="004406AC"/>
    <w:rsid w:val="00441CD1"/>
    <w:rsid w:val="004445D6"/>
    <w:rsid w:val="004517A3"/>
    <w:rsid w:val="00452CC3"/>
    <w:rsid w:val="00454846"/>
    <w:rsid w:val="0045543B"/>
    <w:rsid w:val="0045633D"/>
    <w:rsid w:val="0046192D"/>
    <w:rsid w:val="0046330C"/>
    <w:rsid w:val="004634BE"/>
    <w:rsid w:val="00465432"/>
    <w:rsid w:val="00466AD0"/>
    <w:rsid w:val="00466EB9"/>
    <w:rsid w:val="00467045"/>
    <w:rsid w:val="0047003F"/>
    <w:rsid w:val="004706AB"/>
    <w:rsid w:val="0047163D"/>
    <w:rsid w:val="00474D96"/>
    <w:rsid w:val="0047516C"/>
    <w:rsid w:val="00480712"/>
    <w:rsid w:val="004813C0"/>
    <w:rsid w:val="00482BC2"/>
    <w:rsid w:val="00483127"/>
    <w:rsid w:val="00484142"/>
    <w:rsid w:val="00484B9C"/>
    <w:rsid w:val="00491907"/>
    <w:rsid w:val="00491948"/>
    <w:rsid w:val="00491E26"/>
    <w:rsid w:val="00492027"/>
    <w:rsid w:val="004A0671"/>
    <w:rsid w:val="004A451E"/>
    <w:rsid w:val="004A46B4"/>
    <w:rsid w:val="004A5613"/>
    <w:rsid w:val="004A582F"/>
    <w:rsid w:val="004A5DD2"/>
    <w:rsid w:val="004A6E9B"/>
    <w:rsid w:val="004B0BF0"/>
    <w:rsid w:val="004B10A3"/>
    <w:rsid w:val="004B196B"/>
    <w:rsid w:val="004B7EAF"/>
    <w:rsid w:val="004C2EF7"/>
    <w:rsid w:val="004C4506"/>
    <w:rsid w:val="004C458B"/>
    <w:rsid w:val="004C5780"/>
    <w:rsid w:val="004C63D8"/>
    <w:rsid w:val="004C67E5"/>
    <w:rsid w:val="004C7846"/>
    <w:rsid w:val="004C7BF4"/>
    <w:rsid w:val="004D0301"/>
    <w:rsid w:val="004E1249"/>
    <w:rsid w:val="004E142A"/>
    <w:rsid w:val="004E2A5D"/>
    <w:rsid w:val="004E35D0"/>
    <w:rsid w:val="004E572B"/>
    <w:rsid w:val="004E60B2"/>
    <w:rsid w:val="004E61C2"/>
    <w:rsid w:val="004E7067"/>
    <w:rsid w:val="004F030C"/>
    <w:rsid w:val="004F3D87"/>
    <w:rsid w:val="00500503"/>
    <w:rsid w:val="00502614"/>
    <w:rsid w:val="00504537"/>
    <w:rsid w:val="005063F3"/>
    <w:rsid w:val="0050749E"/>
    <w:rsid w:val="0051221A"/>
    <w:rsid w:val="00512724"/>
    <w:rsid w:val="00512A9F"/>
    <w:rsid w:val="00516796"/>
    <w:rsid w:val="00517E4F"/>
    <w:rsid w:val="00520F5E"/>
    <w:rsid w:val="0052318D"/>
    <w:rsid w:val="005237C4"/>
    <w:rsid w:val="0052387A"/>
    <w:rsid w:val="00523A7F"/>
    <w:rsid w:val="0052642A"/>
    <w:rsid w:val="00530892"/>
    <w:rsid w:val="00530BF1"/>
    <w:rsid w:val="00530CD6"/>
    <w:rsid w:val="00535353"/>
    <w:rsid w:val="00535A2B"/>
    <w:rsid w:val="0053686B"/>
    <w:rsid w:val="00537681"/>
    <w:rsid w:val="00540398"/>
    <w:rsid w:val="00541BCF"/>
    <w:rsid w:val="005463F4"/>
    <w:rsid w:val="005510CD"/>
    <w:rsid w:val="00553CBE"/>
    <w:rsid w:val="00555FBF"/>
    <w:rsid w:val="005665C2"/>
    <w:rsid w:val="00567F82"/>
    <w:rsid w:val="00571120"/>
    <w:rsid w:val="00576B27"/>
    <w:rsid w:val="00577D3F"/>
    <w:rsid w:val="00584934"/>
    <w:rsid w:val="00590029"/>
    <w:rsid w:val="00592867"/>
    <w:rsid w:val="00592B85"/>
    <w:rsid w:val="0059572F"/>
    <w:rsid w:val="00595D13"/>
    <w:rsid w:val="005A0848"/>
    <w:rsid w:val="005A1AAC"/>
    <w:rsid w:val="005A61CC"/>
    <w:rsid w:val="005A74C3"/>
    <w:rsid w:val="005B212C"/>
    <w:rsid w:val="005B2CCD"/>
    <w:rsid w:val="005B558F"/>
    <w:rsid w:val="005B581D"/>
    <w:rsid w:val="005C08FA"/>
    <w:rsid w:val="005C40F9"/>
    <w:rsid w:val="005C5CFC"/>
    <w:rsid w:val="005C6434"/>
    <w:rsid w:val="005C76EE"/>
    <w:rsid w:val="005D217B"/>
    <w:rsid w:val="005D236D"/>
    <w:rsid w:val="005D446B"/>
    <w:rsid w:val="005D5F3E"/>
    <w:rsid w:val="005D70E7"/>
    <w:rsid w:val="005D71D8"/>
    <w:rsid w:val="005D7FBD"/>
    <w:rsid w:val="005E196A"/>
    <w:rsid w:val="005E2FA8"/>
    <w:rsid w:val="005E4539"/>
    <w:rsid w:val="005E73B8"/>
    <w:rsid w:val="005F17D4"/>
    <w:rsid w:val="005F1FB3"/>
    <w:rsid w:val="005F2098"/>
    <w:rsid w:val="005F2CFE"/>
    <w:rsid w:val="005F2E38"/>
    <w:rsid w:val="005F4A79"/>
    <w:rsid w:val="005F51C9"/>
    <w:rsid w:val="005F705E"/>
    <w:rsid w:val="005F770C"/>
    <w:rsid w:val="00600D46"/>
    <w:rsid w:val="00604806"/>
    <w:rsid w:val="0060730E"/>
    <w:rsid w:val="006077FF"/>
    <w:rsid w:val="00614279"/>
    <w:rsid w:val="006148BA"/>
    <w:rsid w:val="00620CC5"/>
    <w:rsid w:val="00621D15"/>
    <w:rsid w:val="006221E1"/>
    <w:rsid w:val="00625F11"/>
    <w:rsid w:val="0063019F"/>
    <w:rsid w:val="0063059E"/>
    <w:rsid w:val="00633037"/>
    <w:rsid w:val="0063517A"/>
    <w:rsid w:val="00640C66"/>
    <w:rsid w:val="0064116F"/>
    <w:rsid w:val="0064458E"/>
    <w:rsid w:val="00644BDC"/>
    <w:rsid w:val="006450DA"/>
    <w:rsid w:val="0064574F"/>
    <w:rsid w:val="006465C5"/>
    <w:rsid w:val="00650893"/>
    <w:rsid w:val="00651011"/>
    <w:rsid w:val="006531D6"/>
    <w:rsid w:val="00654846"/>
    <w:rsid w:val="00657721"/>
    <w:rsid w:val="006577D7"/>
    <w:rsid w:val="00657E5B"/>
    <w:rsid w:val="00660E5F"/>
    <w:rsid w:val="00660F73"/>
    <w:rsid w:val="0066317C"/>
    <w:rsid w:val="006639C7"/>
    <w:rsid w:val="00663A8E"/>
    <w:rsid w:val="00663C9D"/>
    <w:rsid w:val="006668DE"/>
    <w:rsid w:val="0066697C"/>
    <w:rsid w:val="0066753D"/>
    <w:rsid w:val="00667D54"/>
    <w:rsid w:val="0067243A"/>
    <w:rsid w:val="00674E68"/>
    <w:rsid w:val="00675E10"/>
    <w:rsid w:val="00676E89"/>
    <w:rsid w:val="00681534"/>
    <w:rsid w:val="00685808"/>
    <w:rsid w:val="00691E1A"/>
    <w:rsid w:val="00695A6D"/>
    <w:rsid w:val="006960B4"/>
    <w:rsid w:val="00697F28"/>
    <w:rsid w:val="006A3547"/>
    <w:rsid w:val="006A3A6B"/>
    <w:rsid w:val="006A3B11"/>
    <w:rsid w:val="006A4458"/>
    <w:rsid w:val="006A50BC"/>
    <w:rsid w:val="006B0145"/>
    <w:rsid w:val="006B0C29"/>
    <w:rsid w:val="006B1D63"/>
    <w:rsid w:val="006B60DD"/>
    <w:rsid w:val="006C5A7D"/>
    <w:rsid w:val="006C704A"/>
    <w:rsid w:val="006D0EE9"/>
    <w:rsid w:val="006D1C4E"/>
    <w:rsid w:val="006D3AD0"/>
    <w:rsid w:val="006D7744"/>
    <w:rsid w:val="006E0D5B"/>
    <w:rsid w:val="006E3B26"/>
    <w:rsid w:val="006E5368"/>
    <w:rsid w:val="006E5C27"/>
    <w:rsid w:val="006E6103"/>
    <w:rsid w:val="006E723E"/>
    <w:rsid w:val="006F336C"/>
    <w:rsid w:val="006F3FB3"/>
    <w:rsid w:val="006F4CE9"/>
    <w:rsid w:val="00700924"/>
    <w:rsid w:val="007011CC"/>
    <w:rsid w:val="007017B0"/>
    <w:rsid w:val="00701D5A"/>
    <w:rsid w:val="0070218E"/>
    <w:rsid w:val="007065A1"/>
    <w:rsid w:val="0071068B"/>
    <w:rsid w:val="007135EE"/>
    <w:rsid w:val="00714A54"/>
    <w:rsid w:val="007150E1"/>
    <w:rsid w:val="00720A29"/>
    <w:rsid w:val="00722B80"/>
    <w:rsid w:val="00722DD1"/>
    <w:rsid w:val="0073295B"/>
    <w:rsid w:val="0073422E"/>
    <w:rsid w:val="0074409F"/>
    <w:rsid w:val="0074468A"/>
    <w:rsid w:val="00746128"/>
    <w:rsid w:val="00756A0C"/>
    <w:rsid w:val="00757661"/>
    <w:rsid w:val="00760E2D"/>
    <w:rsid w:val="00774784"/>
    <w:rsid w:val="00774A2B"/>
    <w:rsid w:val="007755F6"/>
    <w:rsid w:val="00775D28"/>
    <w:rsid w:val="007803DA"/>
    <w:rsid w:val="00780CCE"/>
    <w:rsid w:val="00781A63"/>
    <w:rsid w:val="00783765"/>
    <w:rsid w:val="00784A25"/>
    <w:rsid w:val="007862BD"/>
    <w:rsid w:val="007870BA"/>
    <w:rsid w:val="007902F3"/>
    <w:rsid w:val="00790ED1"/>
    <w:rsid w:val="0079148C"/>
    <w:rsid w:val="00793514"/>
    <w:rsid w:val="00795394"/>
    <w:rsid w:val="00795F45"/>
    <w:rsid w:val="0079604D"/>
    <w:rsid w:val="00797252"/>
    <w:rsid w:val="007977D0"/>
    <w:rsid w:val="007A0040"/>
    <w:rsid w:val="007A040E"/>
    <w:rsid w:val="007A2C34"/>
    <w:rsid w:val="007A5E81"/>
    <w:rsid w:val="007A7335"/>
    <w:rsid w:val="007A76DB"/>
    <w:rsid w:val="007B0198"/>
    <w:rsid w:val="007B1B79"/>
    <w:rsid w:val="007B2FC8"/>
    <w:rsid w:val="007B455D"/>
    <w:rsid w:val="007C06B0"/>
    <w:rsid w:val="007C1C60"/>
    <w:rsid w:val="007C3596"/>
    <w:rsid w:val="007C479E"/>
    <w:rsid w:val="007C534A"/>
    <w:rsid w:val="007C689D"/>
    <w:rsid w:val="007D12C5"/>
    <w:rsid w:val="007D14A8"/>
    <w:rsid w:val="007D2675"/>
    <w:rsid w:val="007E128E"/>
    <w:rsid w:val="007E2299"/>
    <w:rsid w:val="007E2953"/>
    <w:rsid w:val="007E390F"/>
    <w:rsid w:val="007E4176"/>
    <w:rsid w:val="007E7F26"/>
    <w:rsid w:val="007F16BD"/>
    <w:rsid w:val="007F2F12"/>
    <w:rsid w:val="007F4471"/>
    <w:rsid w:val="007F63B9"/>
    <w:rsid w:val="007F6E51"/>
    <w:rsid w:val="007F7B3F"/>
    <w:rsid w:val="00801B02"/>
    <w:rsid w:val="00802164"/>
    <w:rsid w:val="008035A4"/>
    <w:rsid w:val="00804A8E"/>
    <w:rsid w:val="00806AA8"/>
    <w:rsid w:val="00806FA9"/>
    <w:rsid w:val="00812FF0"/>
    <w:rsid w:val="00815043"/>
    <w:rsid w:val="008157CF"/>
    <w:rsid w:val="00820D75"/>
    <w:rsid w:val="00821688"/>
    <w:rsid w:val="008219AB"/>
    <w:rsid w:val="0082467E"/>
    <w:rsid w:val="00824AEC"/>
    <w:rsid w:val="008271F6"/>
    <w:rsid w:val="00832281"/>
    <w:rsid w:val="00832A42"/>
    <w:rsid w:val="0083319A"/>
    <w:rsid w:val="00833649"/>
    <w:rsid w:val="00835E8C"/>
    <w:rsid w:val="00835EE6"/>
    <w:rsid w:val="0084009D"/>
    <w:rsid w:val="008476AE"/>
    <w:rsid w:val="008513F5"/>
    <w:rsid w:val="0086294F"/>
    <w:rsid w:val="00863EC6"/>
    <w:rsid w:val="008642DB"/>
    <w:rsid w:val="00864F61"/>
    <w:rsid w:val="008667F9"/>
    <w:rsid w:val="0087018F"/>
    <w:rsid w:val="008714D7"/>
    <w:rsid w:val="008750C1"/>
    <w:rsid w:val="00875906"/>
    <w:rsid w:val="00876A95"/>
    <w:rsid w:val="0087765D"/>
    <w:rsid w:val="0088153B"/>
    <w:rsid w:val="00881551"/>
    <w:rsid w:val="00883771"/>
    <w:rsid w:val="0088673E"/>
    <w:rsid w:val="00886D9E"/>
    <w:rsid w:val="00887CE4"/>
    <w:rsid w:val="0089089A"/>
    <w:rsid w:val="00894D34"/>
    <w:rsid w:val="00897F26"/>
    <w:rsid w:val="008A4467"/>
    <w:rsid w:val="008A7FFE"/>
    <w:rsid w:val="008B06DE"/>
    <w:rsid w:val="008B10F9"/>
    <w:rsid w:val="008B64BE"/>
    <w:rsid w:val="008B6B8E"/>
    <w:rsid w:val="008B6F95"/>
    <w:rsid w:val="008C0D2B"/>
    <w:rsid w:val="008C23E6"/>
    <w:rsid w:val="008C30E6"/>
    <w:rsid w:val="008C3C12"/>
    <w:rsid w:val="008C44B6"/>
    <w:rsid w:val="008C4CD7"/>
    <w:rsid w:val="008C57F6"/>
    <w:rsid w:val="008C6567"/>
    <w:rsid w:val="008D5528"/>
    <w:rsid w:val="008D7EAD"/>
    <w:rsid w:val="008E212F"/>
    <w:rsid w:val="008E5BE5"/>
    <w:rsid w:val="008F051F"/>
    <w:rsid w:val="008F127C"/>
    <w:rsid w:val="008F17A7"/>
    <w:rsid w:val="008F58B8"/>
    <w:rsid w:val="008F6B36"/>
    <w:rsid w:val="009008DD"/>
    <w:rsid w:val="009024B4"/>
    <w:rsid w:val="0090334E"/>
    <w:rsid w:val="009037AF"/>
    <w:rsid w:val="0090427C"/>
    <w:rsid w:val="0090548D"/>
    <w:rsid w:val="00910237"/>
    <w:rsid w:val="0091203A"/>
    <w:rsid w:val="00912B18"/>
    <w:rsid w:val="00913DE9"/>
    <w:rsid w:val="00915698"/>
    <w:rsid w:val="00920535"/>
    <w:rsid w:val="0092199A"/>
    <w:rsid w:val="00922A6D"/>
    <w:rsid w:val="009230A5"/>
    <w:rsid w:val="009242EA"/>
    <w:rsid w:val="00925171"/>
    <w:rsid w:val="0092555A"/>
    <w:rsid w:val="009255C2"/>
    <w:rsid w:val="00925E5C"/>
    <w:rsid w:val="00927A0D"/>
    <w:rsid w:val="00927EF0"/>
    <w:rsid w:val="009324C3"/>
    <w:rsid w:val="0093251D"/>
    <w:rsid w:val="00933C83"/>
    <w:rsid w:val="009351FC"/>
    <w:rsid w:val="00936542"/>
    <w:rsid w:val="009376EA"/>
    <w:rsid w:val="00937943"/>
    <w:rsid w:val="00940447"/>
    <w:rsid w:val="009408A6"/>
    <w:rsid w:val="00941C32"/>
    <w:rsid w:val="00941D67"/>
    <w:rsid w:val="00943BAA"/>
    <w:rsid w:val="00944330"/>
    <w:rsid w:val="0094446C"/>
    <w:rsid w:val="0094577A"/>
    <w:rsid w:val="009459C3"/>
    <w:rsid w:val="0095190E"/>
    <w:rsid w:val="00952158"/>
    <w:rsid w:val="00952ED0"/>
    <w:rsid w:val="00953FE2"/>
    <w:rsid w:val="0095500F"/>
    <w:rsid w:val="009615F7"/>
    <w:rsid w:val="0096439D"/>
    <w:rsid w:val="00965188"/>
    <w:rsid w:val="009679F7"/>
    <w:rsid w:val="00972224"/>
    <w:rsid w:val="0098369B"/>
    <w:rsid w:val="009855ED"/>
    <w:rsid w:val="00986C6C"/>
    <w:rsid w:val="00990086"/>
    <w:rsid w:val="00992C68"/>
    <w:rsid w:val="009939EF"/>
    <w:rsid w:val="00994DC4"/>
    <w:rsid w:val="00995402"/>
    <w:rsid w:val="00995739"/>
    <w:rsid w:val="00996855"/>
    <w:rsid w:val="00997BB1"/>
    <w:rsid w:val="00997BD1"/>
    <w:rsid w:val="009A1012"/>
    <w:rsid w:val="009A10B6"/>
    <w:rsid w:val="009A2CBA"/>
    <w:rsid w:val="009A3785"/>
    <w:rsid w:val="009B2454"/>
    <w:rsid w:val="009B472E"/>
    <w:rsid w:val="009B4801"/>
    <w:rsid w:val="009B53D8"/>
    <w:rsid w:val="009B6571"/>
    <w:rsid w:val="009B7504"/>
    <w:rsid w:val="009C4A92"/>
    <w:rsid w:val="009C6254"/>
    <w:rsid w:val="009C6CE8"/>
    <w:rsid w:val="009C6F42"/>
    <w:rsid w:val="009D0597"/>
    <w:rsid w:val="009D31D6"/>
    <w:rsid w:val="009D3EF7"/>
    <w:rsid w:val="009D4AA9"/>
    <w:rsid w:val="009D54A5"/>
    <w:rsid w:val="009D71A1"/>
    <w:rsid w:val="009E1F25"/>
    <w:rsid w:val="009E2A70"/>
    <w:rsid w:val="009E489B"/>
    <w:rsid w:val="009F3168"/>
    <w:rsid w:val="009F3454"/>
    <w:rsid w:val="009F4440"/>
    <w:rsid w:val="009F5553"/>
    <w:rsid w:val="009F7BC1"/>
    <w:rsid w:val="00A0246B"/>
    <w:rsid w:val="00A03908"/>
    <w:rsid w:val="00A04CE4"/>
    <w:rsid w:val="00A05724"/>
    <w:rsid w:val="00A110DD"/>
    <w:rsid w:val="00A11A99"/>
    <w:rsid w:val="00A11C23"/>
    <w:rsid w:val="00A14268"/>
    <w:rsid w:val="00A17D94"/>
    <w:rsid w:val="00A2092B"/>
    <w:rsid w:val="00A23BA0"/>
    <w:rsid w:val="00A24F93"/>
    <w:rsid w:val="00A25028"/>
    <w:rsid w:val="00A2704C"/>
    <w:rsid w:val="00A314FA"/>
    <w:rsid w:val="00A3799B"/>
    <w:rsid w:val="00A413D5"/>
    <w:rsid w:val="00A47BAD"/>
    <w:rsid w:val="00A47D5F"/>
    <w:rsid w:val="00A504D3"/>
    <w:rsid w:val="00A52844"/>
    <w:rsid w:val="00A52BEC"/>
    <w:rsid w:val="00A57777"/>
    <w:rsid w:val="00A57E0F"/>
    <w:rsid w:val="00A65C42"/>
    <w:rsid w:val="00A67E6D"/>
    <w:rsid w:val="00A750A9"/>
    <w:rsid w:val="00A75304"/>
    <w:rsid w:val="00A82F6F"/>
    <w:rsid w:val="00A84DBB"/>
    <w:rsid w:val="00A862A4"/>
    <w:rsid w:val="00A903BC"/>
    <w:rsid w:val="00A9229C"/>
    <w:rsid w:val="00A92BA2"/>
    <w:rsid w:val="00A9360E"/>
    <w:rsid w:val="00A94142"/>
    <w:rsid w:val="00A973D9"/>
    <w:rsid w:val="00AA0190"/>
    <w:rsid w:val="00AA1C3B"/>
    <w:rsid w:val="00AA1DC4"/>
    <w:rsid w:val="00AA20DC"/>
    <w:rsid w:val="00AA2435"/>
    <w:rsid w:val="00AA29A7"/>
    <w:rsid w:val="00AA49B9"/>
    <w:rsid w:val="00AA5761"/>
    <w:rsid w:val="00AB392A"/>
    <w:rsid w:val="00AB6124"/>
    <w:rsid w:val="00AB69C6"/>
    <w:rsid w:val="00AB759F"/>
    <w:rsid w:val="00AB7A77"/>
    <w:rsid w:val="00AC25D8"/>
    <w:rsid w:val="00AC4FD0"/>
    <w:rsid w:val="00AC560D"/>
    <w:rsid w:val="00AC5BA7"/>
    <w:rsid w:val="00AD19E4"/>
    <w:rsid w:val="00AD319B"/>
    <w:rsid w:val="00AD3673"/>
    <w:rsid w:val="00AD4A48"/>
    <w:rsid w:val="00AD6F27"/>
    <w:rsid w:val="00AE082C"/>
    <w:rsid w:val="00AE0C03"/>
    <w:rsid w:val="00AE19E6"/>
    <w:rsid w:val="00AE36D0"/>
    <w:rsid w:val="00AE40E2"/>
    <w:rsid w:val="00AE4140"/>
    <w:rsid w:val="00AE4928"/>
    <w:rsid w:val="00AE4CE1"/>
    <w:rsid w:val="00AE4D48"/>
    <w:rsid w:val="00AE786D"/>
    <w:rsid w:val="00AF0CA4"/>
    <w:rsid w:val="00AF1CAD"/>
    <w:rsid w:val="00AF448F"/>
    <w:rsid w:val="00AF4CC5"/>
    <w:rsid w:val="00AF72E8"/>
    <w:rsid w:val="00B01391"/>
    <w:rsid w:val="00B02CB3"/>
    <w:rsid w:val="00B04E9C"/>
    <w:rsid w:val="00B0622F"/>
    <w:rsid w:val="00B06511"/>
    <w:rsid w:val="00B06DF9"/>
    <w:rsid w:val="00B102F7"/>
    <w:rsid w:val="00B119C7"/>
    <w:rsid w:val="00B11BE8"/>
    <w:rsid w:val="00B1354A"/>
    <w:rsid w:val="00B14506"/>
    <w:rsid w:val="00B15D63"/>
    <w:rsid w:val="00B22750"/>
    <w:rsid w:val="00B228D4"/>
    <w:rsid w:val="00B231A5"/>
    <w:rsid w:val="00B26EF6"/>
    <w:rsid w:val="00B33726"/>
    <w:rsid w:val="00B34CB8"/>
    <w:rsid w:val="00B36726"/>
    <w:rsid w:val="00B36BD2"/>
    <w:rsid w:val="00B40CCF"/>
    <w:rsid w:val="00B40FA6"/>
    <w:rsid w:val="00B43413"/>
    <w:rsid w:val="00B442F3"/>
    <w:rsid w:val="00B46596"/>
    <w:rsid w:val="00B5038B"/>
    <w:rsid w:val="00B51F07"/>
    <w:rsid w:val="00B52A30"/>
    <w:rsid w:val="00B55AA9"/>
    <w:rsid w:val="00B576FB"/>
    <w:rsid w:val="00B57CDE"/>
    <w:rsid w:val="00B605B3"/>
    <w:rsid w:val="00B607ED"/>
    <w:rsid w:val="00B633E7"/>
    <w:rsid w:val="00B6409D"/>
    <w:rsid w:val="00B656B4"/>
    <w:rsid w:val="00B65A78"/>
    <w:rsid w:val="00B65EDE"/>
    <w:rsid w:val="00B665B0"/>
    <w:rsid w:val="00B70EED"/>
    <w:rsid w:val="00B7181B"/>
    <w:rsid w:val="00B7209C"/>
    <w:rsid w:val="00B73DBD"/>
    <w:rsid w:val="00B754FE"/>
    <w:rsid w:val="00B75D21"/>
    <w:rsid w:val="00B77A8C"/>
    <w:rsid w:val="00B82AFD"/>
    <w:rsid w:val="00B82F44"/>
    <w:rsid w:val="00B854DA"/>
    <w:rsid w:val="00B86298"/>
    <w:rsid w:val="00B86CF9"/>
    <w:rsid w:val="00B901A9"/>
    <w:rsid w:val="00B92C29"/>
    <w:rsid w:val="00B94BF6"/>
    <w:rsid w:val="00B94EA1"/>
    <w:rsid w:val="00B94EB0"/>
    <w:rsid w:val="00B96236"/>
    <w:rsid w:val="00B96D89"/>
    <w:rsid w:val="00B972A0"/>
    <w:rsid w:val="00BA266C"/>
    <w:rsid w:val="00BA2CBC"/>
    <w:rsid w:val="00BA363C"/>
    <w:rsid w:val="00BA5910"/>
    <w:rsid w:val="00BA7E0B"/>
    <w:rsid w:val="00BB3554"/>
    <w:rsid w:val="00BB3CE8"/>
    <w:rsid w:val="00BB43FD"/>
    <w:rsid w:val="00BB62F8"/>
    <w:rsid w:val="00BB6D12"/>
    <w:rsid w:val="00BB7583"/>
    <w:rsid w:val="00BC18F8"/>
    <w:rsid w:val="00BC261C"/>
    <w:rsid w:val="00BC3E94"/>
    <w:rsid w:val="00BC3ED9"/>
    <w:rsid w:val="00BC4B4F"/>
    <w:rsid w:val="00BC5032"/>
    <w:rsid w:val="00BC59CC"/>
    <w:rsid w:val="00BD0579"/>
    <w:rsid w:val="00BD1D69"/>
    <w:rsid w:val="00BD221F"/>
    <w:rsid w:val="00BD42D8"/>
    <w:rsid w:val="00BD45AE"/>
    <w:rsid w:val="00BE0375"/>
    <w:rsid w:val="00BE1DC0"/>
    <w:rsid w:val="00BE34DD"/>
    <w:rsid w:val="00BE470E"/>
    <w:rsid w:val="00BE7267"/>
    <w:rsid w:val="00BE7523"/>
    <w:rsid w:val="00BE7E71"/>
    <w:rsid w:val="00BF06EC"/>
    <w:rsid w:val="00BF09D3"/>
    <w:rsid w:val="00BF384F"/>
    <w:rsid w:val="00BF5744"/>
    <w:rsid w:val="00BF5944"/>
    <w:rsid w:val="00BF5A88"/>
    <w:rsid w:val="00BF6715"/>
    <w:rsid w:val="00C00519"/>
    <w:rsid w:val="00C014A9"/>
    <w:rsid w:val="00C01BBA"/>
    <w:rsid w:val="00C02420"/>
    <w:rsid w:val="00C04971"/>
    <w:rsid w:val="00C05096"/>
    <w:rsid w:val="00C0615F"/>
    <w:rsid w:val="00C10CCD"/>
    <w:rsid w:val="00C10E53"/>
    <w:rsid w:val="00C10FB4"/>
    <w:rsid w:val="00C1101B"/>
    <w:rsid w:val="00C11D28"/>
    <w:rsid w:val="00C15A97"/>
    <w:rsid w:val="00C16757"/>
    <w:rsid w:val="00C17A11"/>
    <w:rsid w:val="00C20A49"/>
    <w:rsid w:val="00C22965"/>
    <w:rsid w:val="00C22BDC"/>
    <w:rsid w:val="00C25BD9"/>
    <w:rsid w:val="00C30DBA"/>
    <w:rsid w:val="00C40072"/>
    <w:rsid w:val="00C41104"/>
    <w:rsid w:val="00C41134"/>
    <w:rsid w:val="00C416D8"/>
    <w:rsid w:val="00C428D0"/>
    <w:rsid w:val="00C42CAD"/>
    <w:rsid w:val="00C4400E"/>
    <w:rsid w:val="00C44575"/>
    <w:rsid w:val="00C45435"/>
    <w:rsid w:val="00C46B9E"/>
    <w:rsid w:val="00C5163E"/>
    <w:rsid w:val="00C527C3"/>
    <w:rsid w:val="00C552DE"/>
    <w:rsid w:val="00C55BAE"/>
    <w:rsid w:val="00C57EC3"/>
    <w:rsid w:val="00C609C2"/>
    <w:rsid w:val="00C60ABB"/>
    <w:rsid w:val="00C613B0"/>
    <w:rsid w:val="00C666BD"/>
    <w:rsid w:val="00C71560"/>
    <w:rsid w:val="00C7427B"/>
    <w:rsid w:val="00C80E12"/>
    <w:rsid w:val="00C80F74"/>
    <w:rsid w:val="00C84E54"/>
    <w:rsid w:val="00C8621F"/>
    <w:rsid w:val="00C87811"/>
    <w:rsid w:val="00C906E0"/>
    <w:rsid w:val="00C959A0"/>
    <w:rsid w:val="00C969A8"/>
    <w:rsid w:val="00C976E2"/>
    <w:rsid w:val="00C97707"/>
    <w:rsid w:val="00CA1872"/>
    <w:rsid w:val="00CA1D5A"/>
    <w:rsid w:val="00CA349E"/>
    <w:rsid w:val="00CA5910"/>
    <w:rsid w:val="00CA5EE6"/>
    <w:rsid w:val="00CA6A88"/>
    <w:rsid w:val="00CB0D76"/>
    <w:rsid w:val="00CB169A"/>
    <w:rsid w:val="00CB18D5"/>
    <w:rsid w:val="00CB393B"/>
    <w:rsid w:val="00CC064D"/>
    <w:rsid w:val="00CC08D4"/>
    <w:rsid w:val="00CC1B0F"/>
    <w:rsid w:val="00CC4315"/>
    <w:rsid w:val="00CC601F"/>
    <w:rsid w:val="00CD02EB"/>
    <w:rsid w:val="00CD6E9F"/>
    <w:rsid w:val="00CE31AB"/>
    <w:rsid w:val="00CE32B4"/>
    <w:rsid w:val="00CE6A39"/>
    <w:rsid w:val="00CE6BAF"/>
    <w:rsid w:val="00CF0F17"/>
    <w:rsid w:val="00CF17B5"/>
    <w:rsid w:val="00CF2384"/>
    <w:rsid w:val="00CF2A48"/>
    <w:rsid w:val="00CF2BE6"/>
    <w:rsid w:val="00CF2DBD"/>
    <w:rsid w:val="00CF37B7"/>
    <w:rsid w:val="00CF3D80"/>
    <w:rsid w:val="00CF569B"/>
    <w:rsid w:val="00CF7C33"/>
    <w:rsid w:val="00D0142A"/>
    <w:rsid w:val="00D025A9"/>
    <w:rsid w:val="00D03141"/>
    <w:rsid w:val="00D11596"/>
    <w:rsid w:val="00D131F2"/>
    <w:rsid w:val="00D13F95"/>
    <w:rsid w:val="00D15049"/>
    <w:rsid w:val="00D17508"/>
    <w:rsid w:val="00D17EF8"/>
    <w:rsid w:val="00D22A20"/>
    <w:rsid w:val="00D22FC6"/>
    <w:rsid w:val="00D255AC"/>
    <w:rsid w:val="00D318BB"/>
    <w:rsid w:val="00D31E05"/>
    <w:rsid w:val="00D35E4B"/>
    <w:rsid w:val="00D4023D"/>
    <w:rsid w:val="00D40DAB"/>
    <w:rsid w:val="00D42313"/>
    <w:rsid w:val="00D43858"/>
    <w:rsid w:val="00D45220"/>
    <w:rsid w:val="00D45F79"/>
    <w:rsid w:val="00D45FC8"/>
    <w:rsid w:val="00D500CC"/>
    <w:rsid w:val="00D51B8C"/>
    <w:rsid w:val="00D51EF8"/>
    <w:rsid w:val="00D532DF"/>
    <w:rsid w:val="00D550EA"/>
    <w:rsid w:val="00D555B1"/>
    <w:rsid w:val="00D5683A"/>
    <w:rsid w:val="00D6075F"/>
    <w:rsid w:val="00D64A8A"/>
    <w:rsid w:val="00D64ACA"/>
    <w:rsid w:val="00D65EE5"/>
    <w:rsid w:val="00D6635B"/>
    <w:rsid w:val="00D66B98"/>
    <w:rsid w:val="00D72E5C"/>
    <w:rsid w:val="00D74A8F"/>
    <w:rsid w:val="00D76989"/>
    <w:rsid w:val="00D81106"/>
    <w:rsid w:val="00D8155F"/>
    <w:rsid w:val="00D83830"/>
    <w:rsid w:val="00D8408A"/>
    <w:rsid w:val="00D85984"/>
    <w:rsid w:val="00D86118"/>
    <w:rsid w:val="00D8641A"/>
    <w:rsid w:val="00D92897"/>
    <w:rsid w:val="00D9374F"/>
    <w:rsid w:val="00D9654F"/>
    <w:rsid w:val="00D96664"/>
    <w:rsid w:val="00D9771C"/>
    <w:rsid w:val="00D97BF8"/>
    <w:rsid w:val="00DA0331"/>
    <w:rsid w:val="00DA04A7"/>
    <w:rsid w:val="00DA30E3"/>
    <w:rsid w:val="00DA399C"/>
    <w:rsid w:val="00DA43F1"/>
    <w:rsid w:val="00DA5E85"/>
    <w:rsid w:val="00DB01F6"/>
    <w:rsid w:val="00DB1B72"/>
    <w:rsid w:val="00DB4628"/>
    <w:rsid w:val="00DB58AD"/>
    <w:rsid w:val="00DB6134"/>
    <w:rsid w:val="00DD0357"/>
    <w:rsid w:val="00DD18B8"/>
    <w:rsid w:val="00DD1B53"/>
    <w:rsid w:val="00DD2D4F"/>
    <w:rsid w:val="00DD3ECB"/>
    <w:rsid w:val="00DD4201"/>
    <w:rsid w:val="00DD46B2"/>
    <w:rsid w:val="00DD5289"/>
    <w:rsid w:val="00DD5BF9"/>
    <w:rsid w:val="00DD6729"/>
    <w:rsid w:val="00DD760C"/>
    <w:rsid w:val="00DE0FB7"/>
    <w:rsid w:val="00DE3DD6"/>
    <w:rsid w:val="00DE4100"/>
    <w:rsid w:val="00DE458D"/>
    <w:rsid w:val="00DE517B"/>
    <w:rsid w:val="00DE52F2"/>
    <w:rsid w:val="00DE5A5D"/>
    <w:rsid w:val="00DE67A8"/>
    <w:rsid w:val="00DF072F"/>
    <w:rsid w:val="00DF0B84"/>
    <w:rsid w:val="00DF1ACD"/>
    <w:rsid w:val="00DF255F"/>
    <w:rsid w:val="00DF2996"/>
    <w:rsid w:val="00DF4C21"/>
    <w:rsid w:val="00E028F5"/>
    <w:rsid w:val="00E03EA5"/>
    <w:rsid w:val="00E041E8"/>
    <w:rsid w:val="00E05588"/>
    <w:rsid w:val="00E07E81"/>
    <w:rsid w:val="00E10E84"/>
    <w:rsid w:val="00E1125C"/>
    <w:rsid w:val="00E16D83"/>
    <w:rsid w:val="00E17AA2"/>
    <w:rsid w:val="00E21E1E"/>
    <w:rsid w:val="00E235EA"/>
    <w:rsid w:val="00E253BD"/>
    <w:rsid w:val="00E267AB"/>
    <w:rsid w:val="00E27BF3"/>
    <w:rsid w:val="00E30C2C"/>
    <w:rsid w:val="00E311DC"/>
    <w:rsid w:val="00E3126D"/>
    <w:rsid w:val="00E31752"/>
    <w:rsid w:val="00E3534A"/>
    <w:rsid w:val="00E4082C"/>
    <w:rsid w:val="00E435B7"/>
    <w:rsid w:val="00E436A7"/>
    <w:rsid w:val="00E4444A"/>
    <w:rsid w:val="00E44DA1"/>
    <w:rsid w:val="00E46C87"/>
    <w:rsid w:val="00E519F0"/>
    <w:rsid w:val="00E576B4"/>
    <w:rsid w:val="00E61D3A"/>
    <w:rsid w:val="00E62413"/>
    <w:rsid w:val="00E64091"/>
    <w:rsid w:val="00E66237"/>
    <w:rsid w:val="00E66281"/>
    <w:rsid w:val="00E66470"/>
    <w:rsid w:val="00E6710A"/>
    <w:rsid w:val="00E67C64"/>
    <w:rsid w:val="00E71158"/>
    <w:rsid w:val="00E71BDF"/>
    <w:rsid w:val="00E7334E"/>
    <w:rsid w:val="00E81A71"/>
    <w:rsid w:val="00E8267C"/>
    <w:rsid w:val="00E84B84"/>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5A62"/>
    <w:rsid w:val="00EB61E2"/>
    <w:rsid w:val="00EB7798"/>
    <w:rsid w:val="00EC0471"/>
    <w:rsid w:val="00EC3A1C"/>
    <w:rsid w:val="00EC3C0E"/>
    <w:rsid w:val="00EC3D04"/>
    <w:rsid w:val="00EC3EC3"/>
    <w:rsid w:val="00EC539A"/>
    <w:rsid w:val="00EC608B"/>
    <w:rsid w:val="00EC6DFA"/>
    <w:rsid w:val="00ED39C3"/>
    <w:rsid w:val="00ED66FE"/>
    <w:rsid w:val="00ED68AB"/>
    <w:rsid w:val="00ED72A5"/>
    <w:rsid w:val="00EE3D44"/>
    <w:rsid w:val="00EE41E2"/>
    <w:rsid w:val="00EE60EE"/>
    <w:rsid w:val="00EF1906"/>
    <w:rsid w:val="00EF1953"/>
    <w:rsid w:val="00EF2347"/>
    <w:rsid w:val="00EF2D9E"/>
    <w:rsid w:val="00EF30B1"/>
    <w:rsid w:val="00EF3BC8"/>
    <w:rsid w:val="00EF7F7D"/>
    <w:rsid w:val="00F003DC"/>
    <w:rsid w:val="00F00476"/>
    <w:rsid w:val="00F00900"/>
    <w:rsid w:val="00F012AB"/>
    <w:rsid w:val="00F0232C"/>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5EF"/>
    <w:rsid w:val="00F509FC"/>
    <w:rsid w:val="00F50B67"/>
    <w:rsid w:val="00F515F7"/>
    <w:rsid w:val="00F52831"/>
    <w:rsid w:val="00F53B73"/>
    <w:rsid w:val="00F53D3E"/>
    <w:rsid w:val="00F56C3E"/>
    <w:rsid w:val="00F60C95"/>
    <w:rsid w:val="00F61714"/>
    <w:rsid w:val="00F6434D"/>
    <w:rsid w:val="00F65870"/>
    <w:rsid w:val="00F7015E"/>
    <w:rsid w:val="00F7297C"/>
    <w:rsid w:val="00F73B56"/>
    <w:rsid w:val="00F76C6F"/>
    <w:rsid w:val="00F777FA"/>
    <w:rsid w:val="00F77D99"/>
    <w:rsid w:val="00F817C9"/>
    <w:rsid w:val="00F820A6"/>
    <w:rsid w:val="00F828AE"/>
    <w:rsid w:val="00F83282"/>
    <w:rsid w:val="00F8540B"/>
    <w:rsid w:val="00F85ED6"/>
    <w:rsid w:val="00F91098"/>
    <w:rsid w:val="00F917FF"/>
    <w:rsid w:val="00F9398C"/>
    <w:rsid w:val="00F9535D"/>
    <w:rsid w:val="00F97BF7"/>
    <w:rsid w:val="00FA0D68"/>
    <w:rsid w:val="00FA2710"/>
    <w:rsid w:val="00FA43C6"/>
    <w:rsid w:val="00FA5090"/>
    <w:rsid w:val="00FA53DC"/>
    <w:rsid w:val="00FA7229"/>
    <w:rsid w:val="00FA7F61"/>
    <w:rsid w:val="00FB554A"/>
    <w:rsid w:val="00FB588A"/>
    <w:rsid w:val="00FC0694"/>
    <w:rsid w:val="00FC1955"/>
    <w:rsid w:val="00FC470A"/>
    <w:rsid w:val="00FC4FC5"/>
    <w:rsid w:val="00FC6828"/>
    <w:rsid w:val="00FC6982"/>
    <w:rsid w:val="00FC6F29"/>
    <w:rsid w:val="00FD1341"/>
    <w:rsid w:val="00FD2F47"/>
    <w:rsid w:val="00FD4519"/>
    <w:rsid w:val="00FD690E"/>
    <w:rsid w:val="00FD76AE"/>
    <w:rsid w:val="00FD7C7C"/>
    <w:rsid w:val="00FE363C"/>
    <w:rsid w:val="00FE3AE2"/>
    <w:rsid w:val="00FE4A4B"/>
    <w:rsid w:val="00FE4DEA"/>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827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 w:type="numbering" w:customStyle="1" w:styleId="NoList2">
    <w:name w:val="No List2"/>
    <w:next w:val="NoList"/>
    <w:uiPriority w:val="99"/>
    <w:semiHidden/>
    <w:unhideWhenUsed/>
    <w:rsid w:val="00BE0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8470">
      <w:bodyDiv w:val="1"/>
      <w:marLeft w:val="0"/>
      <w:marRight w:val="0"/>
      <w:marTop w:val="0"/>
      <w:marBottom w:val="0"/>
      <w:divBdr>
        <w:top w:val="none" w:sz="0" w:space="0" w:color="auto"/>
        <w:left w:val="none" w:sz="0" w:space="0" w:color="auto"/>
        <w:bottom w:val="none" w:sz="0" w:space="0" w:color="auto"/>
        <w:right w:val="none" w:sz="0" w:space="0" w:color="auto"/>
      </w:divBdr>
      <w:divsChild>
        <w:div w:id="219170340">
          <w:marLeft w:val="0"/>
          <w:marRight w:val="0"/>
          <w:marTop w:val="0"/>
          <w:marBottom w:val="0"/>
          <w:divBdr>
            <w:top w:val="none" w:sz="0" w:space="0" w:color="auto"/>
            <w:left w:val="none" w:sz="0" w:space="0" w:color="auto"/>
            <w:bottom w:val="none" w:sz="0" w:space="0" w:color="auto"/>
            <w:right w:val="none" w:sz="0" w:space="0" w:color="auto"/>
          </w:divBdr>
          <w:divsChild>
            <w:div w:id="608200134">
              <w:marLeft w:val="0"/>
              <w:marRight w:val="0"/>
              <w:marTop w:val="0"/>
              <w:marBottom w:val="0"/>
              <w:divBdr>
                <w:top w:val="none" w:sz="0" w:space="0" w:color="auto"/>
                <w:left w:val="none" w:sz="0" w:space="0" w:color="auto"/>
                <w:bottom w:val="none" w:sz="0" w:space="0" w:color="auto"/>
                <w:right w:val="none" w:sz="0" w:space="0" w:color="auto"/>
              </w:divBdr>
              <w:divsChild>
                <w:div w:id="2089381303">
                  <w:marLeft w:val="0"/>
                  <w:marRight w:val="0"/>
                  <w:marTop w:val="0"/>
                  <w:marBottom w:val="0"/>
                  <w:divBdr>
                    <w:top w:val="none" w:sz="0" w:space="0" w:color="auto"/>
                    <w:left w:val="none" w:sz="0" w:space="0" w:color="auto"/>
                    <w:bottom w:val="none" w:sz="0" w:space="0" w:color="auto"/>
                    <w:right w:val="none" w:sz="0" w:space="0" w:color="auto"/>
                  </w:divBdr>
                  <w:divsChild>
                    <w:div w:id="2073311409">
                      <w:marLeft w:val="0"/>
                      <w:marRight w:val="0"/>
                      <w:marTop w:val="0"/>
                      <w:marBottom w:val="0"/>
                      <w:divBdr>
                        <w:top w:val="none" w:sz="0" w:space="0" w:color="auto"/>
                        <w:left w:val="none" w:sz="0" w:space="0" w:color="auto"/>
                        <w:bottom w:val="none" w:sz="0" w:space="0" w:color="auto"/>
                        <w:right w:val="none" w:sz="0" w:space="0" w:color="auto"/>
                      </w:divBdr>
                      <w:divsChild>
                        <w:div w:id="1746948602">
                          <w:marLeft w:val="0"/>
                          <w:marRight w:val="0"/>
                          <w:marTop w:val="0"/>
                          <w:marBottom w:val="0"/>
                          <w:divBdr>
                            <w:top w:val="none" w:sz="0" w:space="0" w:color="auto"/>
                            <w:left w:val="none" w:sz="0" w:space="0" w:color="auto"/>
                            <w:bottom w:val="none" w:sz="0" w:space="0" w:color="auto"/>
                            <w:right w:val="none" w:sz="0" w:space="0" w:color="auto"/>
                          </w:divBdr>
                          <w:divsChild>
                            <w:div w:id="94643252">
                              <w:marLeft w:val="0"/>
                              <w:marRight w:val="0"/>
                              <w:marTop w:val="0"/>
                              <w:marBottom w:val="0"/>
                              <w:divBdr>
                                <w:top w:val="none" w:sz="0" w:space="0" w:color="auto"/>
                                <w:left w:val="none" w:sz="0" w:space="0" w:color="auto"/>
                                <w:bottom w:val="none" w:sz="0" w:space="0" w:color="auto"/>
                                <w:right w:val="none" w:sz="0" w:space="0" w:color="auto"/>
                              </w:divBdr>
                              <w:divsChild>
                                <w:div w:id="839083072">
                                  <w:marLeft w:val="0"/>
                                  <w:marRight w:val="0"/>
                                  <w:marTop w:val="0"/>
                                  <w:marBottom w:val="0"/>
                                  <w:divBdr>
                                    <w:top w:val="none" w:sz="0" w:space="0" w:color="auto"/>
                                    <w:left w:val="none" w:sz="0" w:space="0" w:color="auto"/>
                                    <w:bottom w:val="none" w:sz="0" w:space="0" w:color="auto"/>
                                    <w:right w:val="none" w:sz="0" w:space="0" w:color="auto"/>
                                  </w:divBdr>
                                  <w:divsChild>
                                    <w:div w:id="15642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65394">
      <w:marLeft w:val="0"/>
      <w:marRight w:val="0"/>
      <w:marTop w:val="0"/>
      <w:marBottom w:val="0"/>
      <w:divBdr>
        <w:top w:val="none" w:sz="0" w:space="0" w:color="auto"/>
        <w:left w:val="none" w:sz="0" w:space="0" w:color="auto"/>
        <w:bottom w:val="none" w:sz="0" w:space="0" w:color="auto"/>
        <w:right w:val="none" w:sz="0" w:space="0" w:color="auto"/>
      </w:divBdr>
    </w:div>
    <w:div w:id="280262449">
      <w:bodyDiv w:val="1"/>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77007338">
      <w:bodyDiv w:val="1"/>
      <w:marLeft w:val="0"/>
      <w:marRight w:val="0"/>
      <w:marTop w:val="0"/>
      <w:marBottom w:val="0"/>
      <w:divBdr>
        <w:top w:val="none" w:sz="0" w:space="0" w:color="auto"/>
        <w:left w:val="none" w:sz="0" w:space="0" w:color="auto"/>
        <w:bottom w:val="none" w:sz="0" w:space="0" w:color="auto"/>
        <w:right w:val="none" w:sz="0" w:space="0" w:color="auto"/>
      </w:divBdr>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056852262">
      <w:bodyDiv w:val="1"/>
      <w:marLeft w:val="0"/>
      <w:marRight w:val="0"/>
      <w:marTop w:val="0"/>
      <w:marBottom w:val="0"/>
      <w:divBdr>
        <w:top w:val="none" w:sz="0" w:space="0" w:color="auto"/>
        <w:left w:val="none" w:sz="0" w:space="0" w:color="auto"/>
        <w:bottom w:val="none" w:sz="0" w:space="0" w:color="auto"/>
        <w:right w:val="none" w:sz="0" w:space="0" w:color="auto"/>
      </w:divBdr>
      <w:divsChild>
        <w:div w:id="660355688">
          <w:marLeft w:val="0"/>
          <w:marRight w:val="0"/>
          <w:marTop w:val="0"/>
          <w:marBottom w:val="0"/>
          <w:divBdr>
            <w:top w:val="none" w:sz="0" w:space="0" w:color="auto"/>
            <w:left w:val="none" w:sz="0" w:space="0" w:color="auto"/>
            <w:bottom w:val="none" w:sz="0" w:space="0" w:color="auto"/>
            <w:right w:val="none" w:sz="0" w:space="0" w:color="auto"/>
          </w:divBdr>
          <w:divsChild>
            <w:div w:id="1159274783">
              <w:marLeft w:val="0"/>
              <w:marRight w:val="0"/>
              <w:marTop w:val="0"/>
              <w:marBottom w:val="0"/>
              <w:divBdr>
                <w:top w:val="none" w:sz="0" w:space="0" w:color="auto"/>
                <w:left w:val="none" w:sz="0" w:space="0" w:color="auto"/>
                <w:bottom w:val="none" w:sz="0" w:space="0" w:color="auto"/>
                <w:right w:val="none" w:sz="0" w:space="0" w:color="auto"/>
              </w:divBdr>
              <w:divsChild>
                <w:div w:id="973952496">
                  <w:marLeft w:val="0"/>
                  <w:marRight w:val="0"/>
                  <w:marTop w:val="0"/>
                  <w:marBottom w:val="0"/>
                  <w:divBdr>
                    <w:top w:val="none" w:sz="0" w:space="0" w:color="auto"/>
                    <w:left w:val="none" w:sz="0" w:space="0" w:color="auto"/>
                    <w:bottom w:val="none" w:sz="0" w:space="0" w:color="auto"/>
                    <w:right w:val="none" w:sz="0" w:space="0" w:color="auto"/>
                  </w:divBdr>
                  <w:divsChild>
                    <w:div w:id="1964991863">
                      <w:marLeft w:val="0"/>
                      <w:marRight w:val="0"/>
                      <w:marTop w:val="0"/>
                      <w:marBottom w:val="0"/>
                      <w:divBdr>
                        <w:top w:val="none" w:sz="0" w:space="0" w:color="auto"/>
                        <w:left w:val="none" w:sz="0" w:space="0" w:color="auto"/>
                        <w:bottom w:val="none" w:sz="0" w:space="0" w:color="auto"/>
                        <w:right w:val="none" w:sz="0" w:space="0" w:color="auto"/>
                      </w:divBdr>
                      <w:divsChild>
                        <w:div w:id="86662220">
                          <w:marLeft w:val="0"/>
                          <w:marRight w:val="0"/>
                          <w:marTop w:val="0"/>
                          <w:marBottom w:val="0"/>
                          <w:divBdr>
                            <w:top w:val="none" w:sz="0" w:space="0" w:color="auto"/>
                            <w:left w:val="none" w:sz="0" w:space="0" w:color="auto"/>
                            <w:bottom w:val="none" w:sz="0" w:space="0" w:color="auto"/>
                            <w:right w:val="none" w:sz="0" w:space="0" w:color="auto"/>
                          </w:divBdr>
                          <w:divsChild>
                            <w:div w:id="123163043">
                              <w:marLeft w:val="0"/>
                              <w:marRight w:val="0"/>
                              <w:marTop w:val="0"/>
                              <w:marBottom w:val="0"/>
                              <w:divBdr>
                                <w:top w:val="none" w:sz="0" w:space="0" w:color="auto"/>
                                <w:left w:val="none" w:sz="0" w:space="0" w:color="auto"/>
                                <w:bottom w:val="none" w:sz="0" w:space="0" w:color="auto"/>
                                <w:right w:val="none" w:sz="0" w:space="0" w:color="auto"/>
                              </w:divBdr>
                              <w:divsChild>
                                <w:div w:id="987435759">
                                  <w:marLeft w:val="0"/>
                                  <w:marRight w:val="0"/>
                                  <w:marTop w:val="0"/>
                                  <w:marBottom w:val="0"/>
                                  <w:divBdr>
                                    <w:top w:val="none" w:sz="0" w:space="0" w:color="auto"/>
                                    <w:left w:val="none" w:sz="0" w:space="0" w:color="auto"/>
                                    <w:bottom w:val="none" w:sz="0" w:space="0" w:color="auto"/>
                                    <w:right w:val="none" w:sz="0" w:space="0" w:color="auto"/>
                                  </w:divBdr>
                                </w:div>
                                <w:div w:id="1656373148">
                                  <w:marLeft w:val="0"/>
                                  <w:marRight w:val="0"/>
                                  <w:marTop w:val="0"/>
                                  <w:marBottom w:val="0"/>
                                  <w:divBdr>
                                    <w:top w:val="none" w:sz="0" w:space="0" w:color="auto"/>
                                    <w:left w:val="none" w:sz="0" w:space="0" w:color="auto"/>
                                    <w:bottom w:val="none" w:sz="0" w:space="0" w:color="auto"/>
                                    <w:right w:val="none" w:sz="0" w:space="0" w:color="auto"/>
                                  </w:divBdr>
                                </w:div>
                                <w:div w:id="1674606918">
                                  <w:marLeft w:val="0"/>
                                  <w:marRight w:val="0"/>
                                  <w:marTop w:val="0"/>
                                  <w:marBottom w:val="0"/>
                                  <w:divBdr>
                                    <w:top w:val="none" w:sz="0" w:space="0" w:color="auto"/>
                                    <w:left w:val="none" w:sz="0" w:space="0" w:color="auto"/>
                                    <w:bottom w:val="none" w:sz="0" w:space="0" w:color="auto"/>
                                    <w:right w:val="none" w:sz="0" w:space="0" w:color="auto"/>
                                  </w:divBdr>
                                </w:div>
                                <w:div w:id="439684654">
                                  <w:marLeft w:val="0"/>
                                  <w:marRight w:val="0"/>
                                  <w:marTop w:val="0"/>
                                  <w:marBottom w:val="0"/>
                                  <w:divBdr>
                                    <w:top w:val="none" w:sz="0" w:space="0" w:color="auto"/>
                                    <w:left w:val="none" w:sz="0" w:space="0" w:color="auto"/>
                                    <w:bottom w:val="none" w:sz="0" w:space="0" w:color="auto"/>
                                    <w:right w:val="none" w:sz="0" w:space="0" w:color="auto"/>
                                  </w:divBdr>
                                </w:div>
                                <w:div w:id="1923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640899">
                  <w:marLeft w:val="0"/>
                  <w:marRight w:val="0"/>
                  <w:marTop w:val="0"/>
                  <w:marBottom w:val="0"/>
                  <w:divBdr>
                    <w:top w:val="none" w:sz="0" w:space="0" w:color="auto"/>
                    <w:left w:val="none" w:sz="0" w:space="0" w:color="auto"/>
                    <w:bottom w:val="none" w:sz="0" w:space="0" w:color="auto"/>
                    <w:right w:val="none" w:sz="0" w:space="0" w:color="auto"/>
                  </w:divBdr>
                </w:div>
                <w:div w:id="915436841">
                  <w:marLeft w:val="0"/>
                  <w:marRight w:val="0"/>
                  <w:marTop w:val="0"/>
                  <w:marBottom w:val="0"/>
                  <w:divBdr>
                    <w:top w:val="none" w:sz="0" w:space="0" w:color="auto"/>
                    <w:left w:val="none" w:sz="0" w:space="0" w:color="auto"/>
                    <w:bottom w:val="none" w:sz="0" w:space="0" w:color="auto"/>
                    <w:right w:val="none" w:sz="0" w:space="0" w:color="auto"/>
                  </w:divBdr>
                </w:div>
                <w:div w:id="992835197">
                  <w:marLeft w:val="0"/>
                  <w:marRight w:val="0"/>
                  <w:marTop w:val="0"/>
                  <w:marBottom w:val="0"/>
                  <w:divBdr>
                    <w:top w:val="none" w:sz="0" w:space="0" w:color="auto"/>
                    <w:left w:val="none" w:sz="0" w:space="0" w:color="auto"/>
                    <w:bottom w:val="none" w:sz="0" w:space="0" w:color="auto"/>
                    <w:right w:val="none" w:sz="0" w:space="0" w:color="auto"/>
                  </w:divBdr>
                </w:div>
                <w:div w:id="525023172">
                  <w:marLeft w:val="0"/>
                  <w:marRight w:val="0"/>
                  <w:marTop w:val="0"/>
                  <w:marBottom w:val="0"/>
                  <w:divBdr>
                    <w:top w:val="none" w:sz="0" w:space="0" w:color="auto"/>
                    <w:left w:val="none" w:sz="0" w:space="0" w:color="auto"/>
                    <w:bottom w:val="none" w:sz="0" w:space="0" w:color="auto"/>
                    <w:right w:val="none" w:sz="0" w:space="0" w:color="auto"/>
                  </w:divBdr>
                </w:div>
                <w:div w:id="456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382512612">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5">
          <w:marLeft w:val="0"/>
          <w:marRight w:val="0"/>
          <w:marTop w:val="0"/>
          <w:marBottom w:val="0"/>
          <w:divBdr>
            <w:top w:val="none" w:sz="0" w:space="0" w:color="auto"/>
            <w:left w:val="none" w:sz="0" w:space="0" w:color="auto"/>
            <w:bottom w:val="none" w:sz="0" w:space="0" w:color="auto"/>
            <w:right w:val="none" w:sz="0" w:space="0" w:color="auto"/>
          </w:divBdr>
          <w:divsChild>
            <w:div w:id="1822887748">
              <w:marLeft w:val="0"/>
              <w:marRight w:val="0"/>
              <w:marTop w:val="0"/>
              <w:marBottom w:val="0"/>
              <w:divBdr>
                <w:top w:val="none" w:sz="0" w:space="0" w:color="auto"/>
                <w:left w:val="none" w:sz="0" w:space="0" w:color="auto"/>
                <w:bottom w:val="none" w:sz="0" w:space="0" w:color="auto"/>
                <w:right w:val="none" w:sz="0" w:space="0" w:color="auto"/>
              </w:divBdr>
              <w:divsChild>
                <w:div w:id="402677278">
                  <w:marLeft w:val="0"/>
                  <w:marRight w:val="0"/>
                  <w:marTop w:val="0"/>
                  <w:marBottom w:val="0"/>
                  <w:divBdr>
                    <w:top w:val="none" w:sz="0" w:space="0" w:color="auto"/>
                    <w:left w:val="none" w:sz="0" w:space="0" w:color="auto"/>
                    <w:bottom w:val="none" w:sz="0" w:space="0" w:color="auto"/>
                    <w:right w:val="none" w:sz="0" w:space="0" w:color="auto"/>
                  </w:divBdr>
                  <w:divsChild>
                    <w:div w:id="1029912217">
                      <w:marLeft w:val="0"/>
                      <w:marRight w:val="0"/>
                      <w:marTop w:val="0"/>
                      <w:marBottom w:val="0"/>
                      <w:divBdr>
                        <w:top w:val="none" w:sz="0" w:space="0" w:color="auto"/>
                        <w:left w:val="none" w:sz="0" w:space="0" w:color="auto"/>
                        <w:bottom w:val="none" w:sz="0" w:space="0" w:color="auto"/>
                        <w:right w:val="none" w:sz="0" w:space="0" w:color="auto"/>
                      </w:divBdr>
                      <w:divsChild>
                        <w:div w:id="999230176">
                          <w:marLeft w:val="0"/>
                          <w:marRight w:val="0"/>
                          <w:marTop w:val="0"/>
                          <w:marBottom w:val="0"/>
                          <w:divBdr>
                            <w:top w:val="none" w:sz="0" w:space="0" w:color="auto"/>
                            <w:left w:val="none" w:sz="0" w:space="0" w:color="auto"/>
                            <w:bottom w:val="none" w:sz="0" w:space="0" w:color="auto"/>
                            <w:right w:val="none" w:sz="0" w:space="0" w:color="auto"/>
                          </w:divBdr>
                          <w:divsChild>
                            <w:div w:id="1224292821">
                              <w:marLeft w:val="0"/>
                              <w:marRight w:val="0"/>
                              <w:marTop w:val="0"/>
                              <w:marBottom w:val="0"/>
                              <w:divBdr>
                                <w:top w:val="none" w:sz="0" w:space="0" w:color="auto"/>
                                <w:left w:val="none" w:sz="0" w:space="0" w:color="auto"/>
                                <w:bottom w:val="none" w:sz="0" w:space="0" w:color="auto"/>
                                <w:right w:val="none" w:sz="0" w:space="0" w:color="auto"/>
                              </w:divBdr>
                              <w:divsChild>
                                <w:div w:id="707530362">
                                  <w:marLeft w:val="0"/>
                                  <w:marRight w:val="0"/>
                                  <w:marTop w:val="0"/>
                                  <w:marBottom w:val="0"/>
                                  <w:divBdr>
                                    <w:top w:val="none" w:sz="0" w:space="0" w:color="auto"/>
                                    <w:left w:val="none" w:sz="0" w:space="0" w:color="auto"/>
                                    <w:bottom w:val="none" w:sz="0" w:space="0" w:color="auto"/>
                                    <w:right w:val="none" w:sz="0" w:space="0" w:color="auto"/>
                                  </w:divBdr>
                                  <w:divsChild>
                                    <w:div w:id="1301493992">
                                      <w:marLeft w:val="0"/>
                                      <w:marRight w:val="0"/>
                                      <w:marTop w:val="0"/>
                                      <w:marBottom w:val="0"/>
                                      <w:divBdr>
                                        <w:top w:val="none" w:sz="0" w:space="0" w:color="auto"/>
                                        <w:left w:val="none" w:sz="0" w:space="0" w:color="auto"/>
                                        <w:bottom w:val="none" w:sz="0" w:space="0" w:color="auto"/>
                                        <w:right w:val="none" w:sz="0" w:space="0" w:color="auto"/>
                                      </w:divBdr>
                                    </w:div>
                                  </w:divsChild>
                                </w:div>
                                <w:div w:id="2084525156">
                                  <w:marLeft w:val="0"/>
                                  <w:marRight w:val="0"/>
                                  <w:marTop w:val="0"/>
                                  <w:marBottom w:val="0"/>
                                  <w:divBdr>
                                    <w:top w:val="none" w:sz="0" w:space="0" w:color="auto"/>
                                    <w:left w:val="none" w:sz="0" w:space="0" w:color="auto"/>
                                    <w:bottom w:val="none" w:sz="0" w:space="0" w:color="auto"/>
                                    <w:right w:val="none" w:sz="0" w:space="0" w:color="auto"/>
                                  </w:divBdr>
                                </w:div>
                                <w:div w:id="256912828">
                                  <w:marLeft w:val="0"/>
                                  <w:marRight w:val="0"/>
                                  <w:marTop w:val="0"/>
                                  <w:marBottom w:val="0"/>
                                  <w:divBdr>
                                    <w:top w:val="none" w:sz="0" w:space="0" w:color="auto"/>
                                    <w:left w:val="none" w:sz="0" w:space="0" w:color="auto"/>
                                    <w:bottom w:val="none" w:sz="0" w:space="0" w:color="auto"/>
                                    <w:right w:val="none" w:sz="0" w:space="0" w:color="auto"/>
                                  </w:divBdr>
                                </w:div>
                                <w:div w:id="159661030">
                                  <w:marLeft w:val="0"/>
                                  <w:marRight w:val="0"/>
                                  <w:marTop w:val="0"/>
                                  <w:marBottom w:val="0"/>
                                  <w:divBdr>
                                    <w:top w:val="none" w:sz="0" w:space="0" w:color="auto"/>
                                    <w:left w:val="none" w:sz="0" w:space="0" w:color="auto"/>
                                    <w:bottom w:val="none" w:sz="0" w:space="0" w:color="auto"/>
                                    <w:right w:val="none" w:sz="0" w:space="0" w:color="auto"/>
                                  </w:divBdr>
                                </w:div>
                                <w:div w:id="195579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9518">
                  <w:marLeft w:val="0"/>
                  <w:marRight w:val="0"/>
                  <w:marTop w:val="0"/>
                  <w:marBottom w:val="0"/>
                  <w:divBdr>
                    <w:top w:val="none" w:sz="0" w:space="0" w:color="auto"/>
                    <w:left w:val="none" w:sz="0" w:space="0" w:color="auto"/>
                    <w:bottom w:val="none" w:sz="0" w:space="0" w:color="auto"/>
                    <w:right w:val="none" w:sz="0" w:space="0" w:color="auto"/>
                  </w:divBdr>
                </w:div>
                <w:div w:id="1157110501">
                  <w:marLeft w:val="0"/>
                  <w:marRight w:val="0"/>
                  <w:marTop w:val="0"/>
                  <w:marBottom w:val="0"/>
                  <w:divBdr>
                    <w:top w:val="none" w:sz="0" w:space="0" w:color="auto"/>
                    <w:left w:val="none" w:sz="0" w:space="0" w:color="auto"/>
                    <w:bottom w:val="none" w:sz="0" w:space="0" w:color="auto"/>
                    <w:right w:val="none" w:sz="0" w:space="0" w:color="auto"/>
                  </w:divBdr>
                </w:div>
                <w:div w:id="39063963">
                  <w:marLeft w:val="0"/>
                  <w:marRight w:val="0"/>
                  <w:marTop w:val="0"/>
                  <w:marBottom w:val="0"/>
                  <w:divBdr>
                    <w:top w:val="none" w:sz="0" w:space="0" w:color="auto"/>
                    <w:left w:val="none" w:sz="0" w:space="0" w:color="auto"/>
                    <w:bottom w:val="none" w:sz="0" w:space="0" w:color="auto"/>
                    <w:right w:val="none" w:sz="0" w:space="0" w:color="auto"/>
                  </w:divBdr>
                </w:div>
                <w:div w:id="2027437268">
                  <w:marLeft w:val="0"/>
                  <w:marRight w:val="0"/>
                  <w:marTop w:val="0"/>
                  <w:marBottom w:val="0"/>
                  <w:divBdr>
                    <w:top w:val="none" w:sz="0" w:space="0" w:color="auto"/>
                    <w:left w:val="none" w:sz="0" w:space="0" w:color="auto"/>
                    <w:bottom w:val="none" w:sz="0" w:space="0" w:color="auto"/>
                    <w:right w:val="none" w:sz="0" w:space="0" w:color="auto"/>
                  </w:divBdr>
                </w:div>
                <w:div w:id="1020816288">
                  <w:marLeft w:val="0"/>
                  <w:marRight w:val="0"/>
                  <w:marTop w:val="0"/>
                  <w:marBottom w:val="0"/>
                  <w:divBdr>
                    <w:top w:val="none" w:sz="0" w:space="0" w:color="auto"/>
                    <w:left w:val="none" w:sz="0" w:space="0" w:color="auto"/>
                    <w:bottom w:val="none" w:sz="0" w:space="0" w:color="auto"/>
                    <w:right w:val="none" w:sz="0" w:space="0" w:color="auto"/>
                  </w:divBdr>
                </w:div>
                <w:div w:id="1079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2506781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senate.gov/Tracker/ManageAccount/EmailFrequen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senate.gov/Tracker/ManageAccount/EmailFrequen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lsenate.gov/Tracker/ManageAccount/EmailFrequency" TargetMode="External"/><Relationship Id="rId4" Type="http://schemas.openxmlformats.org/officeDocument/2006/relationships/settings" Target="settings.xml"/><Relationship Id="rId9" Type="http://schemas.openxmlformats.org/officeDocument/2006/relationships/hyperlink" Target="https://www.flsenate.gov/Tracker/ManageAccount/EmailFrequen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DFE7E-3AC9-4045-A052-A8C85B89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2190</Words>
  <Characters>13177</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15337</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2016-08-08T13:06:00Z</dcterms:created>
  <dcterms:modified xsi:type="dcterms:W3CDTF">2016-08-08T13:06:00Z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