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8,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David Willis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</w:rPr>
              <w:t>Claramargaret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Groover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</w:rPr>
              <w:t>Open Position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Mickley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Arbitration Clauses in Construction Contracts</w:t>
            </w:r>
            <w:bookmarkStart w:id="3" w:name="_GoBack"/>
            <w:bookmarkEnd w:id="3"/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Randy Dow, Esq., of Boyd &amp; </w:t>
            </w:r>
            <w:proofErr w:type="spellStart"/>
            <w:r>
              <w:rPr>
                <w:bCs/>
                <w:color w:val="000000" w:themeColor="text1"/>
                <w:sz w:val="20"/>
              </w:rPr>
              <w:t>Jenerette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in Coconut Creek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108451733.1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179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2016-08-08T14:36:00Z</dcterms:created>
  <dcterms:modified xsi:type="dcterms:W3CDTF">2016-08-08T14:41:00Z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108451733.1</vt:lpwstr>
  </property>
</Properties>
</file>