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3E1" w:rsidRDefault="003D73E1">
      <w:pPr>
        <w:spacing w:line="360" w:lineRule="exact"/>
        <w:ind w:left="720" w:right="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A Bill To Be Entitled </w:t>
      </w:r>
    </w:p>
    <w:p w:rsidR="003D73E1" w:rsidRDefault="003D73E1" w:rsidP="0028061A">
      <w:pPr>
        <w:spacing w:line="360" w:lineRule="exact"/>
        <w:ind w:left="1440" w:right="720"/>
        <w:jc w:val="both"/>
        <w:rPr>
          <w:rFonts w:ascii="Courier New" w:hAnsi="Courier New" w:cs="Courier New"/>
        </w:rPr>
      </w:pPr>
      <w:r>
        <w:rPr>
          <w:rFonts w:ascii="Courier New" w:hAnsi="Courier New" w:cs="Courier New"/>
        </w:rPr>
        <w:t>An Act relating to open and expired permits; creating s. 553.7905 to provide procedures for closing open and expired building permits; amending s. 489.129 to clarify that failure to obtain inspections and close permits is a violation of a contractor’s license; providing an effective date.</w:t>
      </w:r>
    </w:p>
    <w:p w:rsidR="003D73E1" w:rsidRDefault="003D73E1">
      <w:pPr>
        <w:spacing w:line="360" w:lineRule="exact"/>
        <w:ind w:left="720" w:right="720"/>
        <w:rPr>
          <w:rFonts w:ascii="Courier New" w:hAnsi="Courier New" w:cs="Courier New"/>
        </w:rPr>
      </w:pPr>
    </w:p>
    <w:p w:rsidR="003D73E1" w:rsidRDefault="003D73E1" w:rsidP="0028061A">
      <w:pPr>
        <w:spacing w:line="360" w:lineRule="exact"/>
        <w:ind w:left="720" w:right="720" w:firstLine="720"/>
        <w:jc w:val="both"/>
        <w:rPr>
          <w:rFonts w:ascii="Courier New" w:hAnsi="Courier New" w:cs="Courier New"/>
        </w:rPr>
      </w:pPr>
      <w:r>
        <w:rPr>
          <w:rFonts w:ascii="Courier New" w:hAnsi="Courier New" w:cs="Courier New"/>
        </w:rPr>
        <w:t>Section 1.  Section 553.7905, Florida Statutes, is created to read:</w:t>
      </w:r>
    </w:p>
    <w:p w:rsidR="003D73E1" w:rsidRDefault="003D73E1" w:rsidP="0028061A">
      <w:pPr>
        <w:spacing w:line="360" w:lineRule="exact"/>
        <w:ind w:left="720" w:right="720" w:firstLine="720"/>
        <w:jc w:val="both"/>
        <w:rPr>
          <w:rFonts w:ascii="Courier New" w:hAnsi="Courier New" w:cs="Courier New"/>
        </w:rPr>
      </w:pPr>
      <w:r>
        <w:rPr>
          <w:rFonts w:ascii="Courier New" w:hAnsi="Courier New" w:cs="Courier New"/>
        </w:rPr>
        <w:t>553.7905</w:t>
      </w:r>
      <w:r>
        <w:rPr>
          <w:rFonts w:ascii="Courier New" w:hAnsi="Courier New" w:cs="Courier New"/>
        </w:rPr>
        <w:tab/>
        <w:t>Open and expired permits; procedures for closing; notices to owners applying for permits.</w:t>
      </w:r>
    </w:p>
    <w:p w:rsidR="003D73E1" w:rsidRDefault="003D73E1" w:rsidP="00D16940">
      <w:pPr>
        <w:pStyle w:val="StandardL1"/>
        <w:spacing w:after="0" w:line="360" w:lineRule="exact"/>
        <w:ind w:left="720" w:right="720"/>
        <w:rPr>
          <w:rFonts w:ascii="Courier New" w:hAnsi="Courier New" w:cs="Courier New"/>
        </w:rPr>
      </w:pPr>
      <w:r>
        <w:rPr>
          <w:rFonts w:ascii="Courier New" w:hAnsi="Courier New" w:cs="Courier New"/>
        </w:rPr>
        <w:t>Any building permit issued for construction of any commercial or residential project that has not received final inspection approval and complied with other permit requirements within one year from the expiration of the notice of commencement or last amendment thereto, or in the absence of a notice of commencement within one year from the last inspection conducted under the permit or, if no inspections have been performed on a project without a notice of commencement, within two years from the date of issuance of the permit, shall be considered an open permit.  If an open permit expires without receiving final inspection approval and complying with other permit requirements, it shall be considered an expired permit.  Open and expired permits may be closed by or on behalf of the current property owner, regardless of whether the property owner is the same owner who originally applied for the permit or is a subsequent owner, by complying with the following procedures:</w:t>
      </w:r>
    </w:p>
    <w:p w:rsidR="003D73E1" w:rsidRDefault="003D73E1" w:rsidP="00E95844">
      <w:pPr>
        <w:pStyle w:val="StandardL2"/>
        <w:spacing w:after="0" w:line="360" w:lineRule="exact"/>
        <w:ind w:left="720" w:right="720" w:firstLine="720"/>
        <w:rPr>
          <w:rFonts w:ascii="Courier New" w:hAnsi="Courier New" w:cs="Courier New"/>
        </w:rPr>
      </w:pPr>
      <w:r>
        <w:rPr>
          <w:rFonts w:ascii="Courier New" w:hAnsi="Courier New" w:cs="Courier New"/>
        </w:rPr>
        <w:t xml:space="preserve">The property owner may hire a Florida licensed contractor, bearing any license required for the performance of any work necessary to satisfy permitting conditions to close the open or expired </w:t>
      </w:r>
      <w:r>
        <w:rPr>
          <w:rFonts w:ascii="Courier New" w:hAnsi="Courier New" w:cs="Courier New"/>
        </w:rPr>
        <w:lastRenderedPageBreak/>
        <w:t xml:space="preserve">permit, to reopen the permit if it is expired, perform any necessary work to fulfill all requirements of the open or expired permit, and obtain any necessary inspections and perform any other actions required for a proper closure of the permit.  The </w:t>
      </w:r>
      <w:smartTag w:uri="urn:schemas-microsoft-com:office:smarttags" w:element="place">
        <w:smartTag w:uri="urn:schemas-microsoft-com:office:smarttags" w:element="State">
          <w:r>
            <w:rPr>
              <w:rFonts w:ascii="Courier New" w:hAnsi="Courier New" w:cs="Courier New"/>
            </w:rPr>
            <w:t>Florida</w:t>
          </w:r>
        </w:smartTag>
      </w:smartTag>
      <w:r>
        <w:rPr>
          <w:rFonts w:ascii="Courier New" w:hAnsi="Courier New" w:cs="Courier New"/>
        </w:rPr>
        <w:t xml:space="preserve"> license of the contractor performing these functions shall be current and active.  Said contractor shall not be liable for any defects or work failing to comply with any applicable code, regulation, ordinance, permit requirement or law other than as to work actually performed by the contractor.  The permit holder under the original open or expired permit shall remain liable</w:t>
      </w:r>
      <w:r w:rsidR="00195F14" w:rsidRPr="00E95844">
        <w:rPr>
          <w:rFonts w:ascii="Courier New" w:hAnsi="Courier New" w:cs="Courier New"/>
        </w:rPr>
        <w:t>, within the period of any applicable statute of limitations or repose,</w:t>
      </w:r>
      <w:r>
        <w:rPr>
          <w:rFonts w:ascii="Courier New" w:hAnsi="Courier New" w:cs="Courier New"/>
        </w:rPr>
        <w:t xml:space="preserve"> for any defects in its work or failure to comply with any applicable code, regulation, ordinance, permit requirement or law.  If any of the permitted work includes construction outside the contractor's license, the owner or contractor may hire licensed subcontractors in the scope of the permitted work who may perform the functions of the contractor as outlined in this subsection to the extent of work covered by its license.  All work required to properly close an open or expired permit under this section shall be performed in accordance with the building code in effect on the date of issuance of the open or expired permit.</w:t>
      </w:r>
    </w:p>
    <w:p w:rsidR="003D73E1" w:rsidRDefault="003D73E1" w:rsidP="00E95844">
      <w:pPr>
        <w:pStyle w:val="StandardL2"/>
        <w:spacing w:after="0" w:line="360" w:lineRule="exact"/>
        <w:ind w:left="720" w:right="720" w:firstLine="720"/>
        <w:rPr>
          <w:rFonts w:ascii="Courier New" w:hAnsi="Courier New" w:cs="Courier New"/>
        </w:rPr>
      </w:pPr>
      <w:r>
        <w:rPr>
          <w:rFonts w:ascii="Courier New" w:hAnsi="Courier New" w:cs="Courier New"/>
        </w:rPr>
        <w:t xml:space="preserve">As an alternative to the procedure in subsection 1(a) above, the property owner may hire a licensed engineer or architect, possessing a current and active Florida license, experienced in designing, supervising or inspecting work of the nature of the work covered by the open or expired permit at issue and having at least three years’ experience in performing field inspections as to such work, to inspect the construction work subject to the open or </w:t>
      </w:r>
      <w:r>
        <w:rPr>
          <w:rFonts w:ascii="Courier New" w:hAnsi="Courier New" w:cs="Courier New"/>
        </w:rPr>
        <w:lastRenderedPageBreak/>
        <w:t>expired building permit, direct any repairs necessary to comply with all permit requirements, then confirm compliance therewith by submitting an affidavit bearing the seal of the engineer or architect to the issuing building department.  If any of the permitted work includes construction outside the engineer’s or architect’s area of expertise, the owner, engineer or architect may hire engineers or architects licensed in the scope of the permitted work, who may direct any necessary repairs to comply with all permit requirements, then confirm compliance by submitting to the issuing building department a signed and sealed affidavit attesting to same.  The building department issuing the permit shall accept the affidavit or affidavits referenced in this subsection, as satisfaction of all permit requirements and shall thereafter close the building permit, unless they conduct their own final inspections within five business days of receipt of the affidavit or affidavits.</w:t>
      </w:r>
    </w:p>
    <w:p w:rsidR="003D73E1" w:rsidRDefault="003D73E1" w:rsidP="002B4329">
      <w:pPr>
        <w:pStyle w:val="StandardL2"/>
        <w:numPr>
          <w:ilvl w:val="0"/>
          <w:numId w:val="0"/>
        </w:numPr>
        <w:spacing w:after="0" w:line="360" w:lineRule="exact"/>
        <w:ind w:left="720" w:right="720" w:firstLine="720"/>
        <w:rPr>
          <w:rFonts w:ascii="Courier New" w:hAnsi="Courier New" w:cs="Courier New"/>
        </w:rPr>
      </w:pPr>
      <w:r>
        <w:rPr>
          <w:rFonts w:ascii="Courier New" w:hAnsi="Courier New" w:cs="Courier New"/>
        </w:rPr>
        <w:t>(c)</w:t>
      </w:r>
      <w:r>
        <w:rPr>
          <w:rFonts w:ascii="Courier New" w:hAnsi="Courier New" w:cs="Courier New"/>
        </w:rPr>
        <w:tab/>
        <w:t>The procedures in subsections 1(a) and (b) above shall apply regardless of whether the building permit is still open or has expired.</w:t>
      </w:r>
    </w:p>
    <w:p w:rsidR="003D73E1" w:rsidRDefault="003D73E1" w:rsidP="00D16940">
      <w:pPr>
        <w:pStyle w:val="StandardL1"/>
        <w:spacing w:after="0" w:line="360" w:lineRule="exact"/>
        <w:ind w:left="720" w:right="720"/>
        <w:rPr>
          <w:rFonts w:ascii="Courier New" w:hAnsi="Courier New" w:cs="Courier New"/>
        </w:rPr>
      </w:pPr>
      <w:r>
        <w:rPr>
          <w:rFonts w:ascii="Courier New" w:hAnsi="Courier New" w:cs="Courier New"/>
        </w:rPr>
        <w:t xml:space="preserve">A failure to properly close a building permit within five years after expiration of the date of recordation of the notice of commencement or last amendment thereto or, if no notice of commencement was recorded, then within seven years after the building permit was issued, shall not itself authorize the permitting authority to deny issuance of permits, issue notices of violation, or fine, penalize, sanction, or assess fees against a subsequent bona fide purchaser of the subject property for value.  The permitting authority shall continue to have all rights and </w:t>
      </w:r>
      <w:bookmarkStart w:id="0" w:name="_GoBack"/>
      <w:r>
        <w:rPr>
          <w:rFonts w:ascii="Courier New" w:hAnsi="Courier New" w:cs="Courier New"/>
        </w:rPr>
        <w:t>remedies</w:t>
      </w:r>
      <w:bookmarkEnd w:id="0"/>
      <w:r>
        <w:rPr>
          <w:rFonts w:ascii="Courier New" w:hAnsi="Courier New" w:cs="Courier New"/>
        </w:rPr>
        <w:t xml:space="preserve"> against the property owner and contractor who obtained and subsequently failed to close the </w:t>
      </w:r>
      <w:r>
        <w:rPr>
          <w:rFonts w:ascii="Courier New" w:hAnsi="Courier New" w:cs="Courier New"/>
        </w:rPr>
        <w:lastRenderedPageBreak/>
        <w:t xml:space="preserve">permit.  The Florida Building Commission shall adopt rules and amend the applicable Florida Building Code to enact procedures designed to encourage property owners to ensure permits are properly closed.  </w:t>
      </w:r>
    </w:p>
    <w:p w:rsidR="003D73E1" w:rsidRDefault="003D73E1">
      <w:pPr>
        <w:pStyle w:val="StandardL1"/>
        <w:spacing w:line="360" w:lineRule="exact"/>
        <w:ind w:left="720" w:right="720"/>
        <w:rPr>
          <w:rFonts w:ascii="Courier New" w:hAnsi="Courier New" w:cs="Courier New"/>
        </w:rPr>
      </w:pPr>
      <w:r>
        <w:rPr>
          <w:rFonts w:ascii="Courier New" w:hAnsi="Courier New" w:cs="Courier New"/>
        </w:rPr>
        <w:t>When issuing any building permit, the building department shall provide to the property owner a mandatory written notice in the following form:</w:t>
      </w:r>
    </w:p>
    <w:p w:rsidR="003D73E1" w:rsidRDefault="003D73E1">
      <w:pPr>
        <w:spacing w:after="240" w:line="360" w:lineRule="exact"/>
        <w:ind w:left="720" w:right="720" w:firstLine="720"/>
        <w:jc w:val="both"/>
        <w:rPr>
          <w:rFonts w:ascii="Courier New" w:hAnsi="Courier New" w:cs="Courier New"/>
        </w:rPr>
      </w:pPr>
      <w:r>
        <w:rPr>
          <w:rFonts w:ascii="Courier New" w:hAnsi="Courier New" w:cs="Courier New"/>
        </w:rPr>
        <w:t>IMPORTANT NOTICE REGARDING PERMIT CLOSE-OUTS</w:t>
      </w:r>
    </w:p>
    <w:p w:rsidR="003D73E1" w:rsidRDefault="003D73E1" w:rsidP="0028061A">
      <w:pPr>
        <w:spacing w:line="360" w:lineRule="exact"/>
        <w:ind w:left="720" w:right="720" w:firstLine="720"/>
        <w:jc w:val="both"/>
        <w:rPr>
          <w:rFonts w:ascii="Courier New" w:hAnsi="Courier New" w:cs="Courier New"/>
        </w:rPr>
      </w:pPr>
      <w:r>
        <w:rPr>
          <w:rFonts w:ascii="Courier New" w:hAnsi="Courier New" w:cs="Courier New"/>
        </w:rPr>
        <w:t>“You are receiving a building permit authorizing the construction referenced in the application that was submitted to this building department by you or on your behalf.  The permit is issued with conditions, including required building inspections and assurances that the construction complies with the design submitted with the permit application and any other conditions referenced in the permit.  It is critical that you ensure that all necessary building inspections are obtained and passed before the expiration of any notice of commencement or amendment thereto, as these inspections are important to ensure construction has been performed in a safe and proper manner. If you have any questions regarding these procedures, please call the building department.  Your failure to comply may not only lead to the forfeiture of your deposit, but may also result in unsafe conditions arising from your construction.”</w:t>
      </w:r>
    </w:p>
    <w:p w:rsidR="003D73E1" w:rsidRDefault="003D73E1" w:rsidP="00D16940">
      <w:pPr>
        <w:pStyle w:val="StandardL1"/>
        <w:spacing w:after="0" w:line="360" w:lineRule="exact"/>
        <w:ind w:left="720" w:right="720"/>
        <w:rPr>
          <w:rFonts w:ascii="Courier New" w:hAnsi="Courier New" w:cs="Courier New"/>
        </w:rPr>
      </w:pPr>
      <w:r>
        <w:rPr>
          <w:rFonts w:ascii="Courier New" w:hAnsi="Courier New" w:cs="Courier New"/>
        </w:rPr>
        <w:t xml:space="preserve">Municipalities, counties and building departments may not charge separate search fees for open or unexpired building permits for any units or subunits assigned by any municipality or county to a particular tax parcel identification number.  Only one search fee per tax parcel identification number may be charged, in an amount not to exceed $150.00. </w:t>
      </w:r>
    </w:p>
    <w:p w:rsidR="003D73E1" w:rsidRDefault="003D73E1" w:rsidP="002B4329">
      <w:pPr>
        <w:pStyle w:val="StandardL1"/>
        <w:numPr>
          <w:ilvl w:val="0"/>
          <w:numId w:val="0"/>
        </w:numPr>
        <w:spacing w:after="0" w:line="360" w:lineRule="exact"/>
        <w:ind w:left="720" w:right="720" w:firstLine="720"/>
        <w:rPr>
          <w:rFonts w:ascii="Courier New" w:hAnsi="Courier New" w:cs="Courier New"/>
        </w:rPr>
      </w:pPr>
      <w:r>
        <w:rPr>
          <w:rFonts w:ascii="Courier New" w:hAnsi="Courier New" w:cs="Courier New"/>
        </w:rPr>
        <w:lastRenderedPageBreak/>
        <w:t>(5)</w:t>
      </w:r>
      <w:r>
        <w:rPr>
          <w:rFonts w:ascii="Courier New" w:hAnsi="Courier New" w:cs="Courier New"/>
        </w:rPr>
        <w:tab/>
        <w:t>The building department shall send a written notice to permit holders</w:t>
      </w:r>
      <w:r w:rsidR="00F6261A">
        <w:rPr>
          <w:rFonts w:ascii="Courier New" w:hAnsi="Courier New" w:cs="Courier New"/>
        </w:rPr>
        <w:t xml:space="preserve"> </w:t>
      </w:r>
      <w:r w:rsidR="00F6261A" w:rsidRPr="00AB4DD0">
        <w:rPr>
          <w:rFonts w:ascii="Courier New" w:hAnsi="Courier New" w:cs="Courier New"/>
        </w:rPr>
        <w:t>on</w:t>
      </w:r>
      <w:r>
        <w:rPr>
          <w:rFonts w:ascii="Courier New" w:hAnsi="Courier New" w:cs="Courier New"/>
        </w:rPr>
        <w:t xml:space="preserve"> improvements to real property consisting of single or multiple family dwellings up to and including four units one year after issuance of any permit that has not been properly closed out within that time advising the permit holder of the need to properly close out the permit upon completion of the work covered by same.</w:t>
      </w:r>
    </w:p>
    <w:p w:rsidR="00635833" w:rsidRDefault="00635833" w:rsidP="00AE79F9">
      <w:pPr>
        <w:pStyle w:val="StandardL1"/>
        <w:numPr>
          <w:ilvl w:val="0"/>
          <w:numId w:val="0"/>
        </w:numPr>
        <w:spacing w:line="360" w:lineRule="exact"/>
        <w:ind w:left="720" w:right="720" w:firstLine="720"/>
        <w:rPr>
          <w:rFonts w:ascii="Courier New" w:hAnsi="Courier New" w:cs="Courier New"/>
        </w:rPr>
      </w:pPr>
      <w:r w:rsidRPr="00AE79F9">
        <w:rPr>
          <w:rFonts w:ascii="Courier New" w:hAnsi="Courier New" w:cs="Courier New"/>
        </w:rPr>
        <w:t>(6)  Nothing in this Act shall prevent local government jurisdictions from enforcing any provision of a local land development code or other local ordinances.</w:t>
      </w:r>
    </w:p>
    <w:p w:rsidR="003D73E1" w:rsidRDefault="003D73E1" w:rsidP="00AE79F9">
      <w:pPr>
        <w:pStyle w:val="StandardL1"/>
        <w:numPr>
          <w:ilvl w:val="0"/>
          <w:numId w:val="0"/>
        </w:numPr>
        <w:spacing w:after="0" w:line="360" w:lineRule="exact"/>
        <w:ind w:left="720" w:right="720" w:firstLine="720"/>
        <w:rPr>
          <w:rFonts w:ascii="Courier New" w:hAnsi="Courier New" w:cs="Courier New"/>
        </w:rPr>
      </w:pPr>
      <w:r>
        <w:rPr>
          <w:rFonts w:ascii="Courier New" w:hAnsi="Courier New" w:cs="Courier New"/>
        </w:rPr>
        <w:t>Section 2.</w:t>
      </w:r>
      <w:r>
        <w:rPr>
          <w:rFonts w:ascii="Courier New" w:hAnsi="Courier New" w:cs="Courier New"/>
        </w:rPr>
        <w:tab/>
        <w:t xml:space="preserve">Section 489.129, Florida Statutes, is amended to read: </w:t>
      </w:r>
    </w:p>
    <w:p w:rsidR="003D73E1" w:rsidRPr="00AE79F9" w:rsidRDefault="003D73E1" w:rsidP="00AE79F9">
      <w:pPr>
        <w:spacing w:line="360" w:lineRule="exact"/>
        <w:ind w:left="720" w:right="720" w:firstLine="720"/>
        <w:jc w:val="both"/>
        <w:rPr>
          <w:rStyle w:val="emdash"/>
          <w:rFonts w:ascii="Courier New" w:hAnsi="Courier New"/>
        </w:rPr>
      </w:pPr>
      <w:r w:rsidRPr="00AE79F9">
        <w:rPr>
          <w:rStyle w:val="sectionnumber"/>
          <w:rFonts w:ascii="Courier New" w:hAnsi="Courier New"/>
        </w:rPr>
        <w:t xml:space="preserve">489.129 </w:t>
      </w:r>
      <w:r w:rsidRPr="00AE79F9">
        <w:rPr>
          <w:rStyle w:val="catchlinetext"/>
          <w:rFonts w:ascii="Courier New" w:hAnsi="Courier New"/>
        </w:rPr>
        <w:t>Disciplinary proceedings.</w:t>
      </w:r>
      <w:r w:rsidRPr="00AE79F9">
        <w:rPr>
          <w:rStyle w:val="emdash"/>
          <w:rFonts w:ascii="Courier New" w:hAnsi="Courier New"/>
        </w:rPr>
        <w:t>—</w:t>
      </w:r>
    </w:p>
    <w:p w:rsidR="003D73E1" w:rsidRDefault="003D73E1" w:rsidP="00AE79F9">
      <w:pPr>
        <w:spacing w:line="360" w:lineRule="exact"/>
        <w:ind w:left="720" w:right="720" w:firstLine="720"/>
        <w:jc w:val="both"/>
        <w:rPr>
          <w:rFonts w:ascii="Courier New" w:hAnsi="Courier New" w:cs="Courier New"/>
        </w:rPr>
      </w:pPr>
      <w:r>
        <w:rPr>
          <w:rStyle w:val="number"/>
          <w:rFonts w:ascii="Courier New" w:hAnsi="Courier New" w:cs="Courier New"/>
        </w:rPr>
        <w:t>(</w:t>
      </w:r>
      <w:r w:rsidRPr="00AE79F9">
        <w:rPr>
          <w:rStyle w:val="number"/>
          <w:rFonts w:ascii="Courier New" w:hAnsi="Courier New"/>
        </w:rPr>
        <w:t>1)</w:t>
      </w:r>
      <w:r w:rsidRPr="00AE79F9">
        <w:rPr>
          <w:rStyle w:val="number"/>
          <w:rFonts w:ascii="Courier New" w:hAnsi="Courier New"/>
        </w:rPr>
        <w:tab/>
      </w:r>
      <w:r w:rsidRPr="00AE79F9">
        <w:rPr>
          <w:rStyle w:val="textintrojustify"/>
          <w:rFonts w:ascii="Courier New" w:hAnsi="Courier New"/>
        </w:rPr>
        <w:t xml:space="preserve">The board may take any of the following actions against any certificateholder or registrant: place on probation or reprimand the licensee, revoke, suspend, or deny the issuance or renewal of the certificate or registration, require financial restitution to a consumer for financial harm directly related to a violation of a provision of this part, impose an administrative fine not to exceed $10,000 per violation, require continuing education, or assess costs associated with investigation and prosecution, if the contractor, financially responsible officer, or business organization for which the contractor is a primary qualifying agent, a financially responsible officer, or a secondary qualifying agent responsible under s. </w:t>
      </w:r>
      <w:r>
        <w:rPr>
          <w:rStyle w:val="textintrojustify"/>
          <w:rFonts w:ascii="Courier New" w:hAnsi="Courier New" w:cs="Courier New"/>
        </w:rPr>
        <w:t>489.1195</w:t>
      </w:r>
      <w:r w:rsidRPr="00AE79F9">
        <w:rPr>
          <w:rStyle w:val="textintrojustify"/>
          <w:rFonts w:ascii="Courier New" w:hAnsi="Courier New"/>
        </w:rPr>
        <w:t xml:space="preserve"> is found guilty of any of the following acts:</w:t>
      </w:r>
    </w:p>
    <w:p w:rsidR="003D73E1" w:rsidRPr="00AE79F9"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a)</w:t>
      </w:r>
      <w:r>
        <w:rPr>
          <w:rStyle w:val="number"/>
          <w:rFonts w:ascii="Courier New" w:hAnsi="Courier New" w:cs="Courier New"/>
        </w:rPr>
        <w:tab/>
      </w:r>
      <w:r w:rsidRPr="00AE79F9">
        <w:rPr>
          <w:rStyle w:val="textintrojustify"/>
          <w:rFonts w:ascii="Courier New" w:hAnsi="Courier New"/>
        </w:rPr>
        <w:t>Obtaining a certificate or registration by fraud or misrepresentation.</w:t>
      </w:r>
    </w:p>
    <w:p w:rsidR="003D73E1" w:rsidRPr="00AE79F9"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b)</w:t>
      </w:r>
      <w:r>
        <w:rPr>
          <w:rStyle w:val="number"/>
          <w:rFonts w:ascii="Courier New" w:hAnsi="Courier New" w:cs="Courier New"/>
        </w:rPr>
        <w:tab/>
      </w:r>
      <w:r w:rsidRPr="00AE79F9">
        <w:rPr>
          <w:rStyle w:val="textintrojustify"/>
          <w:rFonts w:ascii="Courier New" w:hAnsi="Courier New"/>
        </w:rPr>
        <w:t xml:space="preserve">Being convicted or found guilty of, or entering a plea of nolo contendere to, regardless of </w:t>
      </w:r>
      <w:r w:rsidRPr="00AE79F9">
        <w:rPr>
          <w:rStyle w:val="textintrojustify"/>
          <w:rFonts w:ascii="Courier New" w:hAnsi="Courier New"/>
        </w:rPr>
        <w:lastRenderedPageBreak/>
        <w:t>adjudication, a crime in any jurisdiction which directly relates to the practice of contracting or the ability to practice contracting.</w:t>
      </w:r>
    </w:p>
    <w:p w:rsidR="003D73E1" w:rsidRPr="00AE79F9"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c)</w:t>
      </w:r>
      <w:r>
        <w:rPr>
          <w:rStyle w:val="number"/>
          <w:rFonts w:ascii="Courier New" w:hAnsi="Courier New" w:cs="Courier New"/>
        </w:rPr>
        <w:tab/>
      </w:r>
      <w:r w:rsidRPr="00AE79F9">
        <w:rPr>
          <w:rStyle w:val="textintrojustify"/>
          <w:rFonts w:ascii="Courier New" w:hAnsi="Courier New"/>
        </w:rPr>
        <w:t>Violating any provision of chapter 455.</w:t>
      </w:r>
    </w:p>
    <w:p w:rsidR="003D73E1" w:rsidRPr="00AE79F9"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d)</w:t>
      </w:r>
      <w:r>
        <w:rPr>
          <w:rStyle w:val="number"/>
          <w:rFonts w:ascii="Courier New" w:hAnsi="Courier New" w:cs="Courier New"/>
        </w:rPr>
        <w:tab/>
      </w:r>
      <w:r w:rsidRPr="00AE79F9">
        <w:rPr>
          <w:rStyle w:val="textintrojustify"/>
          <w:rFonts w:ascii="Courier New" w:hAnsi="Courier New"/>
        </w:rPr>
        <w:t>Performing any act which assists a person or entity in engaging in the prohibited uncertified and unregistered practice of contracting, if the certificateholder or registrant knows or has reasonable grounds to know that the person or entity was uncertified and unregistered.</w:t>
      </w:r>
    </w:p>
    <w:p w:rsidR="003D73E1" w:rsidRPr="00AE79F9"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e)</w:t>
      </w:r>
      <w:r>
        <w:rPr>
          <w:rStyle w:val="number"/>
          <w:rFonts w:ascii="Courier New" w:hAnsi="Courier New" w:cs="Courier New"/>
        </w:rPr>
        <w:tab/>
      </w:r>
      <w:r w:rsidRPr="00AE79F9">
        <w:rPr>
          <w:rStyle w:val="textintrojustify"/>
          <w:rFonts w:ascii="Courier New" w:hAnsi="Courier New"/>
        </w:rPr>
        <w:t>Knowingly combining or conspiring with an uncertified or unregistered person by allowing his or her certificate or registration to be used by the uncertified or unregistered person with intent to evade the provisions of this part. When a certificateholder or registrant allows his or her certificate or registration to be used by one or more business organizations without having any active participation in the operations, management, or control of such business organizations, such act constitutes prima facie evidence of an intent to evade the provisions of this part.</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f)</w:t>
      </w:r>
      <w:r>
        <w:rPr>
          <w:rStyle w:val="number"/>
          <w:rFonts w:ascii="Courier New" w:hAnsi="Courier New" w:cs="Courier New"/>
        </w:rPr>
        <w:tab/>
      </w:r>
      <w:r w:rsidRPr="0028061A">
        <w:rPr>
          <w:rStyle w:val="textintrojustify"/>
          <w:rFonts w:ascii="Courier New" w:hAnsi="Courier New"/>
        </w:rPr>
        <w:t>Acting in the capacity of a contractor under any certificate or registration issued hereunder except in the name of the certificateholder or registrant as set forth on the issued certificate or registration, or in accordance with the personnel of the certificateholder or registrant as set forth in the application for the certificate or registration, or as later changed as provided in this part.</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g)</w:t>
      </w:r>
      <w:r>
        <w:rPr>
          <w:rStyle w:val="number"/>
          <w:rFonts w:ascii="Courier New" w:hAnsi="Courier New" w:cs="Courier New"/>
        </w:rPr>
        <w:tab/>
      </w:r>
      <w:r w:rsidRPr="0028061A">
        <w:rPr>
          <w:rStyle w:val="textintrojustify"/>
          <w:rFonts w:ascii="Courier New" w:hAnsi="Courier New"/>
        </w:rPr>
        <w:t>Committing mismanagement or misconduct in the practice of contracting that causes financial harm to a customer. Financial mismanagement or misconduct occurs when:</w:t>
      </w:r>
    </w:p>
    <w:p w:rsidR="003D73E1" w:rsidRPr="0028061A" w:rsidRDefault="003D73E1" w:rsidP="00AE79F9">
      <w:pPr>
        <w:spacing w:line="360" w:lineRule="exact"/>
        <w:ind w:left="720" w:right="720" w:firstLine="720"/>
        <w:jc w:val="both"/>
        <w:rPr>
          <w:rFonts w:ascii="Courier New" w:hAnsi="Courier New"/>
        </w:rPr>
      </w:pPr>
      <w:r w:rsidRPr="0028061A">
        <w:rPr>
          <w:rStyle w:val="number"/>
          <w:rFonts w:ascii="Courier New" w:hAnsi="Courier New"/>
        </w:rPr>
        <w:t>1.</w:t>
      </w:r>
      <w:r>
        <w:rPr>
          <w:rStyle w:val="number"/>
          <w:rFonts w:ascii="Courier New" w:hAnsi="Courier New" w:cs="Courier New"/>
        </w:rPr>
        <w:tab/>
      </w:r>
      <w:r w:rsidRPr="0028061A">
        <w:rPr>
          <w:rStyle w:val="textintrojustify"/>
          <w:rFonts w:ascii="Courier New" w:hAnsi="Courier New"/>
        </w:rPr>
        <w:t xml:space="preserve">Valid liens have been recorded against the property of a contractor’s customer for supplies or </w:t>
      </w:r>
      <w:r w:rsidRPr="0028061A">
        <w:rPr>
          <w:rStyle w:val="textintrojustify"/>
          <w:rFonts w:ascii="Courier New" w:hAnsi="Courier New"/>
        </w:rPr>
        <w:lastRenderedPageBreak/>
        <w:t>services ordered by the contractor for the customer’s job; the contractor has received funds from the customer to pay for the supplies or services; and the contractor has not had the liens removed from the property, by payment or by bond, within 75 days after the date of such liens;</w:t>
      </w:r>
    </w:p>
    <w:p w:rsidR="003D73E1" w:rsidRPr="0028061A" w:rsidRDefault="003D73E1" w:rsidP="00AE79F9">
      <w:pPr>
        <w:spacing w:line="360" w:lineRule="exact"/>
        <w:ind w:left="720" w:right="720" w:firstLine="720"/>
        <w:jc w:val="both"/>
        <w:rPr>
          <w:rFonts w:ascii="Courier New" w:hAnsi="Courier New"/>
        </w:rPr>
      </w:pPr>
      <w:r w:rsidRPr="0028061A">
        <w:rPr>
          <w:rStyle w:val="number"/>
          <w:rFonts w:ascii="Courier New" w:hAnsi="Courier New"/>
        </w:rPr>
        <w:t>2.</w:t>
      </w:r>
      <w:r w:rsidRPr="0028061A">
        <w:rPr>
          <w:rStyle w:val="number"/>
          <w:rFonts w:ascii="Courier New" w:hAnsi="Courier New"/>
        </w:rPr>
        <w:tab/>
      </w:r>
      <w:r w:rsidRPr="0028061A">
        <w:rPr>
          <w:rStyle w:val="textintrojustify"/>
          <w:rFonts w:ascii="Courier New" w:hAnsi="Courier New"/>
        </w:rPr>
        <w:t>The contractor has abandoned a customer’s job and the percentage of completion is less than the percentage of the total contract price paid to the contractor as of the time of abandonment, unless the contractor is entitled to retain such funds under the terms of the contract or refunds the excess funds within 30 days after the date the job is abandoned; or</w:t>
      </w:r>
    </w:p>
    <w:p w:rsidR="003D73E1" w:rsidRPr="0028061A" w:rsidRDefault="003D73E1" w:rsidP="00AE79F9">
      <w:pPr>
        <w:spacing w:line="360" w:lineRule="exact"/>
        <w:ind w:left="720" w:right="720" w:firstLine="720"/>
        <w:jc w:val="both"/>
        <w:rPr>
          <w:rFonts w:ascii="Courier New" w:hAnsi="Courier New"/>
        </w:rPr>
      </w:pPr>
      <w:r w:rsidRPr="0028061A">
        <w:rPr>
          <w:rStyle w:val="number"/>
          <w:rFonts w:ascii="Courier New" w:hAnsi="Courier New"/>
        </w:rPr>
        <w:t>3.</w:t>
      </w:r>
      <w:r w:rsidRPr="0028061A">
        <w:rPr>
          <w:rStyle w:val="number"/>
          <w:rFonts w:ascii="Courier New" w:hAnsi="Courier New"/>
        </w:rPr>
        <w:tab/>
      </w:r>
      <w:r w:rsidRPr="0028061A">
        <w:rPr>
          <w:rStyle w:val="textintrojustify"/>
          <w:rFonts w:ascii="Courier New" w:hAnsi="Courier New"/>
        </w:rPr>
        <w:t>The contractor’s job has been completed, and it is shown that the customer has had to pay more for the contracted job than the original contract price, as adjusted for subsequent change orders, unless such increase in cost was the result of circumstances beyond the control of the contractor, was the result of circumstances caused by the customer, or was otherwise permitted by the terms of the contract between the contractor and the customer.</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h)</w:t>
      </w:r>
      <w:r w:rsidRPr="0028061A">
        <w:rPr>
          <w:rStyle w:val="number"/>
          <w:rFonts w:ascii="Courier New" w:hAnsi="Courier New"/>
        </w:rPr>
        <w:tab/>
      </w:r>
      <w:r w:rsidRPr="0028061A">
        <w:rPr>
          <w:rStyle w:val="textintrojustify"/>
          <w:rFonts w:ascii="Courier New" w:hAnsi="Courier New"/>
        </w:rPr>
        <w:t>Being disciplined by any municipality or county for an act or violation of this part.</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i)</w:t>
      </w:r>
      <w:r w:rsidRPr="0028061A">
        <w:rPr>
          <w:rStyle w:val="number"/>
          <w:rFonts w:ascii="Courier New" w:hAnsi="Courier New"/>
        </w:rPr>
        <w:tab/>
      </w:r>
      <w:r w:rsidRPr="0028061A">
        <w:rPr>
          <w:rStyle w:val="textintrojustify"/>
          <w:rFonts w:ascii="Courier New" w:hAnsi="Courier New"/>
        </w:rPr>
        <w:t>Failing in any material respect to comply with the provisions of this part or violating a rule or lawful order of the board.</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j)</w:t>
      </w:r>
      <w:r w:rsidRPr="0028061A">
        <w:rPr>
          <w:rStyle w:val="number"/>
          <w:rFonts w:ascii="Courier New" w:hAnsi="Courier New"/>
        </w:rPr>
        <w:tab/>
      </w:r>
      <w:r w:rsidRPr="0028061A">
        <w:rPr>
          <w:rStyle w:val="textintrojustify"/>
          <w:rFonts w:ascii="Courier New" w:hAnsi="Courier New"/>
        </w:rPr>
        <w:t>Abandoning a construction project in which the contractor is engaged or under contract as a contractor. A project may be presumed abandoned after 90 days if the contractor terminates the project without just cause or without proper notification to the owner, including the reason for termination, or fails to perform work without just cause for 90 consecutive days.</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lastRenderedPageBreak/>
        <w:t>(</w:t>
      </w:r>
      <w:r w:rsidRPr="0028061A">
        <w:rPr>
          <w:rStyle w:val="number"/>
          <w:rFonts w:ascii="Courier New" w:hAnsi="Courier New"/>
        </w:rPr>
        <w:t>k)</w:t>
      </w:r>
      <w:r w:rsidRPr="0028061A">
        <w:rPr>
          <w:rStyle w:val="number"/>
          <w:rFonts w:ascii="Courier New" w:hAnsi="Courier New"/>
        </w:rPr>
        <w:tab/>
      </w:r>
      <w:r w:rsidRPr="0028061A">
        <w:rPr>
          <w:rStyle w:val="textintrojustify"/>
          <w:rFonts w:ascii="Courier New" w:hAnsi="Courier New"/>
        </w:rPr>
        <w:t>Signing a statement with respect to a project or contract falsely indicating that the work is bonded; falsely indicating that payment has been made for all subcontracted work, labor, and materials which results in a financial loss to the owner, purchaser, or contractor; or falsely indicating that workers’ compensation and public liability insurance are provided.</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l)</w:t>
      </w:r>
      <w:r w:rsidRPr="0028061A">
        <w:rPr>
          <w:rStyle w:val="number"/>
          <w:rFonts w:ascii="Courier New" w:hAnsi="Courier New"/>
        </w:rPr>
        <w:tab/>
      </w:r>
      <w:r w:rsidRPr="0028061A">
        <w:rPr>
          <w:rStyle w:val="textintrojustify"/>
          <w:rFonts w:ascii="Courier New" w:hAnsi="Courier New"/>
        </w:rPr>
        <w:t>Committing fraud or deceit in the practice of contracting.</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m)</w:t>
      </w:r>
      <w:r w:rsidRPr="0028061A">
        <w:rPr>
          <w:rStyle w:val="number"/>
          <w:rFonts w:ascii="Courier New" w:hAnsi="Courier New"/>
        </w:rPr>
        <w:tab/>
      </w:r>
      <w:r w:rsidRPr="0028061A">
        <w:rPr>
          <w:rStyle w:val="textintrojustify"/>
          <w:rFonts w:ascii="Courier New" w:hAnsi="Courier New"/>
        </w:rPr>
        <w:t>Committing incompetency or misconduct in the practice of contracting.</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n)</w:t>
      </w:r>
      <w:r w:rsidRPr="0028061A">
        <w:rPr>
          <w:rStyle w:val="number"/>
          <w:rFonts w:ascii="Courier New" w:hAnsi="Courier New"/>
        </w:rPr>
        <w:tab/>
      </w:r>
      <w:r w:rsidRPr="0028061A">
        <w:rPr>
          <w:rStyle w:val="textintrojustify"/>
          <w:rFonts w:ascii="Courier New" w:hAnsi="Courier New"/>
        </w:rPr>
        <w:t>Committing gross negligence, repeated negligence, or negligence resulting in a significant danger to life or property.</w:t>
      </w:r>
    </w:p>
    <w:p w:rsidR="003D73E1" w:rsidRPr="0028061A" w:rsidRDefault="003D73E1" w:rsidP="00AE79F9">
      <w:pPr>
        <w:spacing w:line="360" w:lineRule="exact"/>
        <w:ind w:left="720" w:right="720" w:firstLine="720"/>
        <w:jc w:val="both"/>
        <w:rPr>
          <w:rFonts w:ascii="Courier New" w:hAnsi="Courier New"/>
        </w:rPr>
      </w:pPr>
      <w:r>
        <w:rPr>
          <w:rStyle w:val="number"/>
          <w:rFonts w:ascii="Courier New" w:hAnsi="Courier New" w:cs="Courier New"/>
        </w:rPr>
        <w:t>(</w:t>
      </w:r>
      <w:r w:rsidRPr="0028061A">
        <w:rPr>
          <w:rStyle w:val="number"/>
          <w:rFonts w:ascii="Courier New" w:hAnsi="Courier New"/>
        </w:rPr>
        <w:t>o)</w:t>
      </w:r>
      <w:r w:rsidRPr="0028061A">
        <w:rPr>
          <w:rStyle w:val="number"/>
          <w:rFonts w:ascii="Courier New" w:hAnsi="Courier New"/>
        </w:rPr>
        <w:tab/>
      </w:r>
      <w:r w:rsidRPr="0028061A">
        <w:rPr>
          <w:rStyle w:val="textintrojustify"/>
          <w:rFonts w:ascii="Courier New" w:hAnsi="Courier New"/>
        </w:rPr>
        <w:t xml:space="preserve">Proceeding on any job without obtaining applicable local building department permits and inspections </w:t>
      </w:r>
      <w:r w:rsidRPr="0028061A">
        <w:rPr>
          <w:rStyle w:val="textintrojustify"/>
          <w:rFonts w:ascii="Courier New" w:hAnsi="Courier New"/>
          <w:u w:val="single"/>
        </w:rPr>
        <w:t>or failing to properly close out any permits or satisfy any applicable permit requirements</w:t>
      </w:r>
      <w:r w:rsidRPr="0028061A">
        <w:rPr>
          <w:rStyle w:val="textintrojustify"/>
          <w:rFonts w:ascii="Courier New" w:hAnsi="Courier New"/>
        </w:rPr>
        <w:t>.</w:t>
      </w:r>
    </w:p>
    <w:p w:rsidR="003D73E1" w:rsidRPr="0078660E" w:rsidRDefault="003D73E1" w:rsidP="0028061A">
      <w:pPr>
        <w:pStyle w:val="StandardL1"/>
        <w:spacing w:line="360" w:lineRule="exact"/>
        <w:ind w:firstLine="1440"/>
      </w:pPr>
      <w:r>
        <w:rPr>
          <w:rFonts w:ascii="Courier New" w:hAnsi="Courier New" w:cs="Courier New"/>
        </w:rPr>
        <w:t>This act shall take effect July 1, 2017.</w:t>
      </w:r>
    </w:p>
    <w:p w:rsidR="0078660E" w:rsidRDefault="0078660E" w:rsidP="0078660E">
      <w:pPr>
        <w:spacing w:line="200" w:lineRule="exact"/>
      </w:pPr>
      <w:r w:rsidRPr="0078660E">
        <w:rPr>
          <w:rStyle w:val="zzmpTrailerItem"/>
        </w:rPr>
        <w:t>ACTIVE: 8785548_1</w:t>
      </w:r>
      <w:r w:rsidRPr="0078660E">
        <w:t xml:space="preserve"> </w:t>
      </w:r>
    </w:p>
    <w:sectPr w:rsidR="0078660E">
      <w:footerReference w:type="default" r:id="rId7"/>
      <w:pgSz w:w="12240" w:h="15840" w:code="1"/>
      <w:pgMar w:top="1440" w:right="1440" w:bottom="1440" w:left="1440" w:header="720" w:footer="432" w:gutter="0"/>
      <w:paperSrc w:first="15" w:other="15"/>
      <w:pgBorders>
        <w:left w:val="single" w:sz="4" w:space="4" w:color="auto"/>
        <w:right w:val="single" w:sz="4" w:space="4" w:color="auto"/>
      </w:pgBorders>
      <w:lnNumType w:countBy="1" w:distance="288"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75A" w:rsidRDefault="00F7175A">
      <w:r>
        <w:separator/>
      </w:r>
    </w:p>
  </w:endnote>
  <w:endnote w:type="continuationSeparator" w:id="0">
    <w:p w:rsidR="00F7175A" w:rsidRDefault="00F7175A">
      <w:r>
        <w:continuationSeparator/>
      </w:r>
    </w:p>
  </w:endnote>
  <w:endnote w:type="continuationNotice" w:id="1">
    <w:p w:rsidR="00F7175A" w:rsidRDefault="00F71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3E1" w:rsidRDefault="003D73E1">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108160429.3</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75A" w:rsidRDefault="00F7175A">
      <w:r>
        <w:separator/>
      </w:r>
    </w:p>
  </w:footnote>
  <w:footnote w:type="continuationSeparator" w:id="0">
    <w:p w:rsidR="00F7175A" w:rsidRDefault="00F7175A">
      <w:r>
        <w:continuationSeparator/>
      </w:r>
    </w:p>
  </w:footnote>
  <w:footnote w:type="continuationNotice" w:id="1">
    <w:p w:rsidR="00F7175A" w:rsidRDefault="00F717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D5E84"/>
    <w:multiLevelType w:val="multilevel"/>
    <w:tmpl w:val="D90669A2"/>
    <w:name w:val="zzmpStandard||Standard|2|3|1|1|10|9||1|10|1||1|12|1||1|12|0||1|12|0||1|12|0||1|12|0||1|12|0||1|12|0||"/>
    <w:lvl w:ilvl="0">
      <w:start w:val="1"/>
      <w:numFmt w:val="decimal"/>
      <w:pStyle w:val="StandardL1"/>
      <w:lvlText w:val="(%1)"/>
      <w:lvlJc w:val="left"/>
      <w:pPr>
        <w:tabs>
          <w:tab w:val="num" w:pos="1440"/>
        </w:tabs>
        <w:ind w:left="0" w:firstLine="720"/>
      </w:pPr>
      <w:rPr>
        <w:rFonts w:ascii="Courier New" w:hAnsi="Courier New" w:cs="Courier New" w:hint="default"/>
        <w:b w:val="0"/>
        <w:i w:val="0"/>
        <w:caps w:val="0"/>
        <w:sz w:val="24"/>
        <w:u w:val="none"/>
      </w:rPr>
    </w:lvl>
    <w:lvl w:ilvl="1">
      <w:start w:val="1"/>
      <w:numFmt w:val="lowerLetter"/>
      <w:pStyle w:val="StandardL2"/>
      <w:lvlText w:val="(%2)"/>
      <w:lvlJc w:val="left"/>
      <w:pPr>
        <w:tabs>
          <w:tab w:val="num" w:pos="2160"/>
        </w:tabs>
        <w:ind w:left="0" w:firstLine="1440"/>
      </w:pPr>
      <w:rPr>
        <w:b w:val="0"/>
        <w:i w:val="0"/>
        <w:caps w:val="0"/>
        <w:u w:val="none"/>
      </w:rPr>
    </w:lvl>
    <w:lvl w:ilvl="2">
      <w:start w:val="1"/>
      <w:numFmt w:val="lowerRoman"/>
      <w:pStyle w:val="StandardL3"/>
      <w:lvlText w:val="(%3)"/>
      <w:lvlJc w:val="left"/>
      <w:pPr>
        <w:tabs>
          <w:tab w:val="num" w:pos="2880"/>
        </w:tabs>
        <w:ind w:left="0" w:firstLine="2160"/>
      </w:pPr>
      <w:rPr>
        <w:b w:val="0"/>
        <w:i w:val="0"/>
        <w:caps w:val="0"/>
        <w:u w:val="none"/>
      </w:rPr>
    </w:lvl>
    <w:lvl w:ilvl="3">
      <w:start w:val="1"/>
      <w:numFmt w:val="decimal"/>
      <w:pStyle w:val="StandardL4"/>
      <w:lvlText w:val="(%4)"/>
      <w:lvlJc w:val="left"/>
      <w:pPr>
        <w:tabs>
          <w:tab w:val="num" w:pos="3600"/>
        </w:tabs>
        <w:ind w:left="0" w:firstLine="288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85TrailerAuthorID" w:val="0"/>
    <w:docVar w:name="85TrailerClientMatter" w:val="0"/>
    <w:docVar w:name="85TrailerDate" w:val="0"/>
    <w:docVar w:name="85TrailerDateField" w:val="0"/>
    <w:docVar w:name="85TrailerDraft" w:val="0"/>
    <w:docVar w:name="85TrailerTime" w:val="0"/>
    <w:docVar w:name="85TrailerType" w:val="101"/>
    <w:docVar w:name="MPDocID" w:val="ACTIVE: 8785548_1"/>
    <w:docVar w:name="MPDocIDTemplate" w:val="%l: |%n|_%v"/>
    <w:docVar w:name="MPDocIDTemplateDefault" w:val="%l: |%c/%m:|%n|_%v|_%u"/>
    <w:docVar w:name="NewDocStampType" w:val="2"/>
  </w:docVars>
  <w:rsids>
    <w:rsidRoot w:val="00603056"/>
    <w:rsid w:val="00005D3A"/>
    <w:rsid w:val="000140F1"/>
    <w:rsid w:val="00027F1B"/>
    <w:rsid w:val="000354C5"/>
    <w:rsid w:val="00040DE2"/>
    <w:rsid w:val="0004129D"/>
    <w:rsid w:val="00042E62"/>
    <w:rsid w:val="00045892"/>
    <w:rsid w:val="00081ECC"/>
    <w:rsid w:val="00082769"/>
    <w:rsid w:val="000A0278"/>
    <w:rsid w:val="000D4B62"/>
    <w:rsid w:val="000E0EED"/>
    <w:rsid w:val="000E3E35"/>
    <w:rsid w:val="000E6072"/>
    <w:rsid w:val="0011113F"/>
    <w:rsid w:val="00166860"/>
    <w:rsid w:val="0017736D"/>
    <w:rsid w:val="00182BA9"/>
    <w:rsid w:val="00195F14"/>
    <w:rsid w:val="001A6281"/>
    <w:rsid w:val="001C3525"/>
    <w:rsid w:val="001E6257"/>
    <w:rsid w:val="001F0F90"/>
    <w:rsid w:val="00207026"/>
    <w:rsid w:val="002310FA"/>
    <w:rsid w:val="00237863"/>
    <w:rsid w:val="0024758F"/>
    <w:rsid w:val="0025331F"/>
    <w:rsid w:val="00254C29"/>
    <w:rsid w:val="0028061A"/>
    <w:rsid w:val="0028471B"/>
    <w:rsid w:val="00284E84"/>
    <w:rsid w:val="002851ED"/>
    <w:rsid w:val="002B4329"/>
    <w:rsid w:val="002C15DC"/>
    <w:rsid w:val="002E1AC0"/>
    <w:rsid w:val="002F1C5C"/>
    <w:rsid w:val="002F58AD"/>
    <w:rsid w:val="00312F2D"/>
    <w:rsid w:val="003169C8"/>
    <w:rsid w:val="0032223E"/>
    <w:rsid w:val="003301CB"/>
    <w:rsid w:val="00340775"/>
    <w:rsid w:val="00342DB8"/>
    <w:rsid w:val="00353838"/>
    <w:rsid w:val="003728F4"/>
    <w:rsid w:val="00374661"/>
    <w:rsid w:val="00382352"/>
    <w:rsid w:val="0038567B"/>
    <w:rsid w:val="00387AA1"/>
    <w:rsid w:val="003A4FAD"/>
    <w:rsid w:val="003C405F"/>
    <w:rsid w:val="003D2C3E"/>
    <w:rsid w:val="003D3348"/>
    <w:rsid w:val="003D73E1"/>
    <w:rsid w:val="003F6FAA"/>
    <w:rsid w:val="00401DAB"/>
    <w:rsid w:val="00407ED5"/>
    <w:rsid w:val="0041147B"/>
    <w:rsid w:val="004276E7"/>
    <w:rsid w:val="00432861"/>
    <w:rsid w:val="004361C7"/>
    <w:rsid w:val="0044300F"/>
    <w:rsid w:val="004616C8"/>
    <w:rsid w:val="00477E96"/>
    <w:rsid w:val="00481640"/>
    <w:rsid w:val="00491759"/>
    <w:rsid w:val="004B07A4"/>
    <w:rsid w:val="004B0AD1"/>
    <w:rsid w:val="004B69C9"/>
    <w:rsid w:val="004B7AA8"/>
    <w:rsid w:val="004C3857"/>
    <w:rsid w:val="004E5620"/>
    <w:rsid w:val="004E7DAD"/>
    <w:rsid w:val="005050EA"/>
    <w:rsid w:val="0052679C"/>
    <w:rsid w:val="005566D1"/>
    <w:rsid w:val="0055740A"/>
    <w:rsid w:val="00560866"/>
    <w:rsid w:val="00577D5E"/>
    <w:rsid w:val="005803EA"/>
    <w:rsid w:val="00594614"/>
    <w:rsid w:val="005A0C21"/>
    <w:rsid w:val="005A3B6C"/>
    <w:rsid w:val="005A7474"/>
    <w:rsid w:val="005B2034"/>
    <w:rsid w:val="005B6156"/>
    <w:rsid w:val="005D0A2B"/>
    <w:rsid w:val="005D0C19"/>
    <w:rsid w:val="005D1EEC"/>
    <w:rsid w:val="005E3B12"/>
    <w:rsid w:val="005F4F2C"/>
    <w:rsid w:val="005F70E4"/>
    <w:rsid w:val="00603056"/>
    <w:rsid w:val="00606211"/>
    <w:rsid w:val="006066ED"/>
    <w:rsid w:val="00635833"/>
    <w:rsid w:val="00650844"/>
    <w:rsid w:val="006625B2"/>
    <w:rsid w:val="00680B9B"/>
    <w:rsid w:val="006B6C4E"/>
    <w:rsid w:val="006C4E60"/>
    <w:rsid w:val="00704BCF"/>
    <w:rsid w:val="00713DFB"/>
    <w:rsid w:val="00721D6D"/>
    <w:rsid w:val="007756BF"/>
    <w:rsid w:val="0078660E"/>
    <w:rsid w:val="007A5A10"/>
    <w:rsid w:val="007B30AF"/>
    <w:rsid w:val="007B7AA6"/>
    <w:rsid w:val="007E33AA"/>
    <w:rsid w:val="007F35D7"/>
    <w:rsid w:val="007F48C7"/>
    <w:rsid w:val="00806B28"/>
    <w:rsid w:val="00815993"/>
    <w:rsid w:val="00816E7A"/>
    <w:rsid w:val="0083764C"/>
    <w:rsid w:val="00851674"/>
    <w:rsid w:val="00861314"/>
    <w:rsid w:val="008650DA"/>
    <w:rsid w:val="00883D35"/>
    <w:rsid w:val="0089736D"/>
    <w:rsid w:val="008C5D62"/>
    <w:rsid w:val="008D0011"/>
    <w:rsid w:val="008F1F2B"/>
    <w:rsid w:val="0092664D"/>
    <w:rsid w:val="00936468"/>
    <w:rsid w:val="00942EA9"/>
    <w:rsid w:val="009526A3"/>
    <w:rsid w:val="00967720"/>
    <w:rsid w:val="00972C37"/>
    <w:rsid w:val="00987248"/>
    <w:rsid w:val="00997546"/>
    <w:rsid w:val="00997B53"/>
    <w:rsid w:val="009A0D76"/>
    <w:rsid w:val="009A2B88"/>
    <w:rsid w:val="009A3B01"/>
    <w:rsid w:val="009B0E42"/>
    <w:rsid w:val="009E7FA8"/>
    <w:rsid w:val="009F633F"/>
    <w:rsid w:val="00A06E3B"/>
    <w:rsid w:val="00A14E62"/>
    <w:rsid w:val="00A210A8"/>
    <w:rsid w:val="00A47FC4"/>
    <w:rsid w:val="00A6376B"/>
    <w:rsid w:val="00A64BF9"/>
    <w:rsid w:val="00A87326"/>
    <w:rsid w:val="00AB332D"/>
    <w:rsid w:val="00AB4DD0"/>
    <w:rsid w:val="00AC02E7"/>
    <w:rsid w:val="00AC0C86"/>
    <w:rsid w:val="00AC1BC1"/>
    <w:rsid w:val="00AE2CDF"/>
    <w:rsid w:val="00AE71C7"/>
    <w:rsid w:val="00AE79F9"/>
    <w:rsid w:val="00AF0F9D"/>
    <w:rsid w:val="00AF3225"/>
    <w:rsid w:val="00AF4895"/>
    <w:rsid w:val="00AF4DBF"/>
    <w:rsid w:val="00B119FC"/>
    <w:rsid w:val="00B37E08"/>
    <w:rsid w:val="00B621DD"/>
    <w:rsid w:val="00B65D7E"/>
    <w:rsid w:val="00B748EC"/>
    <w:rsid w:val="00B83493"/>
    <w:rsid w:val="00BA7B98"/>
    <w:rsid w:val="00BB0C27"/>
    <w:rsid w:val="00BB73A5"/>
    <w:rsid w:val="00BE16BB"/>
    <w:rsid w:val="00BE6211"/>
    <w:rsid w:val="00BF394C"/>
    <w:rsid w:val="00C37E59"/>
    <w:rsid w:val="00C42B04"/>
    <w:rsid w:val="00C432A5"/>
    <w:rsid w:val="00C550FA"/>
    <w:rsid w:val="00C572F2"/>
    <w:rsid w:val="00C77C15"/>
    <w:rsid w:val="00CB2D12"/>
    <w:rsid w:val="00CD0B54"/>
    <w:rsid w:val="00CF01E3"/>
    <w:rsid w:val="00CF1474"/>
    <w:rsid w:val="00D02454"/>
    <w:rsid w:val="00D03FBF"/>
    <w:rsid w:val="00D16940"/>
    <w:rsid w:val="00D408DD"/>
    <w:rsid w:val="00D63B03"/>
    <w:rsid w:val="00D6552D"/>
    <w:rsid w:val="00D748DF"/>
    <w:rsid w:val="00D81359"/>
    <w:rsid w:val="00D8175D"/>
    <w:rsid w:val="00D849D3"/>
    <w:rsid w:val="00D86547"/>
    <w:rsid w:val="00DB1431"/>
    <w:rsid w:val="00DB7884"/>
    <w:rsid w:val="00DC2CB2"/>
    <w:rsid w:val="00DC6F22"/>
    <w:rsid w:val="00DD499D"/>
    <w:rsid w:val="00DE1148"/>
    <w:rsid w:val="00E02A59"/>
    <w:rsid w:val="00E74B6A"/>
    <w:rsid w:val="00E7562B"/>
    <w:rsid w:val="00E762D7"/>
    <w:rsid w:val="00E841AF"/>
    <w:rsid w:val="00E95844"/>
    <w:rsid w:val="00EE3C9D"/>
    <w:rsid w:val="00EE69EC"/>
    <w:rsid w:val="00EF51E7"/>
    <w:rsid w:val="00F00606"/>
    <w:rsid w:val="00F01681"/>
    <w:rsid w:val="00F0272B"/>
    <w:rsid w:val="00F176CA"/>
    <w:rsid w:val="00F24EE4"/>
    <w:rsid w:val="00F6261A"/>
    <w:rsid w:val="00F659A2"/>
    <w:rsid w:val="00F7175A"/>
    <w:rsid w:val="00F73143"/>
    <w:rsid w:val="00F80D66"/>
    <w:rsid w:val="00F87EF1"/>
    <w:rsid w:val="00F902F4"/>
    <w:rsid w:val="00FA0496"/>
    <w:rsid w:val="00FA6E07"/>
    <w:rsid w:val="00FC053E"/>
    <w:rsid w:val="00FC265B"/>
    <w:rsid w:val="00FC2AA8"/>
    <w:rsid w:val="00FC2CC0"/>
    <w:rsid w:val="00FF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40"/>
    <w:rPr>
      <w:rFonts w:ascii="Courier" w:hAnsi="Courie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ind w:firstLine="720"/>
    </w:pPr>
  </w:style>
  <w:style w:type="paragraph" w:customStyle="1" w:styleId="BodyTextContinued">
    <w:name w:val="Body Text Continued"/>
    <w:basedOn w:val="BodyText"/>
    <w:next w:val="BodyText"/>
    <w:pPr>
      <w:ind w:firstLine="0"/>
    </w:pPr>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paragraph" w:customStyle="1" w:styleId="StandardCont1">
    <w:name w:val="Standard Cont 1"/>
    <w:basedOn w:val="Normal"/>
    <w:pPr>
      <w:spacing w:line="480" w:lineRule="auto"/>
      <w:ind w:firstLine="1440"/>
    </w:pPr>
    <w:rPr>
      <w:szCs w:val="20"/>
    </w:rPr>
  </w:style>
  <w:style w:type="paragraph" w:customStyle="1" w:styleId="StandardCont2">
    <w:name w:val="Standard Cont 2"/>
    <w:basedOn w:val="StandardCont1"/>
    <w:pPr>
      <w:spacing w:after="240"/>
      <w:ind w:firstLine="2160"/>
    </w:pPr>
  </w:style>
  <w:style w:type="paragraph" w:customStyle="1" w:styleId="StandardCont3">
    <w:name w:val="Standard Cont 3"/>
    <w:basedOn w:val="StandardCont2"/>
    <w:pPr>
      <w:ind w:firstLine="2880"/>
    </w:pPr>
  </w:style>
  <w:style w:type="paragraph" w:customStyle="1" w:styleId="StandardCont4">
    <w:name w:val="Standard Cont 4"/>
    <w:basedOn w:val="StandardCont3"/>
    <w:pPr>
      <w:spacing w:line="240" w:lineRule="auto"/>
    </w:pPr>
  </w:style>
  <w:style w:type="paragraph" w:customStyle="1" w:styleId="StandardCont5">
    <w:name w:val="Standard Cont 5"/>
    <w:basedOn w:val="StandardCont4"/>
    <w:pPr>
      <w:ind w:firstLine="3600"/>
    </w:pPr>
  </w:style>
  <w:style w:type="paragraph" w:customStyle="1" w:styleId="StandardCont6">
    <w:name w:val="Standard Cont 6"/>
    <w:basedOn w:val="StandardCont5"/>
    <w:pPr>
      <w:ind w:firstLine="4320"/>
    </w:pPr>
  </w:style>
  <w:style w:type="paragraph" w:customStyle="1" w:styleId="StandardCont7">
    <w:name w:val="Standard Cont 7"/>
    <w:basedOn w:val="StandardCont6"/>
    <w:pPr>
      <w:ind w:firstLine="5040"/>
    </w:pPr>
  </w:style>
  <w:style w:type="paragraph" w:customStyle="1" w:styleId="StandardCont8">
    <w:name w:val="Standard Cont 8"/>
    <w:basedOn w:val="StandardCont7"/>
    <w:pPr>
      <w:ind w:firstLine="5760"/>
    </w:pPr>
  </w:style>
  <w:style w:type="paragraph" w:customStyle="1" w:styleId="StandardCont9">
    <w:name w:val="Standard Cont 9"/>
    <w:basedOn w:val="StandardCont8"/>
    <w:pPr>
      <w:ind w:firstLine="6480"/>
    </w:pPr>
  </w:style>
  <w:style w:type="paragraph" w:customStyle="1" w:styleId="StandardL1">
    <w:name w:val="Standard_L1"/>
    <w:basedOn w:val="Normal"/>
    <w:rsid w:val="00D16940"/>
    <w:pPr>
      <w:numPr>
        <w:numId w:val="1"/>
      </w:numPr>
      <w:spacing w:after="240"/>
      <w:jc w:val="both"/>
      <w:outlineLvl w:val="0"/>
    </w:pPr>
    <w:rPr>
      <w:szCs w:val="20"/>
    </w:rPr>
  </w:style>
  <w:style w:type="paragraph" w:customStyle="1" w:styleId="StandardL2">
    <w:name w:val="Standard_L2"/>
    <w:basedOn w:val="StandardL1"/>
    <w:rsid w:val="00D16940"/>
    <w:pPr>
      <w:numPr>
        <w:ilvl w:val="1"/>
      </w:numPr>
      <w:outlineLvl w:val="1"/>
    </w:pPr>
  </w:style>
  <w:style w:type="paragraph" w:customStyle="1" w:styleId="StandardL3">
    <w:name w:val="Standard_L3"/>
    <w:basedOn w:val="StandardL2"/>
    <w:next w:val="BodyText"/>
    <w:rsid w:val="00D16940"/>
    <w:pPr>
      <w:numPr>
        <w:ilvl w:val="2"/>
      </w:numPr>
      <w:spacing w:line="480" w:lineRule="auto"/>
      <w:jc w:val="left"/>
      <w:outlineLvl w:val="2"/>
    </w:pPr>
  </w:style>
  <w:style w:type="paragraph" w:customStyle="1" w:styleId="StandardL4">
    <w:name w:val="Standard_L4"/>
    <w:basedOn w:val="StandardL3"/>
    <w:next w:val="BodyText"/>
    <w:rsid w:val="00D16940"/>
    <w:pPr>
      <w:numPr>
        <w:ilvl w:val="3"/>
      </w:numPr>
      <w:spacing w:after="0"/>
      <w:outlineLvl w:val="3"/>
    </w:pPr>
  </w:style>
  <w:style w:type="paragraph" w:customStyle="1" w:styleId="StandardL5">
    <w:name w:val="Standard_L5"/>
    <w:basedOn w:val="StandardL4"/>
    <w:next w:val="BodyText"/>
    <w:rsid w:val="00D16940"/>
    <w:pPr>
      <w:numPr>
        <w:ilvl w:val="4"/>
      </w:numPr>
      <w:spacing w:after="240" w:line="240" w:lineRule="auto"/>
      <w:outlineLvl w:val="4"/>
    </w:pPr>
  </w:style>
  <w:style w:type="paragraph" w:customStyle="1" w:styleId="StandardL6">
    <w:name w:val="Standard_L6"/>
    <w:basedOn w:val="StandardL5"/>
    <w:next w:val="BodyText"/>
    <w:rsid w:val="00D16940"/>
    <w:pPr>
      <w:numPr>
        <w:ilvl w:val="5"/>
      </w:numPr>
      <w:outlineLvl w:val="5"/>
    </w:pPr>
  </w:style>
  <w:style w:type="paragraph" w:customStyle="1" w:styleId="StandardL7">
    <w:name w:val="Standard_L7"/>
    <w:basedOn w:val="StandardL6"/>
    <w:next w:val="BodyText"/>
    <w:rsid w:val="00D16940"/>
    <w:pPr>
      <w:numPr>
        <w:ilvl w:val="6"/>
      </w:numPr>
      <w:outlineLvl w:val="6"/>
    </w:pPr>
  </w:style>
  <w:style w:type="paragraph" w:customStyle="1" w:styleId="StandardL8">
    <w:name w:val="Standard_L8"/>
    <w:basedOn w:val="StandardL7"/>
    <w:next w:val="BodyText"/>
    <w:rsid w:val="00D16940"/>
    <w:pPr>
      <w:numPr>
        <w:ilvl w:val="7"/>
      </w:numPr>
      <w:outlineLvl w:val="7"/>
    </w:pPr>
  </w:style>
  <w:style w:type="paragraph" w:customStyle="1" w:styleId="StandardL9">
    <w:name w:val="Standard_L9"/>
    <w:basedOn w:val="StandardL8"/>
    <w:next w:val="BodyText"/>
    <w:rsid w:val="00D16940"/>
    <w:pPr>
      <w:numPr>
        <w:ilvl w:val="8"/>
      </w:numPr>
      <w:outlineLvl w:val="8"/>
    </w:pPr>
  </w:style>
  <w:style w:type="paragraph" w:styleId="BalloonText">
    <w:name w:val="Balloon Text"/>
    <w:basedOn w:val="Normal"/>
    <w:semiHidden/>
    <w:rPr>
      <w:rFonts w:ascii="Tahoma" w:hAnsi="Tahoma" w:cs="Tahoma"/>
      <w:sz w:val="16"/>
      <w:szCs w:val="16"/>
    </w:rPr>
  </w:style>
  <w:style w:type="character" w:customStyle="1" w:styleId="zzmpTrailerItem">
    <w:name w:val="zzmpTrailerItem"/>
    <w:basedOn w:val="DefaultParagraphFont"/>
    <w:rsid w:val="0078660E"/>
    <w:rPr>
      <w:rFonts w:ascii="Courier" w:hAnsi="Courier" w:cs="Times New Roman"/>
      <w:dstrike w:val="0"/>
      <w:noProof/>
      <w:color w:val="auto"/>
      <w:spacing w:val="0"/>
      <w:position w:val="0"/>
      <w:sz w:val="16"/>
      <w:szCs w:val="16"/>
      <w:u w:val="none"/>
      <w:effect w:val="none"/>
      <w:vertAlign w:val="baseline"/>
    </w:rPr>
  </w:style>
  <w:style w:type="character" w:styleId="LineNumber">
    <w:name w:val="line number"/>
    <w:basedOn w:val="DefaultParagraphFont"/>
  </w:style>
  <w:style w:type="character" w:styleId="Hyperlink">
    <w:name w:val="Hyperlink"/>
    <w:rPr>
      <w:color w:val="0000FF"/>
      <w:u w:val="single"/>
    </w:rPr>
  </w:style>
  <w:style w:type="character" w:customStyle="1" w:styleId="sectionnumber">
    <w:name w:val="sectionnumber"/>
    <w:basedOn w:val="DefaultParagraphFont"/>
  </w:style>
  <w:style w:type="character" w:customStyle="1" w:styleId="catchlinetext">
    <w:name w:val="catchlinetext"/>
    <w:basedOn w:val="DefaultParagraphFont"/>
  </w:style>
  <w:style w:type="character" w:customStyle="1" w:styleId="emdash">
    <w:name w:val="emdash"/>
    <w:basedOn w:val="DefaultParagraphFont"/>
  </w:style>
  <w:style w:type="character" w:customStyle="1" w:styleId="sectionbody">
    <w:name w:val="sectionbody"/>
    <w:basedOn w:val="DefaultParagraphFont"/>
  </w:style>
  <w:style w:type="character" w:customStyle="1" w:styleId="number">
    <w:name w:val="number"/>
    <w:basedOn w:val="DefaultParagraphFont"/>
  </w:style>
  <w:style w:type="character" w:customStyle="1" w:styleId="textintrojustify">
    <w:name w:val="text intro justify"/>
    <w:basedOn w:val="DefaultParagraphFont"/>
  </w:style>
  <w:style w:type="character" w:customStyle="1" w:styleId="Heading1Char">
    <w:name w:val="Heading 1 Char"/>
    <w:link w:val="Heading1"/>
    <w:rPr>
      <w:rFonts w:ascii="Cambria" w:eastAsia="Times New Roman" w:hAnsi="Cambria" w:cs="Times New Roman"/>
      <w:b/>
      <w:bCs/>
      <w:kern w:val="32"/>
      <w:sz w:val="32"/>
      <w:szCs w:val="32"/>
    </w:rPr>
  </w:style>
  <w:style w:type="character" w:customStyle="1" w:styleId="DocID">
    <w:name w:val="DocID"/>
    <w:rPr>
      <w:rFonts w:ascii="Courier New" w:hAnsi="Courier New" w:cs="Courier New"/>
      <w:b w:val="0"/>
      <w:i w:val="0"/>
      <w:vanish w:val="0"/>
      <w:color w:val="auto"/>
      <w:sz w:val="16"/>
      <w:u w:val="none"/>
    </w:rPr>
  </w:style>
  <w:style w:type="paragraph" w:styleId="Revision">
    <w:name w:val="Revision"/>
    <w:hidden/>
    <w:uiPriority w:val="99"/>
    <w:semiHidden/>
    <w:rsid w:val="00D169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91728">
      <w:bodyDiv w:val="1"/>
      <w:marLeft w:val="0"/>
      <w:marRight w:val="0"/>
      <w:marTop w:val="0"/>
      <w:marBottom w:val="0"/>
      <w:divBdr>
        <w:top w:val="none" w:sz="0" w:space="0" w:color="auto"/>
        <w:left w:val="none" w:sz="0" w:space="0" w:color="auto"/>
        <w:bottom w:val="none" w:sz="0" w:space="0" w:color="auto"/>
        <w:right w:val="none" w:sz="0" w:space="0" w:color="auto"/>
      </w:divBdr>
      <w:divsChild>
        <w:div w:id="272711765">
          <w:marLeft w:val="0"/>
          <w:marRight w:val="0"/>
          <w:marTop w:val="0"/>
          <w:marBottom w:val="0"/>
          <w:divBdr>
            <w:top w:val="none" w:sz="0" w:space="0" w:color="auto"/>
            <w:left w:val="none" w:sz="0" w:space="0" w:color="auto"/>
            <w:bottom w:val="none" w:sz="0" w:space="0" w:color="auto"/>
            <w:right w:val="none" w:sz="0" w:space="0" w:color="auto"/>
          </w:divBdr>
          <w:divsChild>
            <w:div w:id="940525814">
              <w:marLeft w:val="0"/>
              <w:marRight w:val="0"/>
              <w:marTop w:val="0"/>
              <w:marBottom w:val="0"/>
              <w:divBdr>
                <w:top w:val="none" w:sz="0" w:space="0" w:color="auto"/>
                <w:left w:val="none" w:sz="0" w:space="0" w:color="auto"/>
                <w:bottom w:val="none" w:sz="0" w:space="0" w:color="auto"/>
                <w:right w:val="none" w:sz="0" w:space="0" w:color="auto"/>
              </w:divBdr>
              <w:divsChild>
                <w:div w:id="565335828">
                  <w:marLeft w:val="0"/>
                  <w:marRight w:val="0"/>
                  <w:marTop w:val="0"/>
                  <w:marBottom w:val="0"/>
                  <w:divBdr>
                    <w:top w:val="none" w:sz="0" w:space="0" w:color="auto"/>
                    <w:left w:val="none" w:sz="0" w:space="0" w:color="auto"/>
                    <w:bottom w:val="none" w:sz="0" w:space="0" w:color="auto"/>
                    <w:right w:val="none" w:sz="0" w:space="0" w:color="auto"/>
                  </w:divBdr>
                  <w:divsChild>
                    <w:div w:id="83191133">
                      <w:marLeft w:val="0"/>
                      <w:marRight w:val="0"/>
                      <w:marTop w:val="0"/>
                      <w:marBottom w:val="0"/>
                      <w:divBdr>
                        <w:top w:val="none" w:sz="0" w:space="0" w:color="auto"/>
                        <w:left w:val="none" w:sz="0" w:space="0" w:color="auto"/>
                        <w:bottom w:val="none" w:sz="0" w:space="0" w:color="auto"/>
                        <w:right w:val="none" w:sz="0" w:space="0" w:color="auto"/>
                      </w:divBdr>
                    </w:div>
                    <w:div w:id="620192415">
                      <w:marLeft w:val="0"/>
                      <w:marRight w:val="0"/>
                      <w:marTop w:val="0"/>
                      <w:marBottom w:val="0"/>
                      <w:divBdr>
                        <w:top w:val="none" w:sz="0" w:space="0" w:color="auto"/>
                        <w:left w:val="none" w:sz="0" w:space="0" w:color="auto"/>
                        <w:bottom w:val="none" w:sz="0" w:space="0" w:color="auto"/>
                        <w:right w:val="none" w:sz="0" w:space="0" w:color="auto"/>
                      </w:divBdr>
                    </w:div>
                    <w:div w:id="684089823">
                      <w:marLeft w:val="0"/>
                      <w:marRight w:val="0"/>
                      <w:marTop w:val="0"/>
                      <w:marBottom w:val="0"/>
                      <w:divBdr>
                        <w:top w:val="none" w:sz="0" w:space="0" w:color="auto"/>
                        <w:left w:val="none" w:sz="0" w:space="0" w:color="auto"/>
                        <w:bottom w:val="none" w:sz="0" w:space="0" w:color="auto"/>
                        <w:right w:val="none" w:sz="0" w:space="0" w:color="auto"/>
                      </w:divBdr>
                    </w:div>
                    <w:div w:id="1016809162">
                      <w:marLeft w:val="0"/>
                      <w:marRight w:val="0"/>
                      <w:marTop w:val="0"/>
                      <w:marBottom w:val="0"/>
                      <w:divBdr>
                        <w:top w:val="none" w:sz="0" w:space="0" w:color="auto"/>
                        <w:left w:val="none" w:sz="0" w:space="0" w:color="auto"/>
                        <w:bottom w:val="none" w:sz="0" w:space="0" w:color="auto"/>
                        <w:right w:val="none" w:sz="0" w:space="0" w:color="auto"/>
                      </w:divBdr>
                    </w:div>
                    <w:div w:id="1022634867">
                      <w:marLeft w:val="0"/>
                      <w:marRight w:val="0"/>
                      <w:marTop w:val="0"/>
                      <w:marBottom w:val="0"/>
                      <w:divBdr>
                        <w:top w:val="none" w:sz="0" w:space="0" w:color="auto"/>
                        <w:left w:val="none" w:sz="0" w:space="0" w:color="auto"/>
                        <w:bottom w:val="none" w:sz="0" w:space="0" w:color="auto"/>
                        <w:right w:val="none" w:sz="0" w:space="0" w:color="auto"/>
                      </w:divBdr>
                    </w:div>
                    <w:div w:id="1117410110">
                      <w:marLeft w:val="0"/>
                      <w:marRight w:val="0"/>
                      <w:marTop w:val="0"/>
                      <w:marBottom w:val="0"/>
                      <w:divBdr>
                        <w:top w:val="none" w:sz="0" w:space="0" w:color="auto"/>
                        <w:left w:val="none" w:sz="0" w:space="0" w:color="auto"/>
                        <w:bottom w:val="none" w:sz="0" w:space="0" w:color="auto"/>
                        <w:right w:val="none" w:sz="0" w:space="0" w:color="auto"/>
                      </w:divBdr>
                    </w:div>
                    <w:div w:id="1176043955">
                      <w:marLeft w:val="0"/>
                      <w:marRight w:val="0"/>
                      <w:marTop w:val="0"/>
                      <w:marBottom w:val="0"/>
                      <w:divBdr>
                        <w:top w:val="none" w:sz="0" w:space="0" w:color="auto"/>
                        <w:left w:val="none" w:sz="0" w:space="0" w:color="auto"/>
                        <w:bottom w:val="none" w:sz="0" w:space="0" w:color="auto"/>
                        <w:right w:val="none" w:sz="0" w:space="0" w:color="auto"/>
                      </w:divBdr>
                    </w:div>
                    <w:div w:id="1200971211">
                      <w:marLeft w:val="0"/>
                      <w:marRight w:val="0"/>
                      <w:marTop w:val="0"/>
                      <w:marBottom w:val="0"/>
                      <w:divBdr>
                        <w:top w:val="none" w:sz="0" w:space="0" w:color="auto"/>
                        <w:left w:val="none" w:sz="0" w:space="0" w:color="auto"/>
                        <w:bottom w:val="none" w:sz="0" w:space="0" w:color="auto"/>
                        <w:right w:val="none" w:sz="0" w:space="0" w:color="auto"/>
                      </w:divBdr>
                    </w:div>
                    <w:div w:id="1209302025">
                      <w:marLeft w:val="0"/>
                      <w:marRight w:val="0"/>
                      <w:marTop w:val="0"/>
                      <w:marBottom w:val="0"/>
                      <w:divBdr>
                        <w:top w:val="none" w:sz="0" w:space="0" w:color="auto"/>
                        <w:left w:val="none" w:sz="0" w:space="0" w:color="auto"/>
                        <w:bottom w:val="none" w:sz="0" w:space="0" w:color="auto"/>
                        <w:right w:val="none" w:sz="0" w:space="0" w:color="auto"/>
                      </w:divBdr>
                    </w:div>
                    <w:div w:id="1256599655">
                      <w:marLeft w:val="0"/>
                      <w:marRight w:val="0"/>
                      <w:marTop w:val="0"/>
                      <w:marBottom w:val="0"/>
                      <w:divBdr>
                        <w:top w:val="none" w:sz="0" w:space="0" w:color="auto"/>
                        <w:left w:val="none" w:sz="0" w:space="0" w:color="auto"/>
                        <w:bottom w:val="none" w:sz="0" w:space="0" w:color="auto"/>
                        <w:right w:val="none" w:sz="0" w:space="0" w:color="auto"/>
                      </w:divBdr>
                    </w:div>
                    <w:div w:id="1537307495">
                      <w:marLeft w:val="0"/>
                      <w:marRight w:val="0"/>
                      <w:marTop w:val="0"/>
                      <w:marBottom w:val="0"/>
                      <w:divBdr>
                        <w:top w:val="none" w:sz="0" w:space="0" w:color="auto"/>
                        <w:left w:val="none" w:sz="0" w:space="0" w:color="auto"/>
                        <w:bottom w:val="none" w:sz="0" w:space="0" w:color="auto"/>
                        <w:right w:val="none" w:sz="0" w:space="0" w:color="auto"/>
                      </w:divBdr>
                    </w:div>
                    <w:div w:id="1782988866">
                      <w:marLeft w:val="0"/>
                      <w:marRight w:val="0"/>
                      <w:marTop w:val="0"/>
                      <w:marBottom w:val="0"/>
                      <w:divBdr>
                        <w:top w:val="none" w:sz="0" w:space="0" w:color="auto"/>
                        <w:left w:val="none" w:sz="0" w:space="0" w:color="auto"/>
                        <w:bottom w:val="none" w:sz="0" w:space="0" w:color="auto"/>
                        <w:right w:val="none" w:sz="0" w:space="0" w:color="auto"/>
                      </w:divBdr>
                    </w:div>
                    <w:div w:id="1882740680">
                      <w:marLeft w:val="0"/>
                      <w:marRight w:val="0"/>
                      <w:marTop w:val="0"/>
                      <w:marBottom w:val="0"/>
                      <w:divBdr>
                        <w:top w:val="none" w:sz="0" w:space="0" w:color="auto"/>
                        <w:left w:val="none" w:sz="0" w:space="0" w:color="auto"/>
                        <w:bottom w:val="none" w:sz="0" w:space="0" w:color="auto"/>
                        <w:right w:val="none" w:sz="0" w:space="0" w:color="auto"/>
                      </w:divBdr>
                    </w:div>
                    <w:div w:id="2019309911">
                      <w:marLeft w:val="0"/>
                      <w:marRight w:val="0"/>
                      <w:marTop w:val="0"/>
                      <w:marBottom w:val="0"/>
                      <w:divBdr>
                        <w:top w:val="none" w:sz="0" w:space="0" w:color="auto"/>
                        <w:left w:val="none" w:sz="0" w:space="0" w:color="auto"/>
                        <w:bottom w:val="none" w:sz="0" w:space="0" w:color="auto"/>
                        <w:right w:val="none" w:sz="0" w:space="0" w:color="auto"/>
                      </w:divBdr>
                      <w:divsChild>
                        <w:div w:id="645016741">
                          <w:marLeft w:val="0"/>
                          <w:marRight w:val="0"/>
                          <w:marTop w:val="0"/>
                          <w:marBottom w:val="0"/>
                          <w:divBdr>
                            <w:top w:val="none" w:sz="0" w:space="0" w:color="auto"/>
                            <w:left w:val="none" w:sz="0" w:space="0" w:color="auto"/>
                            <w:bottom w:val="none" w:sz="0" w:space="0" w:color="auto"/>
                            <w:right w:val="none" w:sz="0" w:space="0" w:color="auto"/>
                          </w:divBdr>
                        </w:div>
                        <w:div w:id="1237739427">
                          <w:marLeft w:val="0"/>
                          <w:marRight w:val="0"/>
                          <w:marTop w:val="0"/>
                          <w:marBottom w:val="0"/>
                          <w:divBdr>
                            <w:top w:val="none" w:sz="0" w:space="0" w:color="auto"/>
                            <w:left w:val="none" w:sz="0" w:space="0" w:color="auto"/>
                            <w:bottom w:val="none" w:sz="0" w:space="0" w:color="auto"/>
                            <w:right w:val="none" w:sz="0" w:space="0" w:color="auto"/>
                          </w:divBdr>
                        </w:div>
                        <w:div w:id="2100131175">
                          <w:marLeft w:val="0"/>
                          <w:marRight w:val="0"/>
                          <w:marTop w:val="0"/>
                          <w:marBottom w:val="0"/>
                          <w:divBdr>
                            <w:top w:val="none" w:sz="0" w:space="0" w:color="auto"/>
                            <w:left w:val="none" w:sz="0" w:space="0" w:color="auto"/>
                            <w:bottom w:val="none" w:sz="0" w:space="0" w:color="auto"/>
                            <w:right w:val="none" w:sz="0" w:space="0" w:color="auto"/>
                          </w:divBdr>
                        </w:div>
                      </w:divsChild>
                    </w:div>
                    <w:div w:id="21317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1907</Words>
  <Characters>10873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2016-07-26T16:05:00Z</cp:lastPrinted>
  <dcterms:created xsi:type="dcterms:W3CDTF">2016-07-26T17:59:00Z</dcterms:created>
  <dcterms:modified xsi:type="dcterms:W3CDTF">2016-07-26T17:59:00Z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108160429.3</vt:lpwstr>
  </property>
</Properties>
</file>