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Default="00F9535D" w:rsidP="00146E4E">
      <w:pPr>
        <w:pStyle w:val="BlockText"/>
        <w:jc w:val="center"/>
        <w:rPr>
          <w:b/>
          <w:sz w:val="32"/>
          <w:szCs w:val="32"/>
        </w:rPr>
      </w:pPr>
      <w:r w:rsidRPr="00DD0357">
        <w:rPr>
          <w:b/>
          <w:sz w:val="32"/>
          <w:szCs w:val="32"/>
        </w:rPr>
        <w:t>The Florida Bar: Real Property, Probate and Trust Law Section</w:t>
      </w:r>
    </w:p>
    <w:p w:rsidR="009A10B6" w:rsidRPr="00DD0357" w:rsidRDefault="00F9535D" w:rsidP="00832A42">
      <w:pPr>
        <w:pStyle w:val="BlockText"/>
        <w:jc w:val="center"/>
        <w:rPr>
          <w:b/>
          <w:sz w:val="32"/>
          <w:szCs w:val="32"/>
        </w:rPr>
      </w:pPr>
      <w:r w:rsidRPr="00DD0357">
        <w:rPr>
          <w:b/>
          <w:sz w:val="32"/>
          <w:szCs w:val="32"/>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6F4CE9" w:rsidRPr="00541BCF" w:rsidRDefault="001476D7" w:rsidP="00541BCF">
      <w:pPr>
        <w:pStyle w:val="BlockText"/>
        <w:jc w:val="center"/>
      </w:pPr>
      <w:r>
        <w:t>Month</w:t>
      </w:r>
      <w:r w:rsidR="00986C6C">
        <w:t xml:space="preserve">s of April-June </w:t>
      </w:r>
      <w:r w:rsidR="009324C3">
        <w:t>2016</w:t>
      </w:r>
    </w:p>
    <w:p w:rsidR="00CC601F" w:rsidRDefault="00CC601F" w:rsidP="007D14A8">
      <w:pPr>
        <w:pStyle w:val="BlockText"/>
        <w:rPr>
          <w:b/>
          <w:u w:val="single"/>
        </w:rPr>
      </w:pPr>
    </w:p>
    <w:p w:rsidR="005F2CFE" w:rsidRDefault="005F2CFE" w:rsidP="005F2CFE">
      <w:pPr>
        <w:pStyle w:val="BlockText"/>
      </w:pPr>
      <w:r>
        <w:tab/>
      </w:r>
    </w:p>
    <w:p w:rsidR="005F2CFE" w:rsidRDefault="005F2CFE" w:rsidP="007D14A8">
      <w:pPr>
        <w:pStyle w:val="BlockText"/>
        <w:rPr>
          <w:b/>
          <w:u w:val="single"/>
        </w:rPr>
      </w:pPr>
    </w:p>
    <w:p w:rsidR="007F16BD" w:rsidRPr="003045D2" w:rsidRDefault="00DD0357" w:rsidP="007D14A8">
      <w:pPr>
        <w:pStyle w:val="BlockText"/>
      </w:pPr>
      <w:r>
        <w:rPr>
          <w:b/>
          <w:u w:val="single"/>
        </w:rPr>
        <w:t>STATE AND FEDERAL APPELLATE DECISIONS</w:t>
      </w:r>
      <w:r w:rsidR="00D9771C" w:rsidRPr="00D9771C">
        <w:rPr>
          <w:b/>
          <w:u w:val="single"/>
        </w:rPr>
        <w:t>:</w:t>
      </w:r>
      <w:r w:rsidR="003045D2">
        <w:rPr>
          <w:b/>
          <w:u w:val="single"/>
        </w:rPr>
        <w:t xml:space="preserve">  </w:t>
      </w:r>
      <w:r w:rsidR="003045D2">
        <w:t>Nothing of significance to report.</w:t>
      </w:r>
    </w:p>
    <w:p w:rsidR="00C97707" w:rsidRDefault="00C97707" w:rsidP="007D14A8">
      <w:pPr>
        <w:pStyle w:val="BlockText"/>
        <w:rPr>
          <w:b/>
          <w:u w:val="single"/>
        </w:rPr>
      </w:pPr>
    </w:p>
    <w:p w:rsidR="001D277E" w:rsidRPr="00B972A0" w:rsidRDefault="001D277E" w:rsidP="00133FBD">
      <w:pPr>
        <w:pStyle w:val="BlockText"/>
        <w:rPr>
          <w:b/>
          <w:u w:val="single"/>
        </w:rPr>
      </w:pPr>
    </w:p>
    <w:p w:rsidR="00437958" w:rsidRDefault="00EB61E2" w:rsidP="00133FBD">
      <w:pPr>
        <w:pStyle w:val="BlockText"/>
        <w:rPr>
          <w:u w:val="single"/>
        </w:rPr>
      </w:pPr>
      <w:r w:rsidRPr="00797252">
        <w:rPr>
          <w:b/>
          <w:u w:val="single"/>
        </w:rPr>
        <w:t>DOAH</w:t>
      </w:r>
      <w:r w:rsidR="00062BAB">
        <w:rPr>
          <w:b/>
          <w:u w:val="single"/>
        </w:rPr>
        <w:t xml:space="preserve"> ORDERS</w:t>
      </w:r>
      <w:r w:rsidR="00DD0357">
        <w:rPr>
          <w:b/>
          <w:u w:val="single"/>
        </w:rPr>
        <w:t xml:space="preserve"> </w:t>
      </w:r>
      <w:r w:rsidR="00DD0357">
        <w:rPr>
          <w:u w:val="single"/>
        </w:rPr>
        <w:t>(if any)</w:t>
      </w:r>
      <w:r w:rsidR="00D9771C" w:rsidRPr="00DD0357">
        <w:rPr>
          <w:u w:val="single"/>
        </w:rPr>
        <w:t>:</w:t>
      </w:r>
    </w:p>
    <w:p w:rsidR="00863EC6" w:rsidRDefault="00863EC6" w:rsidP="00133FBD">
      <w:pPr>
        <w:pStyle w:val="BlockText"/>
        <w:rPr>
          <w:u w:val="single"/>
        </w:rPr>
      </w:pPr>
    </w:p>
    <w:p w:rsidR="004E60B2" w:rsidRPr="004E60B2" w:rsidRDefault="004E60B2" w:rsidP="00133FBD">
      <w:pPr>
        <w:pStyle w:val="BlockText"/>
      </w:pPr>
    </w:p>
    <w:p w:rsidR="00B26EF6" w:rsidRDefault="00B26EF6" w:rsidP="00D72E5C">
      <w:pPr>
        <w:pStyle w:val="BlockText"/>
        <w:rPr>
          <w:b/>
          <w:u w:val="single"/>
        </w:rPr>
      </w:pPr>
      <w:r w:rsidRPr="00B26EF6">
        <w:rPr>
          <w:b/>
          <w:u w:val="single"/>
        </w:rPr>
        <w:t>AGENCY REGULATIONS:</w:t>
      </w:r>
      <w:r w:rsidR="00146910">
        <w:rPr>
          <w:b/>
          <w:u w:val="single"/>
        </w:rPr>
        <w:t xml:space="preserve"> </w:t>
      </w:r>
    </w:p>
    <w:p w:rsidR="00146910" w:rsidRDefault="00146910" w:rsidP="00D72E5C">
      <w:pPr>
        <w:pStyle w:val="BlockText"/>
        <w:rPr>
          <w:b/>
          <w:u w:val="single"/>
        </w:rPr>
      </w:pPr>
    </w:p>
    <w:p w:rsidR="004E142A" w:rsidRDefault="00DE52F2" w:rsidP="00DE52F2">
      <w:pPr>
        <w:pStyle w:val="BlockText"/>
        <w:rPr>
          <w:b/>
          <w:u w:val="single"/>
        </w:rPr>
      </w:pPr>
      <w:r w:rsidRPr="007A76DB">
        <w:rPr>
          <w:b/>
          <w:u w:val="single"/>
        </w:rPr>
        <w:t>A.</w:t>
      </w:r>
      <w:r w:rsidRPr="007A76DB">
        <w:rPr>
          <w:u w:val="single"/>
        </w:rPr>
        <w:t xml:space="preserve"> </w:t>
      </w:r>
      <w:r w:rsidR="004E142A" w:rsidRPr="007A76DB">
        <w:rPr>
          <w:b/>
          <w:u w:val="single"/>
        </w:rPr>
        <w:t>Department of Business and Professional Regulation</w:t>
      </w:r>
      <w:r w:rsidR="007A76DB" w:rsidRPr="007A76DB">
        <w:rPr>
          <w:b/>
          <w:u w:val="single"/>
        </w:rPr>
        <w:t>:</w:t>
      </w:r>
      <w:r w:rsidR="00483127">
        <w:rPr>
          <w:b/>
          <w:u w:val="single"/>
        </w:rPr>
        <w:t xml:space="preserve"> </w:t>
      </w:r>
    </w:p>
    <w:p w:rsidR="00483127" w:rsidRPr="00483127" w:rsidRDefault="00483127" w:rsidP="00DE52F2">
      <w:pPr>
        <w:pStyle w:val="BlockText"/>
      </w:pPr>
      <w:r>
        <w:tab/>
      </w:r>
    </w:p>
    <w:p w:rsidR="002A7577" w:rsidRPr="00B36BD2" w:rsidRDefault="004E142A" w:rsidP="0008109E">
      <w:pPr>
        <w:pStyle w:val="BlockText"/>
        <w:numPr>
          <w:ilvl w:val="0"/>
          <w:numId w:val="11"/>
        </w:numPr>
        <w:rPr>
          <w:b/>
        </w:rPr>
      </w:pPr>
      <w:r w:rsidRPr="00897F26">
        <w:rPr>
          <w:b/>
          <w:u w:val="single"/>
        </w:rPr>
        <w:t>Construction Industry Licensing Board</w:t>
      </w:r>
      <w:r>
        <w:t xml:space="preserve"> – Chapter 489, Part I, FS and Chapter 61G4 FAC: </w:t>
      </w:r>
    </w:p>
    <w:p w:rsidR="00B36BD2" w:rsidRPr="002A7577" w:rsidRDefault="00B36BD2" w:rsidP="00B36BD2">
      <w:pPr>
        <w:pStyle w:val="BlockText"/>
        <w:ind w:left="1080"/>
        <w:rPr>
          <w:b/>
        </w:rPr>
      </w:pPr>
    </w:p>
    <w:p w:rsidR="004A46B4" w:rsidRPr="004A46B4" w:rsidRDefault="00146910" w:rsidP="00897F26">
      <w:pPr>
        <w:pStyle w:val="BlockText"/>
        <w:ind w:left="1440"/>
        <w:rPr>
          <w:b/>
        </w:rPr>
      </w:pPr>
      <w:r>
        <w:rPr>
          <w:b/>
        </w:rPr>
        <w:t>(a)</w:t>
      </w:r>
      <w:r w:rsidR="00897F26">
        <w:t xml:space="preserve"> </w:t>
      </w:r>
      <w:r w:rsidR="00FE4A4B">
        <w:rPr>
          <w:b/>
          <w:u w:val="single"/>
        </w:rPr>
        <w:t>Rule Changes</w:t>
      </w:r>
      <w:r w:rsidR="004E142A">
        <w:t xml:space="preserve"> (if any)</w:t>
      </w:r>
      <w:r w:rsidR="00B754FE">
        <w:t>:</w:t>
      </w:r>
    </w:p>
    <w:p w:rsidR="004A46B4" w:rsidRDefault="004A46B4" w:rsidP="004A46B4">
      <w:pPr>
        <w:pStyle w:val="BlockText"/>
        <w:ind w:left="1800"/>
      </w:pPr>
    </w:p>
    <w:p w:rsidR="00A2704C" w:rsidRDefault="001D0770" w:rsidP="00A2704C">
      <w:pPr>
        <w:pStyle w:val="BlockText"/>
        <w:ind w:left="1890"/>
        <w:rPr>
          <w:b/>
        </w:rPr>
      </w:pPr>
      <w:r>
        <w:rPr>
          <w:b/>
        </w:rPr>
        <w:t>Rule 61G4-12.011</w:t>
      </w:r>
      <w:r w:rsidR="00A2704C">
        <w:rPr>
          <w:b/>
        </w:rPr>
        <w:t>:</w:t>
      </w:r>
    </w:p>
    <w:p w:rsidR="00B972A0" w:rsidRPr="00A2704C" w:rsidRDefault="00A2704C" w:rsidP="00A2704C">
      <w:pPr>
        <w:pStyle w:val="BlockText"/>
        <w:ind w:left="1890"/>
        <w:rPr>
          <w:b/>
        </w:rPr>
      </w:pPr>
      <w:r>
        <w:t>The terms “active experience” and “proven experience,” and</w:t>
      </w:r>
      <w:r w:rsidR="00806FA9">
        <w:t xml:space="preserve"> the </w:t>
      </w:r>
      <w:r w:rsidR="001D0770">
        <w:t>items of work that are not exempted from licensure under section 489.103(9) [“casual, minor, or inco</w:t>
      </w:r>
      <w:r w:rsidR="00FD4519">
        <w:t>nsequential], is to be clarified</w:t>
      </w:r>
      <w:r w:rsidR="001D0770">
        <w:t>, but the preliminary text of this rule change is not yet available.</w:t>
      </w:r>
    </w:p>
    <w:p w:rsidR="00FD4519" w:rsidRDefault="00FD4519" w:rsidP="002A2F20">
      <w:pPr>
        <w:pStyle w:val="BlockText"/>
        <w:ind w:left="1890"/>
      </w:pPr>
    </w:p>
    <w:p w:rsidR="00806FA9" w:rsidRDefault="00FE4A4B" w:rsidP="002A2F20">
      <w:pPr>
        <w:pStyle w:val="BlockText"/>
        <w:ind w:left="1890"/>
      </w:pPr>
      <w:r>
        <w:rPr>
          <w:b/>
        </w:rPr>
        <w:t>Rule 61G4-15.001</w:t>
      </w:r>
      <w:r>
        <w:t xml:space="preserve">, </w:t>
      </w:r>
      <w:r w:rsidR="00806FA9">
        <w:t xml:space="preserve">regarding </w:t>
      </w:r>
      <w:r>
        <w:t>qualifications for work experience and verification, has been amended by the board, but have been objected to the Joint Administrative Procedures Committee (“JAPC”)</w:t>
      </w:r>
      <w:r w:rsidR="00FD4519">
        <w:t xml:space="preserve"> by letter dated December 15, 2015</w:t>
      </w:r>
      <w:r>
        <w:t>, and</w:t>
      </w:r>
      <w:r w:rsidR="00FD4519">
        <w:t xml:space="preserve"> the rule changes are not</w:t>
      </w:r>
      <w:r>
        <w:t xml:space="preserve"> effective until these objections have been addressed</w:t>
      </w:r>
      <w:r w:rsidR="00A2704C">
        <w:t>. In the meantime, the board has postponed changes to this rule.</w:t>
      </w:r>
    </w:p>
    <w:p w:rsidR="00FE4A4B" w:rsidRDefault="00FE4A4B" w:rsidP="00FE4A4B">
      <w:pPr>
        <w:pStyle w:val="ListParagraph"/>
      </w:pPr>
    </w:p>
    <w:p w:rsidR="00FE4A4B" w:rsidRDefault="00DD0357" w:rsidP="002A2F20">
      <w:pPr>
        <w:pStyle w:val="BlockText"/>
        <w:ind w:left="1890"/>
      </w:pPr>
      <w:r>
        <w:rPr>
          <w:b/>
        </w:rPr>
        <w:t>Rule 61G4-15.032(1)(a)</w:t>
      </w:r>
      <w:r w:rsidR="00FE4A4B">
        <w:t>, regarding</w:t>
      </w:r>
      <w:r>
        <w:t xml:space="preserve"> Certification of Swimming Pool </w:t>
      </w:r>
      <w:r w:rsidR="00A2704C">
        <w:t xml:space="preserve">Specialty Contractors, has been </w:t>
      </w:r>
      <w:r>
        <w:t xml:space="preserve">amended to clarify that the scope of work under these licenses does not limit the scope of work that can otherwise be performed by </w:t>
      </w:r>
      <w:r w:rsidR="00674E68">
        <w:t>Division II pool and spa contractors.</w:t>
      </w:r>
    </w:p>
    <w:p w:rsidR="00F21C36" w:rsidRPr="001776E6" w:rsidRDefault="00F21C36" w:rsidP="00F21C36">
      <w:pPr>
        <w:pStyle w:val="BlockText"/>
        <w:tabs>
          <w:tab w:val="left" w:pos="1440"/>
          <w:tab w:val="left" w:pos="1980"/>
        </w:tabs>
        <w:rPr>
          <w:b/>
        </w:rPr>
      </w:pPr>
    </w:p>
    <w:p w:rsidR="00312017" w:rsidRDefault="00146910" w:rsidP="00312017">
      <w:pPr>
        <w:pStyle w:val="BlockText"/>
        <w:ind w:left="1890" w:hanging="450"/>
      </w:pPr>
      <w:r w:rsidRPr="00146910">
        <w:rPr>
          <w:b/>
        </w:rPr>
        <w:t>(b)</w:t>
      </w:r>
      <w:r>
        <w:t xml:space="preserve"> </w:t>
      </w:r>
      <w:r w:rsidR="00CC064D">
        <w:t xml:space="preserve"> </w:t>
      </w:r>
      <w:r w:rsidR="00A750A9" w:rsidRPr="00A750A9">
        <w:rPr>
          <w:b/>
          <w:u w:val="single"/>
        </w:rPr>
        <w:t>P</w:t>
      </w:r>
      <w:r w:rsidR="0032443B" w:rsidRPr="00A750A9">
        <w:rPr>
          <w:b/>
          <w:u w:val="single"/>
        </w:rPr>
        <w:t>etitions for Declaratory Statement</w:t>
      </w:r>
      <w:r w:rsidR="00A750A9">
        <w:t xml:space="preserve"> (if</w:t>
      </w:r>
      <w:r w:rsidR="00CC064D">
        <w:t xml:space="preserve"> </w:t>
      </w:r>
      <w:r w:rsidR="0032443B">
        <w:t>any):</w:t>
      </w:r>
    </w:p>
    <w:p w:rsidR="000E0782" w:rsidRDefault="000E0782" w:rsidP="00A2704C">
      <w:pPr>
        <w:pStyle w:val="BlockText"/>
      </w:pPr>
    </w:p>
    <w:p w:rsidR="000E0782" w:rsidRDefault="000E0782" w:rsidP="00312017">
      <w:pPr>
        <w:pStyle w:val="BlockText"/>
        <w:ind w:left="1890" w:hanging="450"/>
      </w:pPr>
      <w:r>
        <w:tab/>
      </w:r>
      <w:r w:rsidRPr="00435681">
        <w:rPr>
          <w:b/>
        </w:rPr>
        <w:t>Mark Hickinbotham</w:t>
      </w:r>
      <w:r>
        <w:t xml:space="preserve"> – Petition filed on September 21, 2015, seeking a determination of whether </w:t>
      </w:r>
      <w:r w:rsidR="00A2704C">
        <w:t xml:space="preserve">a biotrickling filer odor control unit is a pressure vessel and can be installed by a class A or class B HVAC contractor, </w:t>
      </w:r>
      <w:r>
        <w:t>was denie</w:t>
      </w:r>
      <w:r w:rsidR="00A2704C">
        <w:t>d by order entered in March 31</w:t>
      </w:r>
      <w:r>
        <w:t>, 2016</w:t>
      </w:r>
      <w:r w:rsidR="00A2704C">
        <w:t>.</w:t>
      </w:r>
    </w:p>
    <w:p w:rsidR="00142044" w:rsidRPr="00FD4519" w:rsidRDefault="00142044" w:rsidP="003045D2">
      <w:pPr>
        <w:pStyle w:val="BlockText"/>
        <w:rPr>
          <w:b/>
        </w:rPr>
      </w:pPr>
    </w:p>
    <w:p w:rsidR="00BE470E" w:rsidRDefault="00BE470E" w:rsidP="00312017">
      <w:pPr>
        <w:pStyle w:val="BlockText"/>
        <w:ind w:left="1890"/>
      </w:pPr>
      <w:r>
        <w:rPr>
          <w:b/>
        </w:rPr>
        <w:t>Michael Jones</w:t>
      </w:r>
      <w:r>
        <w:t xml:space="preserve"> – Petition filed on October 7, 2015, seeks a determination of what licensing requirements are to perform athletic filed construction.</w:t>
      </w:r>
      <w:r w:rsidR="00A2704C">
        <w:t xml:space="preserve"> The board</w:t>
      </w:r>
      <w:r w:rsidR="003313DA">
        <w:t>’s</w:t>
      </w:r>
      <w:r w:rsidR="00A2704C">
        <w:t xml:space="preserve"> order was filed on April 4, 2016, and declines to issue a statement because petitioner is not a substantially affected party and does not have standing.</w:t>
      </w:r>
    </w:p>
    <w:p w:rsidR="003313DA" w:rsidRDefault="003313DA" w:rsidP="00312017">
      <w:pPr>
        <w:pStyle w:val="BlockText"/>
        <w:ind w:left="1890"/>
        <w:rPr>
          <w:b/>
        </w:rPr>
      </w:pPr>
    </w:p>
    <w:p w:rsidR="003313DA" w:rsidRPr="003313DA" w:rsidRDefault="003313DA" w:rsidP="00312017">
      <w:pPr>
        <w:pStyle w:val="BlockText"/>
        <w:ind w:left="1890"/>
      </w:pPr>
      <w:r>
        <w:rPr>
          <w:b/>
        </w:rPr>
        <w:t>Mark Hickinbotham</w:t>
      </w:r>
      <w:r>
        <w:t xml:space="preserve"> – Petition was filed on October 9, 2015, seeking a determination of whether the installation of duct, tube or conduit for conveying air but which is not part of a HVAC is considered ductwork system requiring licensure. The board’s order was filed on March 31, 2016, and declines to issue a statement because the petition does not relate to a particular set of circumstances.</w:t>
      </w:r>
    </w:p>
    <w:p w:rsidR="00BE470E" w:rsidRDefault="00BE470E" w:rsidP="00BE470E">
      <w:pPr>
        <w:pStyle w:val="ListParagraph"/>
        <w:rPr>
          <w:b/>
        </w:rPr>
      </w:pPr>
    </w:p>
    <w:p w:rsidR="003370E3" w:rsidRDefault="003370E3" w:rsidP="00312017">
      <w:pPr>
        <w:pStyle w:val="BlockText"/>
        <w:ind w:left="1890"/>
        <w:rPr>
          <w:b/>
        </w:rPr>
      </w:pPr>
      <w:r>
        <w:rPr>
          <w:b/>
        </w:rPr>
        <w:t>Donnie S. Herron</w:t>
      </w:r>
      <w:r>
        <w:t xml:space="preserve"> – Petition filed on October 13, 2015, seeking a determination of how much sheathing a licensed Roofing Contractor is allowed to replace (by percentage).</w:t>
      </w:r>
      <w:r w:rsidR="003313DA">
        <w:t xml:space="preserve"> The board’s order was filed on January 15, 2016, and declines to issue a statement because the petition relates to an ongoing controversy. </w:t>
      </w:r>
    </w:p>
    <w:p w:rsidR="003370E3" w:rsidRDefault="003370E3" w:rsidP="003370E3">
      <w:pPr>
        <w:pStyle w:val="ListParagraph"/>
        <w:rPr>
          <w:b/>
        </w:rPr>
      </w:pPr>
    </w:p>
    <w:p w:rsidR="003313DA" w:rsidRDefault="003313DA" w:rsidP="003313DA">
      <w:pPr>
        <w:pStyle w:val="BlockText"/>
        <w:ind w:left="1890"/>
        <w:rPr>
          <w:b/>
        </w:rPr>
      </w:pPr>
      <w:r>
        <w:rPr>
          <w:b/>
        </w:rPr>
        <w:t>James Bifulco</w:t>
      </w:r>
      <w:r w:rsidR="003370E3">
        <w:t xml:space="preserve"> – Pe</w:t>
      </w:r>
      <w:r>
        <w:t xml:space="preserve">tition filed on November 6, 2016, </w:t>
      </w:r>
      <w:r w:rsidR="003370E3">
        <w:t>seeking a determination of</w:t>
      </w:r>
      <w:r>
        <w:t xml:space="preserve"> whether a general c</w:t>
      </w:r>
      <w:r w:rsidR="003370E3">
        <w:t>ont</w:t>
      </w:r>
      <w:r>
        <w:t>r</w:t>
      </w:r>
      <w:r w:rsidR="003370E3">
        <w:t xml:space="preserve">actor </w:t>
      </w:r>
      <w:r>
        <w:t xml:space="preserve">license is required to construct temporary structures, such as outrigger safety netting, perimeter guardrails and netting systems, protection decks and scaffolds used to stage significant materials loads. The board’s order was filed on January 15, 2016, and declines to issue a statement because the petition relates to an ongoing controversy. </w:t>
      </w:r>
    </w:p>
    <w:p w:rsidR="0071068B" w:rsidRDefault="0071068B" w:rsidP="003313DA">
      <w:pPr>
        <w:pStyle w:val="BlockText"/>
      </w:pPr>
    </w:p>
    <w:p w:rsidR="0071068B" w:rsidRDefault="0071068B" w:rsidP="00312017">
      <w:pPr>
        <w:pStyle w:val="BlockText"/>
        <w:ind w:left="1890"/>
      </w:pPr>
      <w:r w:rsidRPr="0071068B">
        <w:rPr>
          <w:b/>
        </w:rPr>
        <w:t>Seth G. Simmons</w:t>
      </w:r>
      <w:r w:rsidR="00432932">
        <w:rPr>
          <w:b/>
        </w:rPr>
        <w:t>/SGS Contracting Services</w:t>
      </w:r>
      <w:r>
        <w:t xml:space="preserve"> – Petition filed on November 6, 2015, seeking a determination of type of licensure required for installation of a pre-engineered and pre-fabricated PVC or fiberglass ductwork for an odor control system at a wastewater treatment facility.</w:t>
      </w:r>
      <w:r w:rsidR="004C7BF4">
        <w:t xml:space="preserve"> T</w:t>
      </w:r>
      <w:r w:rsidR="00431F8E">
        <w:t>he board</w:t>
      </w:r>
      <w:r w:rsidR="004C7BF4">
        <w:t>’s order was filed on November 6, 2016, and declines</w:t>
      </w:r>
      <w:r w:rsidR="00431F8E">
        <w:t xml:space="preserve"> to answer this petition based on a lack of specific circumstances</w:t>
      </w:r>
      <w:r w:rsidR="004C7BF4">
        <w:t xml:space="preserve"> and that it relates to the conduct of another person</w:t>
      </w:r>
      <w:r w:rsidR="00432932">
        <w:t>.</w:t>
      </w:r>
    </w:p>
    <w:p w:rsidR="00D22FC6" w:rsidRDefault="00D22FC6" w:rsidP="004C7BF4">
      <w:pPr>
        <w:pStyle w:val="BlockText"/>
      </w:pPr>
    </w:p>
    <w:p w:rsidR="00432932" w:rsidRPr="004C7BF4" w:rsidRDefault="00D22FC6" w:rsidP="004C7BF4">
      <w:pPr>
        <w:pStyle w:val="BlockText"/>
        <w:ind w:left="1890"/>
        <w:rPr>
          <w:b/>
        </w:rPr>
      </w:pPr>
      <w:r w:rsidRPr="00D22FC6">
        <w:rPr>
          <w:b/>
        </w:rPr>
        <w:t>John R. Banks/Banks Brothers Construction</w:t>
      </w:r>
      <w:r>
        <w:t xml:space="preserve"> – Petition filed on December 21, 2015, seeking a determination of whether there is a license category for construction of tenant improvements</w:t>
      </w:r>
      <w:r w:rsidR="00432932">
        <w:t xml:space="preserve">. </w:t>
      </w:r>
      <w:r w:rsidR="00943BAA">
        <w:t xml:space="preserve">This petition is based on the board’s previous denial of a CGC license to the petitioner based on lack of work experience in the required work activities (which are based on structural improvements). </w:t>
      </w:r>
      <w:r w:rsidR="004C7BF4">
        <w:t xml:space="preserve">. The board’s order was filed on May 13, 2016, and declines to issue a statement because the petition based on a lack of specific circumstances. </w:t>
      </w:r>
    </w:p>
    <w:p w:rsidR="00482BC2" w:rsidRDefault="00482BC2" w:rsidP="00482BC2">
      <w:pPr>
        <w:pStyle w:val="BlockText"/>
        <w:ind w:left="1890"/>
      </w:pPr>
    </w:p>
    <w:p w:rsidR="00A14268" w:rsidRDefault="00432932" w:rsidP="00A14268">
      <w:pPr>
        <w:pStyle w:val="BlockText"/>
        <w:ind w:left="1890"/>
      </w:pPr>
      <w:r w:rsidRPr="00432932">
        <w:rPr>
          <w:b/>
        </w:rPr>
        <w:t xml:space="preserve">Christopher Wright </w:t>
      </w:r>
      <w:r>
        <w:t>– Petition filed on December 30, 2015, seeking a clarification of the requirements for a Solar contractor licensure by endorsement</w:t>
      </w:r>
      <w:r w:rsidR="00943BAA">
        <w:t>, as well as the scope of such license</w:t>
      </w:r>
      <w:r>
        <w:t>.</w:t>
      </w:r>
      <w:r w:rsidR="00482BC2">
        <w:t xml:space="preserve"> </w:t>
      </w:r>
      <w:r w:rsidR="004C7BF4">
        <w:t>The board’s order was filed on May 13, 2016, and declines</w:t>
      </w:r>
      <w:r w:rsidR="00482BC2">
        <w:t xml:space="preserve"> to</w:t>
      </w:r>
      <w:r w:rsidR="004C7BF4">
        <w:t xml:space="preserve"> issue a statement based on a lack of specific circumstances</w:t>
      </w:r>
      <w:r w:rsidR="00435681">
        <w:t>.</w:t>
      </w:r>
    </w:p>
    <w:p w:rsidR="00432932" w:rsidRDefault="00432932" w:rsidP="00133FBD">
      <w:pPr>
        <w:pStyle w:val="BlockText"/>
        <w:ind w:left="1890"/>
      </w:pPr>
      <w:r w:rsidRPr="00432932">
        <w:rPr>
          <w:b/>
          <w:u w:val="single"/>
        </w:rPr>
        <w:t>Editor’s Note</w:t>
      </w:r>
      <w:r w:rsidRPr="00432932">
        <w:rPr>
          <w:u w:val="single"/>
        </w:rPr>
        <w:t>:</w:t>
      </w:r>
      <w:r>
        <w:t xml:space="preserve"> Licensure by “endorsement</w:t>
      </w:r>
      <w:r w:rsidR="004C7BF4">
        <w:t>,</w:t>
      </w:r>
      <w:r>
        <w:t xml:space="preserve">” </w:t>
      </w:r>
      <w:r w:rsidR="004C7BF4">
        <w:t xml:space="preserve">while provided for statutorily, </w:t>
      </w:r>
      <w:r>
        <w:t>is no</w:t>
      </w:r>
      <w:r w:rsidR="00435681">
        <w:t>t</w:t>
      </w:r>
      <w:r>
        <w:t xml:space="preserve"> possible due to the stringent statutory requirement </w:t>
      </w:r>
      <w:r w:rsidR="00435681">
        <w:t>that each state’s examination be</w:t>
      </w:r>
      <w:r>
        <w:t xml:space="preserve"> substantially the same; however, NO STATE (including Florida) will allow it’s examinations to be reviewed due to </w:t>
      </w:r>
      <w:r w:rsidR="00435681">
        <w:t xml:space="preserve">need for </w:t>
      </w:r>
      <w:r>
        <w:t>confidentiality.</w:t>
      </w:r>
    </w:p>
    <w:p w:rsidR="00435681" w:rsidRDefault="00435681" w:rsidP="00133FBD">
      <w:pPr>
        <w:pStyle w:val="BlockText"/>
        <w:ind w:left="1890"/>
      </w:pPr>
    </w:p>
    <w:p w:rsidR="00EC608B" w:rsidRDefault="004C7BF4" w:rsidP="00EC608B">
      <w:pPr>
        <w:pStyle w:val="BlockText"/>
        <w:ind w:left="1890"/>
      </w:pPr>
      <w:r>
        <w:rPr>
          <w:b/>
        </w:rPr>
        <w:t>Larry Carnley</w:t>
      </w:r>
      <w:r>
        <w:t xml:space="preserve"> – Petition filed on April 5</w:t>
      </w:r>
      <w:r w:rsidR="00435681">
        <w:t>, 2016, seeki</w:t>
      </w:r>
      <w:r>
        <w:t xml:space="preserve">ng a determination of whether the scope of a pool/spa contractor’s license in performing electrical work, has </w:t>
      </w:r>
      <w:r w:rsidR="00EC608B">
        <w:t>not yet been scheduled for hearing.</w:t>
      </w:r>
    </w:p>
    <w:p w:rsidR="00435681" w:rsidRPr="00EC608B" w:rsidRDefault="00435681" w:rsidP="00133FBD">
      <w:pPr>
        <w:pStyle w:val="BlockText"/>
        <w:ind w:left="1890"/>
        <w:rPr>
          <w:b/>
        </w:rPr>
      </w:pPr>
      <w:r w:rsidRPr="00A14268">
        <w:rPr>
          <w:b/>
          <w:u w:val="single"/>
        </w:rPr>
        <w:t>Editor’s Note</w:t>
      </w:r>
      <w:r w:rsidRPr="00A14268">
        <w:rPr>
          <w:u w:val="single"/>
        </w:rPr>
        <w:t>:</w:t>
      </w:r>
      <w:r>
        <w:t xml:space="preserve"> In the next few months it appears that the board may consider rule changes to address other electrical issues, such as </w:t>
      </w:r>
      <w:r w:rsidR="00A14268">
        <w:t>replacement of pool lights, pool heaters and pool pumps by pool contractors. This petition is yet another example of how the board may apply section 489.134, which provides that a part II (Electrical or Alarm contractor) license is not required for work perform within the scope of a part I contractor’s license.</w:t>
      </w:r>
      <w:r w:rsidR="00EC608B">
        <w:t xml:space="preserve"> </w:t>
      </w:r>
      <w:r w:rsidR="00EC608B" w:rsidRPr="00EC608B">
        <w:rPr>
          <w:b/>
        </w:rPr>
        <w:t>IN THE MEANTIME IT APPEARS THE BOARD WILL PROSECUTE POOL CONTRACTOR WHO MAKE ANY ELECTRICAL CONNECTIONS.</w:t>
      </w:r>
    </w:p>
    <w:p w:rsidR="00A14268" w:rsidRDefault="00A14268" w:rsidP="00133FBD">
      <w:pPr>
        <w:pStyle w:val="BlockText"/>
        <w:ind w:left="1890"/>
      </w:pPr>
    </w:p>
    <w:p w:rsidR="00A14268" w:rsidRDefault="00EC608B" w:rsidP="00A14268">
      <w:pPr>
        <w:pStyle w:val="BlockText"/>
        <w:ind w:left="1890"/>
      </w:pPr>
      <w:r w:rsidRPr="00EC608B">
        <w:rPr>
          <w:b/>
        </w:rPr>
        <w:t>Sarah J. Keith</w:t>
      </w:r>
      <w:r w:rsidR="00124F94" w:rsidRPr="003642F6">
        <w:rPr>
          <w:u w:val="single"/>
        </w:rPr>
        <w:t xml:space="preserve"> </w:t>
      </w:r>
      <w:r w:rsidR="00124F94">
        <w:t>– Petition filed</w:t>
      </w:r>
      <w:r>
        <w:t xml:space="preserve"> on May 27</w:t>
      </w:r>
      <w:r w:rsidR="00124F94">
        <w:t xml:space="preserve">, 2016, seeking a determination of the licensure requirements for the installation of </w:t>
      </w:r>
      <w:r>
        <w:t>pre-fabricated, non-utility piping within a bulk storage plant, and whether a plumbing license is sufficient for such work.</w:t>
      </w:r>
    </w:p>
    <w:p w:rsidR="00EC608B" w:rsidRDefault="00EC608B" w:rsidP="00A14268">
      <w:pPr>
        <w:pStyle w:val="BlockText"/>
        <w:ind w:left="1890"/>
      </w:pPr>
    </w:p>
    <w:p w:rsidR="00EC608B" w:rsidRDefault="00EC608B" w:rsidP="00A14268">
      <w:pPr>
        <w:pStyle w:val="BlockText"/>
        <w:ind w:left="1890"/>
      </w:pPr>
      <w:r w:rsidRPr="00EC608B">
        <w:rPr>
          <w:b/>
        </w:rPr>
        <w:t>Daniel Arguelles</w:t>
      </w:r>
      <w:r>
        <w:t xml:space="preserve"> – Petition filed on May 17, 2016, seeking a determination of the applicability of section 489.105(3) to contractors and roofers installing a hybrid solar roof and Pex tubing arrays.</w:t>
      </w:r>
    </w:p>
    <w:p w:rsidR="00EC608B" w:rsidRDefault="00EC608B" w:rsidP="00A14268">
      <w:pPr>
        <w:pStyle w:val="BlockText"/>
        <w:ind w:left="1890"/>
      </w:pPr>
    </w:p>
    <w:p w:rsidR="00EC608B" w:rsidRDefault="00EC608B" w:rsidP="00A14268">
      <w:pPr>
        <w:pStyle w:val="BlockText"/>
        <w:ind w:left="1890"/>
      </w:pPr>
      <w:r w:rsidRPr="00EC608B">
        <w:rPr>
          <w:b/>
        </w:rPr>
        <w:t>Kendal Siegrist</w:t>
      </w:r>
      <w:r>
        <w:t xml:space="preserve"> – Petition filed on June 9, 2016, seeking a determination of licensure requirements for lifting and relocating large structures by inserting metal beams through the foundation and using hydraulic jacks to lift the building.</w:t>
      </w:r>
    </w:p>
    <w:p w:rsidR="00EC608B" w:rsidRPr="00133FBD" w:rsidRDefault="00EC608B" w:rsidP="00EC608B">
      <w:pPr>
        <w:pStyle w:val="BlockText"/>
      </w:pPr>
    </w:p>
    <w:p w:rsidR="008C30E6" w:rsidRPr="009B4801" w:rsidRDefault="00146910" w:rsidP="00146910">
      <w:pPr>
        <w:pStyle w:val="BlockText"/>
        <w:ind w:left="1440"/>
        <w:rPr>
          <w:b/>
        </w:rPr>
      </w:pPr>
      <w:r w:rsidRPr="00146910">
        <w:rPr>
          <w:b/>
        </w:rPr>
        <w:t>(</w:t>
      </w:r>
      <w:r w:rsidR="00CC064D">
        <w:rPr>
          <w:b/>
        </w:rPr>
        <w:t>c</w:t>
      </w:r>
      <w:r w:rsidRPr="00146910">
        <w:rPr>
          <w:b/>
        </w:rPr>
        <w:t>)</w:t>
      </w:r>
      <w:r>
        <w:t xml:space="preserve"> </w:t>
      </w:r>
      <w:r w:rsidR="00A750A9">
        <w:rPr>
          <w:b/>
        </w:rPr>
        <w:t xml:space="preserve">   </w:t>
      </w:r>
      <w:r w:rsidR="00A750A9" w:rsidRPr="00A750A9">
        <w:rPr>
          <w:b/>
          <w:u w:val="single"/>
        </w:rPr>
        <w:t>P</w:t>
      </w:r>
      <w:r w:rsidR="002558FB" w:rsidRPr="00A750A9">
        <w:rPr>
          <w:b/>
          <w:u w:val="single"/>
        </w:rPr>
        <w:t>etition</w:t>
      </w:r>
      <w:r w:rsidR="009F7BC1" w:rsidRPr="00A750A9">
        <w:rPr>
          <w:b/>
          <w:u w:val="single"/>
        </w:rPr>
        <w:t>s</w:t>
      </w:r>
      <w:r w:rsidR="004E142A" w:rsidRPr="00A750A9">
        <w:rPr>
          <w:b/>
          <w:u w:val="single"/>
        </w:rPr>
        <w:t xml:space="preserve"> for Va</w:t>
      </w:r>
      <w:r w:rsidR="0092555A" w:rsidRPr="00A750A9">
        <w:rPr>
          <w:b/>
          <w:u w:val="single"/>
        </w:rPr>
        <w:t>riance or Waiver</w:t>
      </w:r>
      <w:r w:rsidR="00BB6D12">
        <w:t xml:space="preserve"> (if any</w:t>
      </w:r>
      <w:r w:rsidR="00BB6D12" w:rsidRPr="009B4801">
        <w:t>):</w:t>
      </w:r>
      <w:r w:rsidR="00530BF1" w:rsidRPr="009B4801">
        <w:t xml:space="preserve"> </w:t>
      </w:r>
    </w:p>
    <w:p w:rsidR="003370E3" w:rsidRPr="009B4801" w:rsidRDefault="003370E3" w:rsidP="003370E3">
      <w:pPr>
        <w:pStyle w:val="BlockText"/>
        <w:ind w:left="1800"/>
        <w:rPr>
          <w:b/>
        </w:rPr>
      </w:pPr>
    </w:p>
    <w:p w:rsidR="003370E3" w:rsidRDefault="00EC608B" w:rsidP="00EC608B">
      <w:pPr>
        <w:pStyle w:val="BlockText"/>
        <w:ind w:left="1890"/>
      </w:pPr>
      <w:r>
        <w:rPr>
          <w:b/>
        </w:rPr>
        <w:t>Harold Walker</w:t>
      </w:r>
      <w:r w:rsidR="003370E3" w:rsidRPr="009B4801">
        <w:rPr>
          <w:b/>
        </w:rPr>
        <w:t xml:space="preserve"> –</w:t>
      </w:r>
      <w:r>
        <w:t xml:space="preserve"> Petition filed on December 30</w:t>
      </w:r>
      <w:r w:rsidR="003370E3">
        <w:t>, 2015, seeking a waiver of the rule limiting examination results to four (4) years</w:t>
      </w:r>
      <w:r w:rsidR="00201FC1">
        <w:t>.</w:t>
      </w:r>
      <w:r>
        <w:t xml:space="preserve"> By order of the board entered on May 13, 2016, the petition was denied for failure to demonstrate a substantial hardship.</w:t>
      </w:r>
    </w:p>
    <w:p w:rsidR="003642F6" w:rsidRDefault="003642F6" w:rsidP="002A2F20">
      <w:pPr>
        <w:pStyle w:val="BlockText"/>
        <w:ind w:left="1890"/>
      </w:pPr>
    </w:p>
    <w:p w:rsidR="003642F6" w:rsidRDefault="00E6710A" w:rsidP="002A2F20">
      <w:pPr>
        <w:pStyle w:val="BlockText"/>
        <w:ind w:left="1890"/>
      </w:pPr>
      <w:r>
        <w:rPr>
          <w:b/>
        </w:rPr>
        <w:t>Richard Albert Stolte</w:t>
      </w:r>
      <w:r w:rsidR="003642F6">
        <w:t xml:space="preserve"> – Pet</w:t>
      </w:r>
      <w:r>
        <w:t>ition filed on April 12, 2016</w:t>
      </w:r>
      <w:r w:rsidR="003642F6">
        <w:t>, seeking a waiver of the rule</w:t>
      </w:r>
      <w:r>
        <w:t xml:space="preserve"> requiring a passing score on the Business and Finance Exam.</w:t>
      </w:r>
      <w:r w:rsidR="003642F6">
        <w:t xml:space="preserve"> </w:t>
      </w:r>
    </w:p>
    <w:p w:rsidR="00E6710A" w:rsidRDefault="00E6710A" w:rsidP="002A2F20">
      <w:pPr>
        <w:pStyle w:val="BlockText"/>
        <w:ind w:left="1890"/>
      </w:pPr>
    </w:p>
    <w:p w:rsidR="00E6710A" w:rsidRDefault="00E6710A" w:rsidP="002A2F20">
      <w:pPr>
        <w:pStyle w:val="BlockText"/>
        <w:ind w:left="1890"/>
      </w:pPr>
      <w:r w:rsidRPr="00E6710A">
        <w:rPr>
          <w:b/>
        </w:rPr>
        <w:t>Nolan Carl Sweeting</w:t>
      </w:r>
      <w:r>
        <w:t xml:space="preserve"> – Petition filed on May 11, 2016, seeking a waiver from the building contractor’s license examination until December 31, 2016.</w:t>
      </w:r>
    </w:p>
    <w:p w:rsidR="008C30E6" w:rsidRDefault="008C30E6" w:rsidP="00201FC1">
      <w:pPr>
        <w:pStyle w:val="BlockText"/>
      </w:pPr>
    </w:p>
    <w:p w:rsidR="00E05588" w:rsidRDefault="004E142A" w:rsidP="00E05588">
      <w:pPr>
        <w:pStyle w:val="BlockText"/>
        <w:numPr>
          <w:ilvl w:val="0"/>
          <w:numId w:val="11"/>
        </w:numPr>
      </w:pPr>
      <w:r w:rsidRPr="00897F26">
        <w:rPr>
          <w:b/>
          <w:u w:val="single"/>
        </w:rPr>
        <w:t>Electrical Contracting Licensing Board</w:t>
      </w:r>
      <w:r>
        <w:t xml:space="preserve"> (includes both electricians and alarm contractors) – Chapter </w:t>
      </w:r>
      <w:r w:rsidR="00EF30B1">
        <w:t>489, Part II, FS and 61G6, FAC</w:t>
      </w:r>
      <w:r w:rsidR="00E6710A">
        <w:t>;</w:t>
      </w:r>
    </w:p>
    <w:p w:rsidR="00F2420F" w:rsidRDefault="00F2420F" w:rsidP="00F2420F">
      <w:pPr>
        <w:pStyle w:val="BlockText"/>
        <w:ind w:left="1080"/>
      </w:pPr>
    </w:p>
    <w:p w:rsidR="002A2F20" w:rsidRPr="004813C0" w:rsidRDefault="00CC064D" w:rsidP="00482BC2">
      <w:pPr>
        <w:pStyle w:val="BlockText"/>
        <w:numPr>
          <w:ilvl w:val="0"/>
          <w:numId w:val="21"/>
        </w:numPr>
        <w:tabs>
          <w:tab w:val="left" w:pos="1800"/>
          <w:tab w:val="left" w:pos="1890"/>
        </w:tabs>
        <w:ind w:left="1440" w:firstLine="0"/>
        <w:rPr>
          <w:b/>
        </w:rPr>
      </w:pPr>
      <w:r>
        <w:t xml:space="preserve">  </w:t>
      </w:r>
      <w:r w:rsidR="00A750A9" w:rsidRPr="004813C0">
        <w:rPr>
          <w:b/>
          <w:u w:val="single"/>
        </w:rPr>
        <w:t>Rules</w:t>
      </w:r>
      <w:r w:rsidR="00FE4A4B" w:rsidRPr="004813C0">
        <w:rPr>
          <w:b/>
          <w:u w:val="single"/>
        </w:rPr>
        <w:t xml:space="preserve"> Changes</w:t>
      </w:r>
      <w:r w:rsidR="00BD45AE">
        <w:t xml:space="preserve"> (if any):</w:t>
      </w:r>
      <w:r w:rsidR="006F3FB3">
        <w:t xml:space="preserve"> Rule 61G6-8.001, regarding fees, is proposed to be amended to reduce fees for initial examination by $11.25, and for re-examination by $7.50.</w:t>
      </w:r>
      <w:r w:rsidR="002A2F20">
        <w:tab/>
      </w:r>
    </w:p>
    <w:p w:rsidR="005510CD" w:rsidRDefault="005510CD" w:rsidP="005510CD">
      <w:pPr>
        <w:pStyle w:val="BlockText"/>
        <w:ind w:left="2160" w:hanging="720"/>
      </w:pPr>
    </w:p>
    <w:p w:rsidR="00A110DD" w:rsidRDefault="00A750A9" w:rsidP="00A750A9">
      <w:pPr>
        <w:pStyle w:val="BlockText"/>
        <w:numPr>
          <w:ilvl w:val="0"/>
          <w:numId w:val="21"/>
        </w:numPr>
        <w:tabs>
          <w:tab w:val="left" w:pos="1800"/>
        </w:tabs>
        <w:ind w:firstLine="720"/>
      </w:pPr>
      <w:r>
        <w:t xml:space="preserve">  </w:t>
      </w:r>
      <w:r w:rsidRPr="00A750A9">
        <w:rPr>
          <w:b/>
          <w:u w:val="single"/>
        </w:rPr>
        <w:t>P</w:t>
      </w:r>
      <w:r w:rsidR="004E142A" w:rsidRPr="00A750A9">
        <w:rPr>
          <w:b/>
          <w:u w:val="single"/>
        </w:rPr>
        <w:t xml:space="preserve">etitions for </w:t>
      </w:r>
      <w:r w:rsidR="00CC064D" w:rsidRPr="00A750A9">
        <w:rPr>
          <w:b/>
          <w:u w:val="single"/>
        </w:rPr>
        <w:t xml:space="preserve">Declaratory </w:t>
      </w:r>
      <w:r w:rsidR="00DB4628" w:rsidRPr="00A750A9">
        <w:rPr>
          <w:b/>
          <w:u w:val="single"/>
        </w:rPr>
        <w:t xml:space="preserve">Statement </w:t>
      </w:r>
      <w:r w:rsidR="00400FFE">
        <w:t>(if</w:t>
      </w:r>
      <w:r w:rsidR="00CC064D">
        <w:t xml:space="preserve"> </w:t>
      </w:r>
      <w:r w:rsidR="00DB4628">
        <w:t>any):</w:t>
      </w:r>
      <w:r w:rsidR="00360AA3">
        <w:t xml:space="preserve"> </w:t>
      </w:r>
      <w:r w:rsidR="004813C0">
        <w:t>None noticed.</w:t>
      </w:r>
    </w:p>
    <w:p w:rsidR="00360D91" w:rsidRDefault="00360D91" w:rsidP="00E71158">
      <w:pPr>
        <w:pStyle w:val="BlockText"/>
      </w:pPr>
    </w:p>
    <w:p w:rsidR="00595D13" w:rsidRDefault="00A750A9" w:rsidP="003045D2">
      <w:pPr>
        <w:pStyle w:val="BlockText"/>
        <w:numPr>
          <w:ilvl w:val="0"/>
          <w:numId w:val="21"/>
        </w:numPr>
        <w:ind w:left="1800"/>
      </w:pPr>
      <w:r>
        <w:rPr>
          <w:b/>
        </w:rPr>
        <w:t xml:space="preserve">  </w:t>
      </w:r>
      <w:r w:rsidRPr="00A750A9">
        <w:rPr>
          <w:b/>
          <w:u w:val="single"/>
        </w:rPr>
        <w:t>P</w:t>
      </w:r>
      <w:r w:rsidR="004E142A" w:rsidRPr="00A750A9">
        <w:rPr>
          <w:b/>
          <w:u w:val="single"/>
        </w:rPr>
        <w:t xml:space="preserve">etitions for </w:t>
      </w:r>
      <w:r w:rsidR="009E2A70" w:rsidRPr="00A750A9">
        <w:rPr>
          <w:b/>
          <w:u w:val="single"/>
        </w:rPr>
        <w:t>Va</w:t>
      </w:r>
      <w:r w:rsidR="00CB169A" w:rsidRPr="00A750A9">
        <w:rPr>
          <w:b/>
          <w:u w:val="single"/>
        </w:rPr>
        <w:t>riance or Waiver</w:t>
      </w:r>
      <w:r w:rsidR="00CB169A">
        <w:t xml:space="preserve"> </w:t>
      </w:r>
      <w:r w:rsidR="00DB4628">
        <w:t>(if any</w:t>
      </w:r>
      <w:r w:rsidR="006960B4">
        <w:t xml:space="preserve">): </w:t>
      </w:r>
    </w:p>
    <w:p w:rsidR="00595D13" w:rsidRDefault="00E6710A" w:rsidP="00595D13">
      <w:pPr>
        <w:pStyle w:val="BlockText"/>
        <w:ind w:left="1890"/>
      </w:pPr>
      <w:r>
        <w:rPr>
          <w:b/>
        </w:rPr>
        <w:t>Nathan Macksey</w:t>
      </w:r>
      <w:r>
        <w:t xml:space="preserve"> – Petition filed on June 23</w:t>
      </w:r>
      <w:r w:rsidR="00595D13">
        <w:t>, 2016, seeking a waiver of the rule that examination scores are valid only for a period of two (2) years.</w:t>
      </w:r>
    </w:p>
    <w:p w:rsidR="00802164" w:rsidRPr="00F917FF" w:rsidRDefault="00802164" w:rsidP="00595D13">
      <w:pPr>
        <w:pStyle w:val="BlockText"/>
      </w:pPr>
    </w:p>
    <w:p w:rsidR="004E142A" w:rsidRDefault="004E142A" w:rsidP="007B2FC8">
      <w:pPr>
        <w:pStyle w:val="BlockText"/>
        <w:numPr>
          <w:ilvl w:val="0"/>
          <w:numId w:val="11"/>
        </w:numPr>
      </w:pPr>
      <w:r w:rsidRPr="006D1C4E">
        <w:rPr>
          <w:b/>
          <w:u w:val="single"/>
        </w:rPr>
        <w:t>Board of Architecture and Interior Design</w:t>
      </w:r>
      <w:r>
        <w:t xml:space="preserve"> – Chapter 481, Part I, FS and 61G1 FAC: </w:t>
      </w:r>
    </w:p>
    <w:p w:rsidR="004E142A" w:rsidRDefault="004E142A" w:rsidP="004E142A">
      <w:pPr>
        <w:pStyle w:val="BlockText"/>
        <w:ind w:left="1080"/>
      </w:pPr>
    </w:p>
    <w:p w:rsidR="00AC4FD0" w:rsidRDefault="00A750A9" w:rsidP="00CC064D">
      <w:pPr>
        <w:pStyle w:val="BlockText"/>
        <w:numPr>
          <w:ilvl w:val="1"/>
          <w:numId w:val="11"/>
        </w:numPr>
        <w:tabs>
          <w:tab w:val="left" w:pos="1710"/>
        </w:tabs>
        <w:ind w:hanging="540"/>
      </w:pPr>
      <w:r>
        <w:rPr>
          <w:b/>
          <w:u w:val="single"/>
        </w:rPr>
        <w:t>Rules</w:t>
      </w:r>
      <w:r w:rsidR="00FE4A4B">
        <w:rPr>
          <w:b/>
          <w:u w:val="single"/>
        </w:rPr>
        <w:t xml:space="preserve"> Changes</w:t>
      </w:r>
      <w:r w:rsidR="00297D0C">
        <w:t xml:space="preserve"> (if any)</w:t>
      </w:r>
      <w:r w:rsidR="000B1E71">
        <w:t xml:space="preserve">: </w:t>
      </w:r>
      <w:r w:rsidR="0019337F">
        <w:t>None noticed.</w:t>
      </w:r>
    </w:p>
    <w:p w:rsidR="009D0597" w:rsidRDefault="009D0597" w:rsidP="009D0597">
      <w:pPr>
        <w:pStyle w:val="BlockText"/>
        <w:tabs>
          <w:tab w:val="left" w:pos="1710"/>
        </w:tabs>
        <w:ind w:left="1800"/>
      </w:pPr>
    </w:p>
    <w:p w:rsidR="00CC064D" w:rsidRDefault="00A750A9" w:rsidP="00A750A9">
      <w:pPr>
        <w:pStyle w:val="BlockText"/>
        <w:numPr>
          <w:ilvl w:val="1"/>
          <w:numId w:val="11"/>
        </w:numPr>
        <w:ind w:hanging="540"/>
      </w:pPr>
      <w:r w:rsidRPr="00FE4A4B">
        <w:rPr>
          <w:b/>
          <w:u w:val="single"/>
        </w:rPr>
        <w:t>P</w:t>
      </w:r>
      <w:r w:rsidR="004E142A" w:rsidRPr="00FE4A4B">
        <w:rPr>
          <w:b/>
          <w:u w:val="single"/>
        </w:rPr>
        <w:t xml:space="preserve">etitions for Declaratory </w:t>
      </w:r>
      <w:r w:rsidR="004E142A" w:rsidRPr="00A750A9">
        <w:rPr>
          <w:b/>
          <w:u w:val="single"/>
        </w:rPr>
        <w:t>Statement</w:t>
      </w:r>
      <w:r>
        <w:t xml:space="preserve"> (if any):</w:t>
      </w:r>
      <w:r w:rsidR="0019337F">
        <w:t xml:space="preserve"> None noticed.</w:t>
      </w:r>
    </w:p>
    <w:p w:rsidR="00CC064D" w:rsidRDefault="00CC064D" w:rsidP="00CC064D">
      <w:pPr>
        <w:pStyle w:val="ListParagraph"/>
        <w:rPr>
          <w:u w:val="single"/>
        </w:rPr>
      </w:pPr>
    </w:p>
    <w:p w:rsidR="009D0597" w:rsidRDefault="00A750A9" w:rsidP="00CC064D">
      <w:pPr>
        <w:pStyle w:val="BlockText"/>
        <w:numPr>
          <w:ilvl w:val="1"/>
          <w:numId w:val="11"/>
        </w:numPr>
        <w:ind w:hanging="540"/>
      </w:pPr>
      <w:r w:rsidRPr="00A750A9">
        <w:rPr>
          <w:b/>
          <w:u w:val="single"/>
        </w:rPr>
        <w:t>P</w:t>
      </w:r>
      <w:r w:rsidR="004E142A" w:rsidRPr="00A750A9">
        <w:rPr>
          <w:b/>
          <w:u w:val="single"/>
        </w:rPr>
        <w:t>etitions f</w:t>
      </w:r>
      <w:r w:rsidR="00273404" w:rsidRPr="00A750A9">
        <w:rPr>
          <w:b/>
          <w:u w:val="single"/>
        </w:rPr>
        <w:t>or Variance or Waiver</w:t>
      </w:r>
      <w:r w:rsidR="00273404">
        <w:t xml:space="preserve"> (if any):</w:t>
      </w:r>
      <w:r w:rsidR="0019337F">
        <w:t xml:space="preserve"> None noticed.</w:t>
      </w:r>
    </w:p>
    <w:p w:rsidR="004E2A5D" w:rsidRDefault="004E2A5D" w:rsidP="00AC4FD0">
      <w:pPr>
        <w:pStyle w:val="BlockText"/>
      </w:pPr>
    </w:p>
    <w:p w:rsidR="004E142A" w:rsidRDefault="004E142A" w:rsidP="00FA53DC">
      <w:pPr>
        <w:pStyle w:val="BlockText"/>
        <w:numPr>
          <w:ilvl w:val="0"/>
          <w:numId w:val="11"/>
        </w:numPr>
      </w:pPr>
      <w:r w:rsidRPr="00E519F0">
        <w:rPr>
          <w:b/>
          <w:u w:val="single"/>
        </w:rPr>
        <w:t>Board of Professional Engineers</w:t>
      </w:r>
      <w:r>
        <w:t xml:space="preserve"> – Chapter 471, FS and 61G15 FAC: </w:t>
      </w:r>
    </w:p>
    <w:p w:rsidR="004E142A" w:rsidRDefault="004E142A" w:rsidP="004E142A">
      <w:pPr>
        <w:pStyle w:val="BlockText"/>
      </w:pPr>
    </w:p>
    <w:p w:rsidR="00010953" w:rsidRDefault="00FA53DC" w:rsidP="00FA53DC">
      <w:pPr>
        <w:pStyle w:val="BlockText"/>
        <w:ind w:left="1800" w:hanging="360"/>
      </w:pPr>
      <w:r>
        <w:rPr>
          <w:b/>
        </w:rPr>
        <w:t xml:space="preserve">(a) </w:t>
      </w:r>
      <w:r w:rsidR="00CC064D">
        <w:t xml:space="preserve">   </w:t>
      </w:r>
      <w:r w:rsidR="00FE4A4B" w:rsidRPr="00FE4A4B">
        <w:rPr>
          <w:b/>
          <w:u w:val="single"/>
        </w:rPr>
        <w:t>Rules Changes</w:t>
      </w:r>
      <w:r w:rsidR="00FE4A4B">
        <w:rPr>
          <w:b/>
        </w:rPr>
        <w:t xml:space="preserve"> </w:t>
      </w:r>
      <w:r w:rsidR="00434B55">
        <w:t>(if any):</w:t>
      </w:r>
      <w:r w:rsidR="00DD5289">
        <w:t xml:space="preserve"> </w:t>
      </w:r>
    </w:p>
    <w:p w:rsidR="004E572B" w:rsidRDefault="004E572B" w:rsidP="00466AD0">
      <w:pPr>
        <w:pStyle w:val="BlockText"/>
      </w:pPr>
    </w:p>
    <w:p w:rsidR="00824AEC" w:rsidRDefault="00414DE9" w:rsidP="00133FBD">
      <w:pPr>
        <w:pStyle w:val="BlockText"/>
        <w:ind w:left="1980"/>
      </w:pPr>
      <w:r>
        <w:rPr>
          <w:b/>
        </w:rPr>
        <w:t>Rule</w:t>
      </w:r>
      <w:r w:rsidR="00824AEC" w:rsidRPr="00824AEC">
        <w:rPr>
          <w:b/>
        </w:rPr>
        <w:t xml:space="preserve"> 61</w:t>
      </w:r>
      <w:r w:rsidR="00802164">
        <w:rPr>
          <w:b/>
        </w:rPr>
        <w:t>G15-18.011</w:t>
      </w:r>
      <w:r w:rsidR="00657721">
        <w:rPr>
          <w:b/>
        </w:rPr>
        <w:t>(6)</w:t>
      </w:r>
      <w:r w:rsidR="00824AEC">
        <w:t xml:space="preserve">, </w:t>
      </w:r>
      <w:r w:rsidR="00657721">
        <w:t>addi</w:t>
      </w:r>
      <w:r w:rsidR="00824AEC">
        <w:t xml:space="preserve">ng </w:t>
      </w:r>
      <w:r w:rsidR="00802164">
        <w:t xml:space="preserve">definitions, to incorporate changes to the Florida Building Code by reference. </w:t>
      </w:r>
    </w:p>
    <w:p w:rsidR="00802164" w:rsidRDefault="00802164" w:rsidP="00133FBD">
      <w:pPr>
        <w:pStyle w:val="BlockText"/>
        <w:ind w:left="1980"/>
      </w:pPr>
    </w:p>
    <w:p w:rsidR="00802164" w:rsidRDefault="00802164" w:rsidP="00133FBD">
      <w:pPr>
        <w:pStyle w:val="BlockText"/>
        <w:ind w:left="1980"/>
      </w:pPr>
      <w:r w:rsidRPr="004B0BF0">
        <w:rPr>
          <w:b/>
        </w:rPr>
        <w:t>Rule 61G15-19.001 and 19.004</w:t>
      </w:r>
      <w:r>
        <w:t>, regarding grounds for disciplinary proceedings to clarify that renewal of a license without completion of statutorily required continuing education is a violation, and to create a penalty guideline for such violation.</w:t>
      </w:r>
    </w:p>
    <w:p w:rsidR="00657721" w:rsidRDefault="00657721" w:rsidP="00133FBD">
      <w:pPr>
        <w:pStyle w:val="BlockText"/>
        <w:ind w:left="1980"/>
      </w:pPr>
    </w:p>
    <w:p w:rsidR="00657721" w:rsidRDefault="00657721" w:rsidP="00133FBD">
      <w:pPr>
        <w:pStyle w:val="BlockText"/>
        <w:ind w:left="1980"/>
      </w:pPr>
      <w:r w:rsidRPr="00657721">
        <w:rPr>
          <w:b/>
        </w:rPr>
        <w:t>Rule 61G15-20.0010</w:t>
      </w:r>
      <w:r>
        <w:t>, updating licensure by examination requirements and the application form.</w:t>
      </w:r>
    </w:p>
    <w:p w:rsidR="00657721" w:rsidRDefault="00657721" w:rsidP="00133FBD">
      <w:pPr>
        <w:pStyle w:val="BlockText"/>
        <w:ind w:left="1980"/>
      </w:pPr>
    </w:p>
    <w:p w:rsidR="00657721" w:rsidRDefault="00657721" w:rsidP="00133FBD">
      <w:pPr>
        <w:pStyle w:val="BlockText"/>
        <w:ind w:left="1980"/>
      </w:pPr>
      <w:r w:rsidRPr="00657721">
        <w:rPr>
          <w:b/>
        </w:rPr>
        <w:t>Rule 61G15-20.0015</w:t>
      </w:r>
      <w:r>
        <w:t>, updating licensure by endorsement requirements and the application form.</w:t>
      </w:r>
    </w:p>
    <w:p w:rsidR="00657721" w:rsidRDefault="00657721" w:rsidP="00133FBD">
      <w:pPr>
        <w:pStyle w:val="BlockText"/>
        <w:ind w:left="1980"/>
      </w:pPr>
    </w:p>
    <w:p w:rsidR="00657721" w:rsidRDefault="00657721" w:rsidP="00133FBD">
      <w:pPr>
        <w:pStyle w:val="BlockText"/>
        <w:ind w:left="1980"/>
      </w:pPr>
      <w:r w:rsidRPr="00657721">
        <w:rPr>
          <w:b/>
        </w:rPr>
        <w:t>Rule 61G15-23.001</w:t>
      </w:r>
      <w:r>
        <w:t xml:space="preserve"> and </w:t>
      </w:r>
      <w:r w:rsidRPr="00657721">
        <w:rPr>
          <w:b/>
        </w:rPr>
        <w:t>23.005</w:t>
      </w:r>
      <w:r>
        <w:t xml:space="preserve">, modifying sealing affiliation to include references to Florida Fire Prevention Code and use of FDOT Professional Electronic Data Delivery System software, and use of authentication codes. </w:t>
      </w:r>
    </w:p>
    <w:p w:rsidR="00657721" w:rsidRDefault="00657721" w:rsidP="00133FBD">
      <w:pPr>
        <w:pStyle w:val="BlockText"/>
        <w:ind w:left="1980"/>
      </w:pPr>
    </w:p>
    <w:p w:rsidR="00657721" w:rsidRDefault="00657721" w:rsidP="00133FBD">
      <w:pPr>
        <w:pStyle w:val="BlockText"/>
        <w:ind w:left="1980"/>
      </w:pPr>
      <w:r w:rsidRPr="00657721">
        <w:rPr>
          <w:b/>
        </w:rPr>
        <w:t>Rule 61G15-32.004</w:t>
      </w:r>
      <w:r>
        <w:t>, adding references to the Florida Building Code in the design of water based fire protection systems.</w:t>
      </w:r>
    </w:p>
    <w:p w:rsidR="00802164" w:rsidRDefault="00802164" w:rsidP="00133FBD">
      <w:pPr>
        <w:pStyle w:val="BlockText"/>
        <w:ind w:left="1980"/>
      </w:pPr>
    </w:p>
    <w:p w:rsidR="00802164" w:rsidRDefault="00802164" w:rsidP="004B0BF0">
      <w:pPr>
        <w:pStyle w:val="BlockText"/>
        <w:ind w:left="1980"/>
      </w:pPr>
      <w:r w:rsidRPr="004B0BF0">
        <w:rPr>
          <w:b/>
        </w:rPr>
        <w:t>Rule 61G</w:t>
      </w:r>
      <w:r w:rsidR="004B0BF0" w:rsidRPr="004B0BF0">
        <w:rPr>
          <w:b/>
        </w:rPr>
        <w:t>15-35.003</w:t>
      </w:r>
      <w:r w:rsidR="004B0BF0">
        <w:t>, regarding qualification program for Special Inspectors of Threshold Buildings, to update the required certifications by referencing the list in a different rule</w:t>
      </w:r>
      <w:r w:rsidR="00657721">
        <w:t xml:space="preserve"> [Rule 61G15-35.004(2)(f)]</w:t>
      </w:r>
      <w:r w:rsidR="004B0BF0">
        <w:t>.</w:t>
      </w:r>
    </w:p>
    <w:p w:rsidR="0019337F" w:rsidRDefault="0019337F" w:rsidP="00CC064D">
      <w:pPr>
        <w:pStyle w:val="BlockText"/>
        <w:tabs>
          <w:tab w:val="left" w:pos="1620"/>
        </w:tabs>
        <w:ind w:left="1980" w:hanging="540"/>
        <w:rPr>
          <w:b/>
        </w:rPr>
      </w:pPr>
    </w:p>
    <w:p w:rsidR="00E3126D" w:rsidRDefault="0019337F" w:rsidP="00CC064D">
      <w:pPr>
        <w:pStyle w:val="BlockText"/>
        <w:tabs>
          <w:tab w:val="left" w:pos="1620"/>
        </w:tabs>
        <w:ind w:left="1980" w:hanging="540"/>
      </w:pPr>
      <w:r>
        <w:rPr>
          <w:b/>
        </w:rPr>
        <w:t xml:space="preserve"> </w:t>
      </w:r>
      <w:r w:rsidR="007F7B3F">
        <w:rPr>
          <w:b/>
        </w:rPr>
        <w:t xml:space="preserve">(b) </w:t>
      </w:r>
      <w:r w:rsidR="00CC064D">
        <w:rPr>
          <w:b/>
        </w:rPr>
        <w:t xml:space="preserve"> </w:t>
      </w:r>
      <w:r w:rsidR="009E2A70" w:rsidRPr="00A750A9">
        <w:rPr>
          <w:b/>
          <w:u w:val="single"/>
        </w:rPr>
        <w:t xml:space="preserve">Petitions for </w:t>
      </w:r>
      <w:r w:rsidR="00052694" w:rsidRPr="00A750A9">
        <w:rPr>
          <w:b/>
          <w:u w:val="single"/>
        </w:rPr>
        <w:t>Declaratory Statement</w:t>
      </w:r>
      <w:r w:rsidR="00003119">
        <w:t xml:space="preserve"> (if any</w:t>
      </w:r>
      <w:r w:rsidR="00A750A9">
        <w:t>):</w:t>
      </w:r>
      <w:r w:rsidR="004B0BF0">
        <w:t xml:space="preserve"> Mr. and Mrs. Tom Shoquist, seeking a determination of whether one-site inspections to determine the percentage of work completed and compliance with drawings and specifications on a new, permitted construction project, is required to be performed by a licensed engineer or </w:t>
      </w:r>
      <w:r w:rsidR="006F3FB3">
        <w:t>architect</w:t>
      </w:r>
      <w:r w:rsidR="004B0BF0">
        <w:t>.</w:t>
      </w:r>
    </w:p>
    <w:p w:rsidR="000B0D3F" w:rsidRDefault="000B0D3F" w:rsidP="000B0D3F">
      <w:pPr>
        <w:pStyle w:val="BlockText"/>
        <w:ind w:left="1800"/>
      </w:pPr>
    </w:p>
    <w:p w:rsidR="00CC1B0F" w:rsidRDefault="007F7B3F" w:rsidP="00CC064D">
      <w:pPr>
        <w:pStyle w:val="BlockText"/>
        <w:ind w:left="2250" w:hanging="810"/>
      </w:pPr>
      <w:r>
        <w:rPr>
          <w:b/>
        </w:rPr>
        <w:t>(c)</w:t>
      </w:r>
      <w:r w:rsidR="00CC064D">
        <w:t xml:space="preserve">  </w:t>
      </w:r>
      <w:r w:rsidR="00A750A9">
        <w:t xml:space="preserve">  </w:t>
      </w:r>
      <w:r w:rsidR="000B0D3F" w:rsidRPr="00A750A9">
        <w:rPr>
          <w:b/>
          <w:u w:val="single"/>
        </w:rPr>
        <w:t>Petitions for Variance or Waiver</w:t>
      </w:r>
      <w:r w:rsidR="000B0D3F">
        <w:t xml:space="preserve"> (i</w:t>
      </w:r>
      <w:r w:rsidR="00B73DBD">
        <w:t>f any):</w:t>
      </w:r>
      <w:r w:rsidR="00034306">
        <w:t xml:space="preserve"> </w:t>
      </w:r>
    </w:p>
    <w:p w:rsidR="00F505EF" w:rsidRDefault="00F505EF" w:rsidP="00CC064D">
      <w:pPr>
        <w:pStyle w:val="BlockText"/>
        <w:ind w:left="2250" w:hanging="810"/>
      </w:pPr>
    </w:p>
    <w:p w:rsidR="00F505EF" w:rsidRDefault="00F505EF" w:rsidP="00F505EF">
      <w:pPr>
        <w:pStyle w:val="BlockText"/>
        <w:ind w:left="1919"/>
      </w:pPr>
      <w:r w:rsidRPr="00F505EF">
        <w:rPr>
          <w:b/>
        </w:rPr>
        <w:t>Ellen H. Kucharik</w:t>
      </w:r>
      <w:r>
        <w:t xml:space="preserve"> – petition filed on September 22, 2015, seeking a variance or waiver from Rule 61G15-21.001(1) (a) regarding licensure by endorsement. The board’s order, filed on November 5, 2015, granted the petition based on passage of state Fundamentals of Engineering Exam, which is substantially equivalent to Part I, NCEES exam.</w:t>
      </w:r>
    </w:p>
    <w:p w:rsidR="00F505EF" w:rsidRDefault="00F505EF" w:rsidP="00F505EF">
      <w:pPr>
        <w:pStyle w:val="BlockText"/>
        <w:ind w:left="1919"/>
      </w:pPr>
    </w:p>
    <w:p w:rsidR="00F505EF" w:rsidRDefault="00F505EF" w:rsidP="00F505EF">
      <w:pPr>
        <w:pStyle w:val="BlockText"/>
        <w:ind w:left="1919"/>
      </w:pPr>
      <w:r w:rsidRPr="00FC6828">
        <w:rPr>
          <w:b/>
        </w:rPr>
        <w:t>Henry C. Hillman, Jr.</w:t>
      </w:r>
      <w:r>
        <w:t xml:space="preserve"> – petition filed on April </w:t>
      </w:r>
      <w:r w:rsidR="00FC6828">
        <w:t>8, 2016, seeking a waiver of the minimum 3 years of experience conducting threshold inspections.</w:t>
      </w:r>
    </w:p>
    <w:p w:rsidR="00FC6828" w:rsidRDefault="00FC6828" w:rsidP="00F505EF">
      <w:pPr>
        <w:pStyle w:val="BlockText"/>
        <w:ind w:left="1919"/>
      </w:pPr>
    </w:p>
    <w:p w:rsidR="00FC6828" w:rsidRDefault="00FC6828" w:rsidP="00F505EF">
      <w:pPr>
        <w:pStyle w:val="BlockText"/>
        <w:ind w:left="1919"/>
      </w:pPr>
      <w:r w:rsidRPr="00FD690E">
        <w:rPr>
          <w:b/>
        </w:rPr>
        <w:t>Olof H. Jacobson</w:t>
      </w:r>
      <w:r>
        <w:t xml:space="preserve"> – petition filed May 11, 2016, seeking a waiver of the requirement to pass the Fundamentals of Engineering and Principals and Practices Exams.</w:t>
      </w:r>
    </w:p>
    <w:p w:rsidR="00FC6828" w:rsidRDefault="00FC6828" w:rsidP="00F505EF">
      <w:pPr>
        <w:pStyle w:val="BlockText"/>
        <w:ind w:left="1919"/>
      </w:pPr>
    </w:p>
    <w:p w:rsidR="00FC6828" w:rsidRDefault="00FC6828" w:rsidP="00F505EF">
      <w:pPr>
        <w:pStyle w:val="BlockText"/>
        <w:ind w:left="1919"/>
      </w:pPr>
      <w:r w:rsidRPr="00FD690E">
        <w:rPr>
          <w:b/>
        </w:rPr>
        <w:t>Wassin Naguib</w:t>
      </w:r>
      <w:r>
        <w:t xml:space="preserve"> – petition filed on May 17, 2016, seeking a waiver of the requirement that applicants with non-EAC/ABET accredited engineering degrees have a current evaluation of the educational credentials from one of two approved agencies.</w:t>
      </w:r>
    </w:p>
    <w:p w:rsidR="00FC6828" w:rsidRDefault="00FC6828" w:rsidP="00F505EF">
      <w:pPr>
        <w:pStyle w:val="BlockText"/>
        <w:ind w:left="1919"/>
      </w:pPr>
    </w:p>
    <w:p w:rsidR="00FD690E" w:rsidRDefault="00FC6828" w:rsidP="00FD690E">
      <w:pPr>
        <w:pStyle w:val="BlockText"/>
        <w:ind w:left="1919"/>
      </w:pPr>
      <w:r w:rsidRPr="00FD690E">
        <w:rPr>
          <w:b/>
        </w:rPr>
        <w:t>David Bush</w:t>
      </w:r>
      <w:r>
        <w:t xml:space="preserve"> – petition filed on May 18, 2016, seeking a waiver</w:t>
      </w:r>
      <w:r w:rsidR="00FD690E" w:rsidRPr="00FD690E">
        <w:t xml:space="preserve"> </w:t>
      </w:r>
      <w:r w:rsidR="00FD690E">
        <w:t>of the requirement to pass the Fundamentals of Engineering and Principals and Practices Exams.</w:t>
      </w:r>
    </w:p>
    <w:p w:rsidR="000B0D3F" w:rsidRDefault="000B0D3F" w:rsidP="000B0D3F">
      <w:pPr>
        <w:pStyle w:val="BlockText"/>
      </w:pPr>
    </w:p>
    <w:p w:rsidR="004E142A" w:rsidRDefault="004E142A" w:rsidP="00FA53DC">
      <w:pPr>
        <w:pStyle w:val="BlockText"/>
        <w:numPr>
          <w:ilvl w:val="0"/>
          <w:numId w:val="11"/>
        </w:numPr>
      </w:pPr>
      <w:r w:rsidRPr="00E519F0">
        <w:rPr>
          <w:b/>
          <w:u w:val="single"/>
        </w:rPr>
        <w:t>Building Code Administrators and Inspectors</w:t>
      </w:r>
      <w:r w:rsidRPr="00E519F0">
        <w:rPr>
          <w:b/>
        </w:rPr>
        <w:t xml:space="preserve"> Board</w:t>
      </w:r>
      <w:r>
        <w:t xml:space="preserve"> – Chapt</w:t>
      </w:r>
      <w:r w:rsidR="00E3126D">
        <w:t>er 468, Part XII and 61G19 FAC:</w:t>
      </w:r>
    </w:p>
    <w:p w:rsidR="004E142A" w:rsidRDefault="004E142A" w:rsidP="004E142A">
      <w:pPr>
        <w:pStyle w:val="BlockText"/>
        <w:ind w:left="1440"/>
      </w:pPr>
    </w:p>
    <w:p w:rsidR="003E1169" w:rsidRDefault="007B0198" w:rsidP="00FA53DC">
      <w:pPr>
        <w:pStyle w:val="BlockText"/>
        <w:numPr>
          <w:ilvl w:val="1"/>
          <w:numId w:val="11"/>
        </w:numPr>
        <w:ind w:left="1800"/>
      </w:pPr>
      <w:r>
        <w:t xml:space="preserve">  </w:t>
      </w:r>
      <w:r w:rsidR="00212AD9">
        <w:rPr>
          <w:b/>
          <w:u w:val="single"/>
        </w:rPr>
        <w:t>Rul</w:t>
      </w:r>
      <w:r w:rsidR="00FE4A4B">
        <w:rPr>
          <w:b/>
          <w:u w:val="single"/>
        </w:rPr>
        <w:t>e Changes</w:t>
      </w:r>
      <w:r w:rsidR="00212AD9">
        <w:rPr>
          <w:b/>
          <w:u w:val="single"/>
        </w:rPr>
        <w:t>:</w:t>
      </w:r>
      <w:r w:rsidR="00212AD9">
        <w:rPr>
          <w:b/>
        </w:rPr>
        <w:t xml:space="preserve"> </w:t>
      </w:r>
      <w:r w:rsidR="00E1125C">
        <w:t>(if</w:t>
      </w:r>
      <w:r w:rsidR="00E519F0">
        <w:t xml:space="preserve"> </w:t>
      </w:r>
      <w:r w:rsidR="00E1125C">
        <w:t>any):</w:t>
      </w:r>
    </w:p>
    <w:p w:rsidR="00E436A7" w:rsidRDefault="00E436A7" w:rsidP="00E436A7">
      <w:pPr>
        <w:pStyle w:val="BlockText"/>
        <w:ind w:left="1800"/>
      </w:pPr>
    </w:p>
    <w:p w:rsidR="00E436A7" w:rsidRDefault="00E436A7" w:rsidP="001358A0">
      <w:pPr>
        <w:pStyle w:val="BlockText"/>
        <w:ind w:left="1890"/>
      </w:pPr>
      <w:r w:rsidRPr="00E436A7">
        <w:rPr>
          <w:b/>
        </w:rPr>
        <w:t>Rule 61G19-7.00</w:t>
      </w:r>
      <w:r>
        <w:rPr>
          <w:b/>
        </w:rPr>
        <w:t>1</w:t>
      </w:r>
      <w:r w:rsidRPr="00E436A7">
        <w:rPr>
          <w:b/>
        </w:rPr>
        <w:t xml:space="preserve"> –7.</w:t>
      </w:r>
      <w:r>
        <w:rPr>
          <w:b/>
        </w:rPr>
        <w:t>010</w:t>
      </w:r>
      <w:r>
        <w:t xml:space="preserve">, to update provisions of continuing education </w:t>
      </w:r>
      <w:r w:rsidR="00CE6A39">
        <w:t xml:space="preserve">and to </w:t>
      </w:r>
      <w:r>
        <w:t>make changes required by House Bill 535.</w:t>
      </w:r>
    </w:p>
    <w:p w:rsidR="00E436A7" w:rsidRDefault="00E436A7" w:rsidP="00E436A7">
      <w:pPr>
        <w:pStyle w:val="BlockText"/>
        <w:ind w:left="1800"/>
      </w:pPr>
    </w:p>
    <w:p w:rsidR="00E436A7" w:rsidRDefault="00E436A7" w:rsidP="001358A0">
      <w:pPr>
        <w:pStyle w:val="BlockText"/>
        <w:ind w:left="1890"/>
      </w:pPr>
      <w:r w:rsidRPr="00E436A7">
        <w:rPr>
          <w:b/>
        </w:rPr>
        <w:t>Rule 61G19-9.004</w:t>
      </w:r>
      <w:r>
        <w:t xml:space="preserve">, to modify the rule specifying the number of </w:t>
      </w:r>
      <w:r w:rsidR="00CE6A39">
        <w:t>continuing education</w:t>
      </w:r>
      <w:r>
        <w:t xml:space="preserve"> hours credited for attendance at board meetings.</w:t>
      </w:r>
    </w:p>
    <w:p w:rsidR="00E436A7" w:rsidRDefault="00E436A7" w:rsidP="00E436A7">
      <w:pPr>
        <w:pStyle w:val="BlockText"/>
        <w:ind w:left="1800"/>
      </w:pPr>
    </w:p>
    <w:p w:rsidR="00E436A7" w:rsidRDefault="00E436A7" w:rsidP="001358A0">
      <w:pPr>
        <w:pStyle w:val="BlockText"/>
        <w:ind w:left="1890"/>
      </w:pPr>
      <w:r w:rsidRPr="00E436A7">
        <w:rPr>
          <w:b/>
        </w:rPr>
        <w:t>Rule 61G19-10.001</w:t>
      </w:r>
      <w:r>
        <w:t xml:space="preserve">, decreasing </w:t>
      </w:r>
      <w:r w:rsidR="001358A0">
        <w:t xml:space="preserve">by $3.75 </w:t>
      </w:r>
      <w:r>
        <w:t xml:space="preserve">the examination and </w:t>
      </w:r>
      <w:r w:rsidR="00CE6A39">
        <w:t>reexamination fees</w:t>
      </w:r>
      <w:r>
        <w:t xml:space="preserve"> paid by non-governmental employees to compensate for the new examination contract rates.</w:t>
      </w:r>
    </w:p>
    <w:p w:rsidR="004E142A" w:rsidRDefault="004E142A" w:rsidP="004E142A">
      <w:pPr>
        <w:pStyle w:val="BlockText"/>
      </w:pPr>
    </w:p>
    <w:p w:rsidR="001358A0" w:rsidRDefault="00835EE6" w:rsidP="00516796">
      <w:pPr>
        <w:pStyle w:val="BlockText"/>
        <w:numPr>
          <w:ilvl w:val="1"/>
          <w:numId w:val="11"/>
        </w:numPr>
        <w:ind w:left="1800"/>
      </w:pPr>
      <w:r>
        <w:t xml:space="preserve">  </w:t>
      </w:r>
      <w:r w:rsidR="004E142A" w:rsidRPr="005E2FA8">
        <w:rPr>
          <w:b/>
          <w:u w:val="single"/>
        </w:rPr>
        <w:t>Petitions for Declaratory Statement</w:t>
      </w:r>
      <w:r w:rsidR="004E142A">
        <w:t xml:space="preserve"> (if any</w:t>
      </w:r>
      <w:r w:rsidR="001358A0">
        <w:t>):</w:t>
      </w:r>
    </w:p>
    <w:p w:rsidR="001A1C5D" w:rsidRDefault="001A1C5D" w:rsidP="00B01391">
      <w:pPr>
        <w:pStyle w:val="BlockText"/>
        <w:tabs>
          <w:tab w:val="left" w:pos="1710"/>
        </w:tabs>
      </w:pPr>
    </w:p>
    <w:p w:rsidR="00516796" w:rsidRDefault="004E142A" w:rsidP="00AF3D6B">
      <w:pPr>
        <w:pStyle w:val="BlockText"/>
        <w:numPr>
          <w:ilvl w:val="1"/>
          <w:numId w:val="11"/>
        </w:numPr>
        <w:ind w:left="1890" w:hanging="450"/>
      </w:pPr>
      <w:r w:rsidRPr="0090548D">
        <w:rPr>
          <w:b/>
          <w:u w:val="single"/>
        </w:rPr>
        <w:t>Petitions for Variance or Waiver</w:t>
      </w:r>
      <w:r w:rsidR="005D7FBD">
        <w:t xml:space="preserve"> (if any):</w:t>
      </w:r>
      <w:r w:rsidR="00B77A8C">
        <w:t xml:space="preserve"> None noticed.</w:t>
      </w:r>
    </w:p>
    <w:p w:rsidR="00516796" w:rsidRDefault="00516796" w:rsidP="00516796">
      <w:pPr>
        <w:pStyle w:val="BlockText"/>
        <w:ind w:left="1890"/>
      </w:pPr>
    </w:p>
    <w:p w:rsidR="00516796" w:rsidRDefault="00516796" w:rsidP="00516796">
      <w:pPr>
        <w:pStyle w:val="BlockText"/>
        <w:ind w:left="1890"/>
      </w:pPr>
    </w:p>
    <w:p w:rsidR="00595D13" w:rsidRDefault="004E142A" w:rsidP="009A0A9B">
      <w:pPr>
        <w:pStyle w:val="BlockText"/>
        <w:numPr>
          <w:ilvl w:val="0"/>
          <w:numId w:val="11"/>
        </w:numPr>
      </w:pPr>
      <w:r w:rsidRPr="00403905">
        <w:rPr>
          <w:b/>
          <w:u w:val="single"/>
        </w:rPr>
        <w:t>Florida Building Commission</w:t>
      </w:r>
      <w:r>
        <w:rPr>
          <w:rStyle w:val="FootnoteReference"/>
          <w:u w:val="single"/>
        </w:rPr>
        <w:footnoteReference w:id="1"/>
      </w:r>
      <w:r>
        <w:t xml:space="preserve"> – Chapter 553, Part IV and Chapter 61G20, FAC): </w:t>
      </w:r>
    </w:p>
    <w:p w:rsidR="00B0622F" w:rsidRPr="00FE4DEA" w:rsidRDefault="00C1101B" w:rsidP="003045D2">
      <w:pPr>
        <w:pStyle w:val="BlockText"/>
        <w:ind w:left="1080"/>
      </w:pPr>
      <w:r>
        <w:rPr>
          <w:b/>
          <w:u w:val="single"/>
        </w:rPr>
        <w:t>Note</w:t>
      </w:r>
      <w:r w:rsidRPr="00C1101B">
        <w:t>:</w:t>
      </w:r>
      <w:r w:rsidR="00595D13">
        <w:t xml:space="preserve"> T</w:t>
      </w:r>
      <w:r>
        <w:t>he</w:t>
      </w:r>
      <w:r w:rsidR="00595D13">
        <w:t xml:space="preserve"> current</w:t>
      </w:r>
      <w:r>
        <w:t xml:space="preserve"> Florida Building</w:t>
      </w:r>
      <w:r w:rsidR="00595D13">
        <w:t xml:space="preserve"> Code is</w:t>
      </w:r>
      <w:r>
        <w:t xml:space="preserve"> the 5</w:t>
      </w:r>
      <w:r w:rsidRPr="00C1101B">
        <w:rPr>
          <w:vertAlign w:val="superscript"/>
        </w:rPr>
        <w:t>th</w:t>
      </w:r>
      <w:r>
        <w:t xml:space="preserve"> edition (2014).</w:t>
      </w:r>
    </w:p>
    <w:p w:rsidR="00E041E8" w:rsidRDefault="005E2FA8" w:rsidP="00FA53DC">
      <w:pPr>
        <w:pStyle w:val="BlockText"/>
        <w:numPr>
          <w:ilvl w:val="1"/>
          <w:numId w:val="11"/>
        </w:numPr>
        <w:ind w:hanging="540"/>
      </w:pPr>
      <w:r w:rsidRPr="005E2FA8">
        <w:rPr>
          <w:b/>
          <w:u w:val="single"/>
        </w:rPr>
        <w:t>Rule</w:t>
      </w:r>
      <w:r w:rsidR="00FE4A4B">
        <w:rPr>
          <w:b/>
          <w:u w:val="single"/>
        </w:rPr>
        <w:t xml:space="preserve"> Changes</w:t>
      </w:r>
      <w:r>
        <w:rPr>
          <w:b/>
        </w:rPr>
        <w:t xml:space="preserve"> </w:t>
      </w:r>
      <w:r w:rsidR="00E1125C">
        <w:t>(if any):</w:t>
      </w:r>
      <w:r w:rsidR="00AB69C6">
        <w:t xml:space="preserve"> </w:t>
      </w:r>
      <w:r w:rsidR="006F3FB3">
        <w:t>The commission has announced a series of meetings of its various Technical Advisory Committees (TACs) for the purpose of taking public input on changes to the 6</w:t>
      </w:r>
      <w:r w:rsidR="006F3FB3" w:rsidRPr="006F3FB3">
        <w:rPr>
          <w:vertAlign w:val="superscript"/>
        </w:rPr>
        <w:t>th</w:t>
      </w:r>
      <w:r w:rsidR="006F3FB3">
        <w:t xml:space="preserve"> edition (2017) of t</w:t>
      </w:r>
      <w:r w:rsidR="00403905">
        <w:t>he Florida Building Code.</w:t>
      </w:r>
    </w:p>
    <w:p w:rsidR="00403905" w:rsidRDefault="00403905" w:rsidP="00403905">
      <w:pPr>
        <w:pStyle w:val="BlockText"/>
        <w:ind w:left="1440"/>
      </w:pPr>
    </w:p>
    <w:p w:rsidR="00403905" w:rsidRDefault="00403905" w:rsidP="00403905">
      <w:pPr>
        <w:pStyle w:val="BlockText"/>
        <w:ind w:left="1980"/>
      </w:pPr>
      <w:r w:rsidRPr="00B656B4">
        <w:rPr>
          <w:b/>
        </w:rPr>
        <w:t>Rule 61G20-1.001</w:t>
      </w:r>
      <w:r>
        <w:t>, to make changes to the 5</w:t>
      </w:r>
      <w:r w:rsidRPr="00403905">
        <w:rPr>
          <w:vertAlign w:val="superscript"/>
        </w:rPr>
        <w:t>th</w:t>
      </w:r>
      <w:r>
        <w:t xml:space="preserve"> edition (2014) of the Florida Building Code pursuant to Chapter 2016-129 and Chapter 2016-211, Laws of Florida.</w:t>
      </w:r>
    </w:p>
    <w:p w:rsidR="00B656B4" w:rsidRDefault="00B656B4" w:rsidP="00403905">
      <w:pPr>
        <w:pStyle w:val="BlockText"/>
        <w:ind w:left="1980"/>
      </w:pPr>
    </w:p>
    <w:p w:rsidR="00B656B4" w:rsidRDefault="00B656B4" w:rsidP="00403905">
      <w:pPr>
        <w:pStyle w:val="BlockText"/>
        <w:ind w:left="1980"/>
      </w:pPr>
      <w:r w:rsidRPr="00B656B4">
        <w:rPr>
          <w:b/>
        </w:rPr>
        <w:t>Rule 61G20-3.008(1) (a)</w:t>
      </w:r>
      <w:r w:rsidRPr="00B656B4">
        <w:t>,</w:t>
      </w:r>
      <w:r>
        <w:t xml:space="preserve"> adding Underwriters Laboratories, LLC and Intertek Testing Services NA, Inc. to the list of approved evaluation entities.</w:t>
      </w:r>
    </w:p>
    <w:p w:rsidR="00E041E8" w:rsidRDefault="00E041E8" w:rsidP="00B77A8C">
      <w:pPr>
        <w:pStyle w:val="BlockText"/>
      </w:pPr>
    </w:p>
    <w:p w:rsidR="007C1C60" w:rsidRPr="005E2FA8" w:rsidRDefault="00E1125C" w:rsidP="00FA53DC">
      <w:pPr>
        <w:pStyle w:val="BlockText"/>
        <w:numPr>
          <w:ilvl w:val="1"/>
          <w:numId w:val="11"/>
        </w:numPr>
        <w:ind w:hanging="540"/>
        <w:rPr>
          <w:b/>
          <w:u w:val="single"/>
        </w:rPr>
      </w:pPr>
      <w:r w:rsidRPr="005E2FA8">
        <w:rPr>
          <w:b/>
          <w:u w:val="single"/>
        </w:rPr>
        <w:t>Petition</w:t>
      </w:r>
      <w:r w:rsidR="00C05096" w:rsidRPr="005E2FA8">
        <w:rPr>
          <w:b/>
          <w:u w:val="single"/>
        </w:rPr>
        <w:t>(</w:t>
      </w:r>
      <w:r w:rsidRPr="005E2FA8">
        <w:rPr>
          <w:b/>
          <w:u w:val="single"/>
        </w:rPr>
        <w:t>s</w:t>
      </w:r>
      <w:r w:rsidR="00C05096" w:rsidRPr="005E2FA8">
        <w:rPr>
          <w:b/>
          <w:u w:val="single"/>
        </w:rPr>
        <w:t>)</w:t>
      </w:r>
      <w:r w:rsidRPr="005E2FA8">
        <w:rPr>
          <w:b/>
          <w:u w:val="single"/>
        </w:rPr>
        <w:t xml:space="preserve"> for </w:t>
      </w:r>
      <w:r w:rsidR="005E2FA8" w:rsidRPr="005E2FA8">
        <w:rPr>
          <w:b/>
          <w:u w:val="single"/>
        </w:rPr>
        <w:t>Declaratory Statement</w:t>
      </w:r>
      <w:r w:rsidR="005E2FA8">
        <w:rPr>
          <w:b/>
        </w:rPr>
        <w:t xml:space="preserve"> </w:t>
      </w:r>
      <w:r w:rsidR="005E2FA8">
        <w:t>(if any):</w:t>
      </w:r>
    </w:p>
    <w:p w:rsidR="00C1101B" w:rsidRDefault="00C1101B" w:rsidP="00B77A8C">
      <w:pPr>
        <w:pStyle w:val="BlockText"/>
      </w:pPr>
    </w:p>
    <w:p w:rsidR="00516796" w:rsidRDefault="00516796" w:rsidP="00516796">
      <w:pPr>
        <w:pStyle w:val="BlockText"/>
        <w:ind w:left="1980"/>
      </w:pPr>
      <w:r w:rsidRPr="001358A0">
        <w:rPr>
          <w:b/>
        </w:rPr>
        <w:t>Initial Engineering, P. A.</w:t>
      </w:r>
      <w:r>
        <w:t xml:space="preserve"> (DS 2016-033) – seeking a determination of whether Section C-405.7.1 of the Energy Conservation Code requires conformance with ASHRAE 90.1.8.4.2 regarding Automatic Receptacle Control.</w:t>
      </w:r>
    </w:p>
    <w:p w:rsidR="00516796" w:rsidRDefault="00516796" w:rsidP="00516796">
      <w:pPr>
        <w:pStyle w:val="BlockText"/>
        <w:ind w:left="1800"/>
      </w:pPr>
    </w:p>
    <w:p w:rsidR="00516796" w:rsidRDefault="00516796" w:rsidP="00516796">
      <w:pPr>
        <w:pStyle w:val="BlockText"/>
        <w:tabs>
          <w:tab w:val="left" w:pos="2070"/>
        </w:tabs>
        <w:ind w:left="1980"/>
      </w:pPr>
      <w:r w:rsidRPr="001358A0">
        <w:rPr>
          <w:b/>
        </w:rPr>
        <w:t>City of Tarpon Springs</w:t>
      </w:r>
      <w:r>
        <w:t xml:space="preserve"> (DS 2016-032) – seeking applicability of Section 404 Fuel Gas, and Section G2415 Residential as to the isolation valve installation.</w:t>
      </w:r>
    </w:p>
    <w:p w:rsidR="00E84B84" w:rsidRDefault="00E84B84" w:rsidP="002978B7">
      <w:pPr>
        <w:pStyle w:val="BlockText"/>
        <w:ind w:left="1980"/>
      </w:pPr>
    </w:p>
    <w:p w:rsidR="00CE31AB" w:rsidRDefault="000B0D3F" w:rsidP="00FA53DC">
      <w:pPr>
        <w:pStyle w:val="BlockText"/>
        <w:numPr>
          <w:ilvl w:val="1"/>
          <w:numId w:val="11"/>
        </w:numPr>
        <w:ind w:hanging="540"/>
      </w:pPr>
      <w:r w:rsidRPr="005E2FA8">
        <w:rPr>
          <w:b/>
          <w:u w:val="single"/>
        </w:rPr>
        <w:t>Petitions for Variance or Waiver</w:t>
      </w:r>
      <w:r>
        <w:t xml:space="preserve"> (if any</w:t>
      </w:r>
      <w:r w:rsidR="005E2FA8">
        <w:t xml:space="preserve">): </w:t>
      </w:r>
      <w:r w:rsidR="002C5242">
        <w:t>None noticed.</w:t>
      </w:r>
    </w:p>
    <w:p w:rsidR="00CE31AB" w:rsidRDefault="00CE31AB" w:rsidP="00CE31AB">
      <w:pPr>
        <w:pStyle w:val="BlockText"/>
        <w:ind w:left="1800"/>
      </w:pPr>
    </w:p>
    <w:p w:rsidR="00681534" w:rsidRDefault="005E2FA8" w:rsidP="00FA53DC">
      <w:pPr>
        <w:pStyle w:val="BlockText"/>
        <w:numPr>
          <w:ilvl w:val="1"/>
          <w:numId w:val="11"/>
        </w:numPr>
        <w:ind w:hanging="540"/>
      </w:pPr>
      <w:r w:rsidRPr="005E2FA8">
        <w:rPr>
          <w:b/>
          <w:u w:val="single"/>
        </w:rPr>
        <w:t xml:space="preserve">Petitions for </w:t>
      </w:r>
      <w:r>
        <w:rPr>
          <w:b/>
          <w:u w:val="single"/>
        </w:rPr>
        <w:t>I</w:t>
      </w:r>
      <w:r w:rsidR="00452CC3" w:rsidRPr="005E2FA8">
        <w:rPr>
          <w:b/>
          <w:u w:val="single"/>
        </w:rPr>
        <w:t>nterpretation</w:t>
      </w:r>
      <w:r>
        <w:rPr>
          <w:b/>
          <w:u w:val="single"/>
        </w:rPr>
        <w:t xml:space="preserve"> of B</w:t>
      </w:r>
      <w:r w:rsidR="008F17A7" w:rsidRPr="005E2FA8">
        <w:rPr>
          <w:b/>
          <w:u w:val="single"/>
        </w:rPr>
        <w:t>uilding</w:t>
      </w:r>
      <w:r w:rsidR="008F17A7" w:rsidRPr="005E2FA8">
        <w:rPr>
          <w:b/>
        </w:rPr>
        <w:t xml:space="preserve"> </w:t>
      </w:r>
      <w:r w:rsidRPr="005E2FA8">
        <w:rPr>
          <w:b/>
        </w:rPr>
        <w:t>C</w:t>
      </w:r>
      <w:r w:rsidR="008F17A7" w:rsidRPr="005E2FA8">
        <w:rPr>
          <w:b/>
        </w:rPr>
        <w:t>ode</w:t>
      </w:r>
      <w:r>
        <w:t xml:space="preserve"> (i</w:t>
      </w:r>
      <w:r w:rsidR="008F17A7" w:rsidRPr="005E2FA8">
        <w:t>f</w:t>
      </w:r>
      <w:r w:rsidR="008F17A7">
        <w:t xml:space="preserve"> any):</w:t>
      </w:r>
      <w:r w:rsidR="002C5242">
        <w:t xml:space="preserve"> None noticed.</w:t>
      </w:r>
    </w:p>
    <w:p w:rsidR="00996855" w:rsidRPr="00996855" w:rsidRDefault="00996855" w:rsidP="00681534">
      <w:pPr>
        <w:pStyle w:val="BlockText"/>
        <w:rPr>
          <w:b/>
        </w:rPr>
      </w:pPr>
    </w:p>
    <w:p w:rsidR="005E2FA8" w:rsidRPr="002978B7" w:rsidRDefault="005E2FA8" w:rsidP="005E2FA8">
      <w:pPr>
        <w:pStyle w:val="BlockText"/>
        <w:numPr>
          <w:ilvl w:val="0"/>
          <w:numId w:val="24"/>
        </w:numPr>
      </w:pPr>
      <w:r>
        <w:rPr>
          <w:b/>
          <w:u w:val="single"/>
        </w:rPr>
        <w:t>Department of Financial Services:</w:t>
      </w:r>
    </w:p>
    <w:p w:rsidR="002978B7" w:rsidRPr="002978B7" w:rsidRDefault="002978B7" w:rsidP="002978B7">
      <w:pPr>
        <w:pStyle w:val="BlockText"/>
        <w:ind w:left="720"/>
      </w:pPr>
    </w:p>
    <w:p w:rsidR="002978B7" w:rsidRDefault="002978B7" w:rsidP="002978B7">
      <w:pPr>
        <w:pStyle w:val="BlockText"/>
        <w:ind w:left="72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5E2FA8" w:rsidRDefault="005E2FA8" w:rsidP="0073295B">
      <w:pPr>
        <w:pStyle w:val="BlockText"/>
        <w:rPr>
          <w:b/>
          <w:u w:val="single"/>
        </w:rPr>
      </w:pPr>
    </w:p>
    <w:p w:rsidR="005E2FA8" w:rsidRDefault="003C2DE3" w:rsidP="00BC18F8">
      <w:pPr>
        <w:pStyle w:val="BlockText"/>
        <w:ind w:firstLine="720"/>
      </w:pPr>
      <w:r w:rsidRPr="00B7181B">
        <w:rPr>
          <w:b/>
          <w:u w:val="single"/>
        </w:rPr>
        <w:t>Division of Workers’ Compensation</w:t>
      </w:r>
      <w:r w:rsidR="004E142A">
        <w:t xml:space="preserve"> – Chapter 440 and 6</w:t>
      </w:r>
      <w:r w:rsidR="00BD42D8">
        <w:t>9L FAC:</w:t>
      </w:r>
      <w:r w:rsidR="0032124B">
        <w:t xml:space="preserve"> </w:t>
      </w:r>
    </w:p>
    <w:p w:rsidR="005E2FA8" w:rsidRDefault="005E2FA8" w:rsidP="005E2FA8">
      <w:pPr>
        <w:pStyle w:val="BlockText"/>
        <w:ind w:left="720"/>
      </w:pPr>
    </w:p>
    <w:p w:rsidR="00DD6729" w:rsidRDefault="005E2FA8" w:rsidP="001465E5">
      <w:pPr>
        <w:pStyle w:val="BlockText"/>
        <w:numPr>
          <w:ilvl w:val="0"/>
          <w:numId w:val="43"/>
        </w:numPr>
      </w:pPr>
      <w:r w:rsidRPr="00BC18F8">
        <w:rPr>
          <w:b/>
        </w:rPr>
        <w:t>R</w:t>
      </w:r>
      <w:r w:rsidR="00FE4A4B" w:rsidRPr="00BC18F8">
        <w:rPr>
          <w:b/>
        </w:rPr>
        <w:t>ule Changes</w:t>
      </w:r>
      <w:r>
        <w:t xml:space="preserve"> </w:t>
      </w:r>
      <w:r w:rsidR="0032124B">
        <w:t>(if any):</w:t>
      </w:r>
    </w:p>
    <w:p w:rsidR="001465E5" w:rsidRDefault="001465E5" w:rsidP="001465E5">
      <w:pPr>
        <w:pStyle w:val="BlockText"/>
      </w:pPr>
    </w:p>
    <w:p w:rsidR="001465E5" w:rsidRDefault="001465E5" w:rsidP="001465E5">
      <w:pPr>
        <w:pStyle w:val="BlockText"/>
        <w:ind w:left="1800"/>
      </w:pPr>
      <w:r w:rsidRPr="0095500F">
        <w:rPr>
          <w:b/>
        </w:rPr>
        <w:t>Rule 69L-6.028</w:t>
      </w:r>
      <w:r w:rsidR="0095500F">
        <w:rPr>
          <w:b/>
        </w:rPr>
        <w:t xml:space="preserve"> </w:t>
      </w:r>
      <w:r>
        <w:t xml:space="preserve">– clarification of time periods of employer non-compliance for penalty calculations and imputation </w:t>
      </w:r>
      <w:r w:rsidR="0095500F">
        <w:t>of employer’s payroll.</w:t>
      </w:r>
    </w:p>
    <w:p w:rsidR="0095500F" w:rsidRDefault="0095500F" w:rsidP="001465E5">
      <w:pPr>
        <w:pStyle w:val="BlockText"/>
        <w:ind w:left="1800"/>
      </w:pPr>
    </w:p>
    <w:p w:rsidR="0095500F" w:rsidRDefault="0095500F" w:rsidP="001465E5">
      <w:pPr>
        <w:pStyle w:val="BlockText"/>
        <w:ind w:left="1800"/>
      </w:pPr>
      <w:r w:rsidRPr="00B65EDE">
        <w:rPr>
          <w:b/>
        </w:rPr>
        <w:t>Rule 69L-6.035</w:t>
      </w:r>
      <w:r>
        <w:t xml:space="preserve"> – defines remuneration</w:t>
      </w:r>
      <w:r w:rsidR="00B65EDE">
        <w:t xml:space="preserve"> to include expense reimbursements, and that occurring on the day the stop-work order is issued.</w:t>
      </w:r>
      <w:r>
        <w:t xml:space="preserve"> </w:t>
      </w:r>
    </w:p>
    <w:p w:rsidR="00BC18F8" w:rsidRDefault="00BC18F8" w:rsidP="00BC18F8">
      <w:pPr>
        <w:pStyle w:val="BlockText"/>
        <w:ind w:left="1800"/>
      </w:pPr>
    </w:p>
    <w:p w:rsidR="00BC18F8" w:rsidRDefault="00BC18F8" w:rsidP="00BC18F8">
      <w:pPr>
        <w:pStyle w:val="BlockText"/>
        <w:numPr>
          <w:ilvl w:val="0"/>
          <w:numId w:val="41"/>
        </w:numPr>
      </w:pPr>
      <w:r w:rsidRPr="00BC18F8">
        <w:rPr>
          <w:b/>
        </w:rPr>
        <w:t xml:space="preserve">Petitions for Declaratory Statement </w:t>
      </w:r>
      <w:r>
        <w:t>(if any):</w:t>
      </w:r>
    </w:p>
    <w:p w:rsidR="003045D2" w:rsidRDefault="003045D2" w:rsidP="003045D2">
      <w:pPr>
        <w:pStyle w:val="BlockText"/>
        <w:ind w:left="1800"/>
      </w:pPr>
    </w:p>
    <w:p w:rsidR="00BC18F8" w:rsidRDefault="00590029" w:rsidP="00BC18F8">
      <w:pPr>
        <w:pStyle w:val="BlockText"/>
        <w:ind w:left="1800"/>
      </w:pPr>
      <w:r>
        <w:rPr>
          <w:b/>
        </w:rPr>
        <w:t>Evelio Garavito</w:t>
      </w:r>
      <w:r>
        <w:t xml:space="preserve"> – petition filed on June 8, 2016, seeking a statement as to the denial of a building permit by the City of Miami Beach due to the petitioner’s exemption certificate from the agency.</w:t>
      </w:r>
    </w:p>
    <w:p w:rsidR="00590029" w:rsidRDefault="00590029" w:rsidP="00BC18F8">
      <w:pPr>
        <w:pStyle w:val="BlockText"/>
        <w:ind w:left="1800"/>
      </w:pPr>
    </w:p>
    <w:p w:rsidR="00BC18F8" w:rsidRDefault="00BC18F8" w:rsidP="00A94142">
      <w:pPr>
        <w:pStyle w:val="BlockText"/>
        <w:ind w:left="1800"/>
      </w:pPr>
      <w:r w:rsidRPr="00A94142">
        <w:rPr>
          <w:b/>
        </w:rPr>
        <w:t>Circus Arts Conservatory, Inc</w:t>
      </w:r>
      <w:r>
        <w:t>. – seeking a determination if contracted performers meet the statutory definition of “employee,” or cons</w:t>
      </w:r>
      <w:r w:rsidR="00A94142">
        <w:t>t</w:t>
      </w:r>
      <w:r w:rsidR="00590029">
        <w:t>itute independent contractors, was denied by the agency on March 15, 2016, because it was outside the agency’s jurisdiction.</w:t>
      </w:r>
    </w:p>
    <w:p w:rsidR="00A94142" w:rsidRDefault="00A94142" w:rsidP="00A94142">
      <w:pPr>
        <w:pStyle w:val="BlockText"/>
        <w:ind w:left="1800"/>
      </w:pPr>
    </w:p>
    <w:p w:rsidR="00A94142" w:rsidRPr="00BC18F8" w:rsidRDefault="00A94142" w:rsidP="00A94142">
      <w:pPr>
        <w:pStyle w:val="BlockText"/>
        <w:numPr>
          <w:ilvl w:val="0"/>
          <w:numId w:val="41"/>
        </w:numPr>
      </w:pPr>
      <w:r>
        <w:rPr>
          <w:b/>
        </w:rPr>
        <w:t xml:space="preserve">Petitions for Variance or Waiver </w:t>
      </w:r>
      <w:r>
        <w:t>(if any): None noticed.</w:t>
      </w:r>
    </w:p>
    <w:p w:rsidR="0073295B" w:rsidRDefault="0073295B" w:rsidP="002978B7">
      <w:pPr>
        <w:pStyle w:val="BlockText"/>
        <w:ind w:left="1440" w:firstLine="720"/>
      </w:pPr>
    </w:p>
    <w:p w:rsidR="004271D8" w:rsidRDefault="004271D8" w:rsidP="005C76EE">
      <w:pPr>
        <w:pStyle w:val="BlockText"/>
        <w:rPr>
          <w:b/>
          <w:u w:val="single"/>
        </w:rPr>
      </w:pPr>
    </w:p>
    <w:p w:rsidR="00701D5A" w:rsidRPr="0077169A" w:rsidRDefault="00CF37B7" w:rsidP="00B65EDE">
      <w:pPr>
        <w:pStyle w:val="BlockText"/>
        <w:rPr>
          <w:rFonts w:cs="Times New Roman"/>
        </w:rPr>
      </w:pPr>
      <w:r w:rsidRPr="00CD02EB">
        <w:rPr>
          <w:b/>
          <w:u w:val="single"/>
        </w:rPr>
        <w:t>Legislative Action:</w:t>
      </w:r>
      <w:r w:rsidR="00156092">
        <w:t xml:space="preserve"> </w:t>
      </w:r>
      <w:r w:rsidR="00CC4315">
        <w:t xml:space="preserve"> </w:t>
      </w:r>
      <w:r w:rsidR="00B65EDE">
        <w:t>Nothing to report; the next regular legislative sessio</w:t>
      </w:r>
      <w:r w:rsidR="00590029">
        <w:t>n</w:t>
      </w:r>
      <w:r w:rsidR="0090548D">
        <w:t xml:space="preserve"> is due to commence on March 7</w:t>
      </w:r>
      <w:r w:rsidR="00590029">
        <w:t>,</w:t>
      </w:r>
      <w:r w:rsidR="00B65EDE">
        <w:t xml:space="preserve"> 2017 for 60 consecutive calendar days. No bills will be filed prior to the General Election on November 8, 2016, except Senate Claims bills that are due to be filed no later than August 2016.</w:t>
      </w:r>
    </w:p>
    <w:p w:rsidR="00BE0375" w:rsidRPr="00BE0375" w:rsidRDefault="00BE0375" w:rsidP="00701D5A">
      <w:pPr>
        <w:pStyle w:val="BlockText"/>
        <w:rPr>
          <w:rFonts w:eastAsia="Times New Roman" w:cs="Times New Roman"/>
          <w:b/>
          <w:bCs/>
          <w:vanish/>
          <w:sz w:val="27"/>
          <w:szCs w:val="27"/>
        </w:rPr>
      </w:pPr>
      <w:r w:rsidRPr="00BE0375">
        <w:rPr>
          <w:rFonts w:eastAsia="Times New Roman" w:cs="Times New Roman"/>
          <w:b/>
          <w:bCs/>
          <w:vanish/>
          <w:sz w:val="27"/>
          <w:szCs w:val="27"/>
        </w:rPr>
        <w:t>Senators</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 xml:space="preserve">Below are the media and publications posted by your tracked Senators in the past 7 days. You will receive email notifications when media and publications are posted; according to your </w:t>
      </w:r>
      <w:hyperlink r:id="rId8" w:history="1">
        <w:r w:rsidRPr="00BE0375">
          <w:rPr>
            <w:rFonts w:eastAsia="Times New Roman" w:cs="Times New Roman"/>
            <w:vanish/>
            <w:color w:val="0000FF"/>
            <w:u w:val="single"/>
          </w:rPr>
          <w:t>email frequency settings</w:t>
        </w:r>
      </w:hyperlink>
      <w:r w:rsidRPr="00BE0375">
        <w:rPr>
          <w:rFonts w:eastAsia="Times New Roman" w:cs="Times New Roman"/>
          <w:vanish/>
        </w:rPr>
        <w:t>.</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You are not tracking any Senators. </w:t>
      </w:r>
    </w:p>
    <w:p w:rsidR="00BE0375" w:rsidRPr="00BE0375" w:rsidRDefault="00BE0375" w:rsidP="00BE0375">
      <w:pPr>
        <w:spacing w:before="100" w:beforeAutospacing="1" w:after="100" w:afterAutospacing="1"/>
        <w:outlineLvl w:val="2"/>
        <w:rPr>
          <w:rFonts w:eastAsia="Times New Roman" w:cs="Times New Roman"/>
          <w:b/>
          <w:bCs/>
          <w:vanish/>
          <w:sz w:val="27"/>
          <w:szCs w:val="27"/>
        </w:rPr>
      </w:pPr>
      <w:r w:rsidRPr="00BE0375">
        <w:rPr>
          <w:rFonts w:eastAsia="Times New Roman" w:cs="Times New Roman"/>
          <w:b/>
          <w:bCs/>
          <w:vanish/>
          <w:sz w:val="27"/>
          <w:szCs w:val="27"/>
        </w:rPr>
        <w:t>Committees</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 xml:space="preserve">Below are the meeting records and publications posted by your tracked committees for the next or previous 8 days. You will receive email notifications when committee meeting records and publications are posted; according to your </w:t>
      </w:r>
      <w:hyperlink r:id="rId9" w:history="1">
        <w:r w:rsidRPr="00BE0375">
          <w:rPr>
            <w:rFonts w:eastAsia="Times New Roman" w:cs="Times New Roman"/>
            <w:vanish/>
            <w:color w:val="0000FF"/>
            <w:u w:val="single"/>
          </w:rPr>
          <w:t>email frequency settings</w:t>
        </w:r>
      </w:hyperlink>
      <w:r w:rsidRPr="00BE0375">
        <w:rPr>
          <w:rFonts w:eastAsia="Times New Roman" w:cs="Times New Roman"/>
          <w:vanish/>
        </w:rPr>
        <w:t>.</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You are not tracking any Committees. </w:t>
      </w:r>
    </w:p>
    <w:p w:rsidR="00BE0375" w:rsidRPr="00BE0375" w:rsidRDefault="00BE0375" w:rsidP="00BE0375">
      <w:pPr>
        <w:spacing w:before="100" w:beforeAutospacing="1" w:after="100" w:afterAutospacing="1"/>
        <w:outlineLvl w:val="2"/>
        <w:rPr>
          <w:rFonts w:eastAsia="Times New Roman" w:cs="Times New Roman"/>
          <w:b/>
          <w:bCs/>
          <w:vanish/>
          <w:sz w:val="27"/>
          <w:szCs w:val="27"/>
        </w:rPr>
      </w:pPr>
      <w:r w:rsidRPr="00BE0375">
        <w:rPr>
          <w:rFonts w:eastAsia="Times New Roman" w:cs="Times New Roman"/>
          <w:b/>
          <w:bCs/>
          <w:vanish/>
          <w:sz w:val="27"/>
          <w:szCs w:val="27"/>
        </w:rPr>
        <w:t>Offices</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 xml:space="preserve">Below are the media and publications posted by your tracked Offices in the past 7 days. You will receive email notifications when media and publications are posted; according to your </w:t>
      </w:r>
      <w:hyperlink r:id="rId10" w:history="1">
        <w:r w:rsidRPr="00BE0375">
          <w:rPr>
            <w:rFonts w:eastAsia="Times New Roman" w:cs="Times New Roman"/>
            <w:vanish/>
            <w:color w:val="0000FF"/>
            <w:u w:val="single"/>
          </w:rPr>
          <w:t>email frequency settings</w:t>
        </w:r>
      </w:hyperlink>
      <w:r w:rsidRPr="00BE0375">
        <w:rPr>
          <w:rFonts w:eastAsia="Times New Roman" w:cs="Times New Roman"/>
          <w:vanish/>
        </w:rPr>
        <w:t>.</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You are not tracking any Offices. </w:t>
      </w:r>
    </w:p>
    <w:p w:rsidR="00BE0375" w:rsidRPr="00BE0375" w:rsidRDefault="00BE0375" w:rsidP="00BE0375">
      <w:pPr>
        <w:spacing w:before="100" w:beforeAutospacing="1" w:after="100" w:afterAutospacing="1"/>
        <w:outlineLvl w:val="2"/>
        <w:rPr>
          <w:rFonts w:eastAsia="Times New Roman" w:cs="Times New Roman"/>
          <w:b/>
          <w:bCs/>
          <w:vanish/>
          <w:sz w:val="27"/>
          <w:szCs w:val="27"/>
        </w:rPr>
      </w:pPr>
      <w:r w:rsidRPr="00BE0375">
        <w:rPr>
          <w:rFonts w:eastAsia="Times New Roman" w:cs="Times New Roman"/>
          <w:b/>
          <w:bCs/>
          <w:vanish/>
          <w:sz w:val="27"/>
          <w:szCs w:val="27"/>
        </w:rPr>
        <w:t>Media</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 xml:space="preserve">Below are the media and publications posted in the past 7 days. You will receive email notifications when Press Releases, Publications, and Speeches are posted; according to your </w:t>
      </w:r>
      <w:hyperlink r:id="rId11" w:history="1">
        <w:r w:rsidRPr="00BE0375">
          <w:rPr>
            <w:rFonts w:eastAsia="Times New Roman" w:cs="Times New Roman"/>
            <w:vanish/>
            <w:color w:val="0000FF"/>
            <w:u w:val="single"/>
          </w:rPr>
          <w:t>email frequency settings</w:t>
        </w:r>
      </w:hyperlink>
      <w:r w:rsidRPr="00BE0375">
        <w:rPr>
          <w:rFonts w:eastAsia="Times New Roman" w:cs="Times New Roman"/>
          <w:vanish/>
        </w:rPr>
        <w:t>.</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You are not tracking any Media. </w:t>
      </w:r>
    </w:p>
    <w:p w:rsidR="00701D5A" w:rsidRDefault="00701D5A" w:rsidP="004C67E5">
      <w:pPr>
        <w:pBdr>
          <w:top w:val="single" w:sz="6" w:space="1" w:color="auto"/>
        </w:pBdr>
        <w:jc w:val="center"/>
        <w:rPr>
          <w:rFonts w:ascii="Arial" w:eastAsia="Times New Roman" w:hAnsi="Arial" w:cs="Arial"/>
          <w:sz w:val="16"/>
          <w:szCs w:val="16"/>
        </w:rPr>
      </w:pPr>
    </w:p>
    <w:p w:rsidR="004C67E5" w:rsidRPr="004C67E5" w:rsidRDefault="004C67E5" w:rsidP="004C67E5">
      <w:pPr>
        <w:pBdr>
          <w:top w:val="single" w:sz="6" w:space="1" w:color="auto"/>
        </w:pBdr>
        <w:jc w:val="center"/>
        <w:rPr>
          <w:rFonts w:ascii="Arial" w:eastAsia="Times New Roman" w:hAnsi="Arial" w:cs="Arial"/>
          <w:vanish/>
          <w:sz w:val="16"/>
          <w:szCs w:val="16"/>
        </w:rPr>
      </w:pPr>
      <w:r w:rsidRPr="004C67E5">
        <w:rPr>
          <w:rFonts w:ascii="Arial" w:eastAsia="Times New Roman" w:hAnsi="Arial" w:cs="Arial"/>
          <w:vanish/>
          <w:sz w:val="16"/>
          <w:szCs w:val="16"/>
        </w:rPr>
        <w:t>Bottom of Form</w:t>
      </w:r>
    </w:p>
    <w:p w:rsidR="00BC261C" w:rsidRDefault="00BC261C" w:rsidP="002B78B0">
      <w:pPr>
        <w:pStyle w:val="BlockText"/>
      </w:pPr>
      <w:r>
        <w:t>Respectfully submitted,</w:t>
      </w:r>
    </w:p>
    <w:p w:rsidR="00BC261C" w:rsidRDefault="00BC261C" w:rsidP="002B78B0">
      <w:pPr>
        <w:pStyle w:val="BlockText"/>
      </w:pPr>
      <w:r>
        <w:t>Fred R. Dudley, Esq.</w:t>
      </w:r>
    </w:p>
    <w:p w:rsidR="00502614" w:rsidRDefault="003B3B50" w:rsidP="002B78B0">
      <w:pPr>
        <w:pStyle w:val="BlockText"/>
      </w:pPr>
      <w:r>
        <w:t>Steven</w:t>
      </w:r>
      <w:r w:rsidR="00502614">
        <w:t xml:space="preserve"> </w:t>
      </w:r>
      <w:r w:rsidR="00C10E53">
        <w:t xml:space="preserve">E. </w:t>
      </w:r>
      <w:r w:rsidR="00502614">
        <w:t>Sellers</w:t>
      </w:r>
      <w:r w:rsidR="001F0D0C">
        <w:t>, Esq.</w:t>
      </w:r>
    </w:p>
    <w:p w:rsidR="00887CE4" w:rsidRDefault="00887CE4" w:rsidP="002B78B0">
      <w:pPr>
        <w:pStyle w:val="BlockText"/>
      </w:pPr>
      <w:r>
        <w:t>Dudley, Sellers, Healy &amp; Heath, P. L.</w:t>
      </w:r>
    </w:p>
    <w:p w:rsidR="00997BD1" w:rsidRDefault="00997BD1" w:rsidP="002B78B0">
      <w:pPr>
        <w:pStyle w:val="BlockText"/>
      </w:pPr>
      <w:r>
        <w:t>Tallahassee, Florida</w:t>
      </w:r>
    </w:p>
    <w:p w:rsidR="00466EB9" w:rsidRDefault="00701D5A" w:rsidP="002B78B0">
      <w:pPr>
        <w:pStyle w:val="BlockText"/>
      </w:pPr>
      <w:r>
        <w:t>April 11</w:t>
      </w:r>
      <w:r w:rsidR="0029168D">
        <w:t>, 2</w:t>
      </w:r>
      <w:r w:rsidR="00887CE4">
        <w:t>016</w:t>
      </w:r>
    </w:p>
    <w:sectPr w:rsidR="00466EB9" w:rsidSect="009A10B6">
      <w:footerReference w:type="default" r:id="rId12"/>
      <w:footerReference w:type="first" r:id="rId13"/>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860" w:rsidRDefault="000F1860" w:rsidP="009A2CBA">
      <w:r>
        <w:separator/>
      </w:r>
    </w:p>
  </w:endnote>
  <w:endnote w:type="continuationSeparator" w:id="0">
    <w:p w:rsidR="000F1860" w:rsidRDefault="000F1860"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C2" w:rsidRPr="00B40FA6" w:rsidRDefault="00482BC2" w:rsidP="000421B5">
    <w:pPr>
      <w:pStyle w:val="Footer"/>
      <w:rPr>
        <w:rStyle w:val="DocID"/>
        <w:sz w:val="24"/>
      </w:rPr>
    </w:pPr>
    <w:r>
      <w:tab/>
    </w:r>
    <w:r>
      <w:fldChar w:fldCharType="begin"/>
    </w:r>
    <w:r>
      <w:instrText xml:space="preserve"> PAGE   \* MERGEFORMAT </w:instrText>
    </w:r>
    <w:r>
      <w:fldChar w:fldCharType="separate"/>
    </w:r>
    <w:r w:rsidR="005357BE">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C2" w:rsidRPr="00911FE4" w:rsidRDefault="00482BC2"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3045D2">
      <w:rPr>
        <w:noProof/>
        <w:sz w:val="20"/>
      </w:rPr>
      <w:instrText>7</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860" w:rsidRDefault="000F1860" w:rsidP="009A2CBA">
      <w:r>
        <w:separator/>
      </w:r>
    </w:p>
  </w:footnote>
  <w:footnote w:type="continuationSeparator" w:id="0">
    <w:p w:rsidR="000F1860" w:rsidRDefault="000F1860" w:rsidP="009A2CBA">
      <w:r>
        <w:continuationSeparator/>
      </w:r>
    </w:p>
  </w:footnote>
  <w:footnote w:id="1">
    <w:p w:rsidR="00482BC2" w:rsidRDefault="00482BC2" w:rsidP="004E142A">
      <w:pPr>
        <w:pStyle w:val="BlockText"/>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handicapped accessibility issues, but is specifically authorized to issue declaratory statement interpreting sections of the code.</w:t>
      </w:r>
    </w:p>
    <w:p w:rsidR="00482BC2" w:rsidRDefault="00482BC2" w:rsidP="004E142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15:restartNumberingAfterBreak="0">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15:restartNumberingAfterBreak="0">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5021CA"/>
    <w:multiLevelType w:val="hybridMultilevel"/>
    <w:tmpl w:val="ED068F38"/>
    <w:lvl w:ilvl="0" w:tplc="0490704A">
      <w:start w:val="2"/>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16E0998"/>
    <w:multiLevelType w:val="multilevel"/>
    <w:tmpl w:val="824E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4E085A"/>
    <w:multiLevelType w:val="hybridMultilevel"/>
    <w:tmpl w:val="3EAA907A"/>
    <w:lvl w:ilvl="0" w:tplc="EB00E56E">
      <w:start w:val="2"/>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7" w15:restartNumberingAfterBreak="0">
    <w:nsid w:val="040E49AF"/>
    <w:multiLevelType w:val="hybridMultilevel"/>
    <w:tmpl w:val="EF2E76C6"/>
    <w:lvl w:ilvl="0" w:tplc="D0DAF9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117BD5"/>
    <w:multiLevelType w:val="hybridMultilevel"/>
    <w:tmpl w:val="02386818"/>
    <w:lvl w:ilvl="0" w:tplc="AF4C9E14">
      <w:start w:val="1"/>
      <w:numFmt w:val="lowerLetter"/>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E0D0B"/>
    <w:multiLevelType w:val="hybridMultilevel"/>
    <w:tmpl w:val="F2B24110"/>
    <w:lvl w:ilvl="0" w:tplc="07DE16C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09C3436">
      <w:start w:val="2"/>
      <w:numFmt w:val="upperLetter"/>
      <w:lvlText w:val="%4."/>
      <w:lvlJc w:val="left"/>
      <w:pPr>
        <w:ind w:left="3960" w:hanging="360"/>
      </w:pPr>
      <w:rPr>
        <w:rFonts w:hint="default"/>
        <w:b/>
      </w:rPr>
    </w:lvl>
    <w:lvl w:ilvl="4" w:tplc="9C4A388E">
      <w:start w:val="1"/>
      <w:numFmt w:val="decimal"/>
      <w:lvlText w:val="%5."/>
      <w:lvlJc w:val="left"/>
      <w:pPr>
        <w:ind w:left="4680" w:hanging="360"/>
      </w:pPr>
      <w:rPr>
        <w:rFonts w:hint="default"/>
        <w:b/>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4D26FA"/>
    <w:multiLevelType w:val="multilevel"/>
    <w:tmpl w:val="071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4E0B5B"/>
    <w:multiLevelType w:val="hybridMultilevel"/>
    <w:tmpl w:val="D340D100"/>
    <w:lvl w:ilvl="0" w:tplc="19DEAAC4">
      <w:start w:val="3"/>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321F64"/>
    <w:multiLevelType w:val="multilevel"/>
    <w:tmpl w:val="03FA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177C2"/>
    <w:multiLevelType w:val="hybridMultilevel"/>
    <w:tmpl w:val="221022DC"/>
    <w:lvl w:ilvl="0" w:tplc="0EB45DA6">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8A3310"/>
    <w:multiLevelType w:val="multilevel"/>
    <w:tmpl w:val="5E10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062CE4"/>
    <w:multiLevelType w:val="hybridMultilevel"/>
    <w:tmpl w:val="DB04C5AA"/>
    <w:lvl w:ilvl="0" w:tplc="2B7ED4C2">
      <w:start w:val="3"/>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B4AA8C70">
      <w:start w:val="1"/>
      <w:numFmt w:val="lowerLetter"/>
      <w:lvlText w:val="(%6)"/>
      <w:lvlJc w:val="left"/>
      <w:pPr>
        <w:ind w:left="5580" w:hanging="360"/>
      </w:pPr>
      <w:rPr>
        <w:rFonts w:hint="default"/>
        <w:b/>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2B702DC"/>
    <w:multiLevelType w:val="hybridMultilevel"/>
    <w:tmpl w:val="A9583200"/>
    <w:lvl w:ilvl="0" w:tplc="B0E4D1F8">
      <w:start w:val="1"/>
      <w:numFmt w:val="decimal"/>
      <w:lvlText w:val="%1."/>
      <w:lvlJc w:val="left"/>
      <w:pPr>
        <w:ind w:left="1080" w:hanging="360"/>
      </w:pPr>
      <w:rPr>
        <w:rFonts w:hint="default"/>
        <w:b/>
      </w:rPr>
    </w:lvl>
    <w:lvl w:ilvl="1" w:tplc="04090019">
      <w:start w:val="1"/>
      <w:numFmt w:val="lowerLetter"/>
      <w:lvlText w:val="%2."/>
      <w:lvlJc w:val="left"/>
      <w:pPr>
        <w:ind w:left="1890" w:hanging="360"/>
      </w:pPr>
    </w:lvl>
    <w:lvl w:ilvl="2" w:tplc="D8BAD5D6">
      <w:start w:val="1"/>
      <w:numFmt w:val="lowerRoman"/>
      <w:lvlText w:val="%3."/>
      <w:lvlJc w:val="right"/>
      <w:pPr>
        <w:ind w:left="2520" w:hanging="180"/>
      </w:pPr>
      <w:rPr>
        <w:rFonts w:ascii="Times New Roman" w:eastAsiaTheme="minorEastAsia" w:hAnsi="Times New Roman"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0E0A57"/>
    <w:multiLevelType w:val="hybridMultilevel"/>
    <w:tmpl w:val="CAB06480"/>
    <w:lvl w:ilvl="0" w:tplc="454857CA">
      <w:start w:val="1"/>
      <w:numFmt w:val="decimal"/>
      <w:lvlText w:val="%1."/>
      <w:lvlJc w:val="left"/>
      <w:pPr>
        <w:ind w:left="1080" w:hanging="360"/>
      </w:pPr>
      <w:rPr>
        <w:rFonts w:hint="default"/>
        <w:b/>
      </w:rPr>
    </w:lvl>
    <w:lvl w:ilvl="1" w:tplc="F7A653F0">
      <w:start w:val="1"/>
      <w:numFmt w:val="lowerLetter"/>
      <w:lvlText w:val="(%2)"/>
      <w:lvlJc w:val="left"/>
      <w:pPr>
        <w:ind w:left="1980" w:hanging="360"/>
      </w:pPr>
      <w:rPr>
        <w:rFonts w:ascii="Times New Roman" w:eastAsiaTheme="minorEastAsia" w:hAnsi="Times New Roman" w:cstheme="minorBidi"/>
        <w:b/>
      </w:r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5FEE27E">
      <w:start w:val="1"/>
      <w:numFmt w:val="upperLetter"/>
      <w:lvlText w:val="%5."/>
      <w:lvlJc w:val="left"/>
      <w:pPr>
        <w:ind w:left="3960" w:hanging="360"/>
      </w:pPr>
      <w:rPr>
        <w:rFonts w:hint="default"/>
        <w:b/>
      </w:rPr>
    </w:lvl>
    <w:lvl w:ilvl="5" w:tplc="87729F82">
      <w:start w:val="1"/>
      <w:numFmt w:val="decimal"/>
      <w:lvlText w:val="%6"/>
      <w:lvlJc w:val="left"/>
      <w:pPr>
        <w:ind w:left="4860" w:hanging="360"/>
      </w:pPr>
      <w:rPr>
        <w:rFonts w:hint="default"/>
        <w:u w:val="single"/>
      </w:rPr>
    </w:lvl>
    <w:lvl w:ilvl="6" w:tplc="15665B54">
      <w:start w:val="1"/>
      <w:numFmt w:val="low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3A37B7"/>
    <w:multiLevelType w:val="multilevel"/>
    <w:tmpl w:val="55CC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E0ECE"/>
    <w:multiLevelType w:val="multilevel"/>
    <w:tmpl w:val="2A4E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D6841"/>
    <w:multiLevelType w:val="hybridMultilevel"/>
    <w:tmpl w:val="AC4EDAE4"/>
    <w:lvl w:ilvl="0" w:tplc="C1C651EE">
      <w:start w:val="2"/>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3" w15:restartNumberingAfterBreak="0">
    <w:nsid w:val="39F81DD0"/>
    <w:multiLevelType w:val="hybridMultilevel"/>
    <w:tmpl w:val="7B0AA5A6"/>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EA0B9B0">
      <w:start w:val="9"/>
      <w:numFmt w:val="decimal"/>
      <w:lvlText w:val="%4."/>
      <w:lvlJc w:val="left"/>
      <w:pPr>
        <w:ind w:left="3960" w:hanging="360"/>
      </w:pPr>
      <w:rPr>
        <w:rFonts w:hint="default"/>
        <w:u w:val="single"/>
      </w:rPr>
    </w:lvl>
    <w:lvl w:ilvl="4" w:tplc="23A61E98">
      <w:start w:val="3"/>
      <w:numFmt w:val="upperLetter"/>
      <w:lvlText w:val="%5."/>
      <w:lvlJc w:val="left"/>
      <w:pPr>
        <w:ind w:left="4680" w:hanging="360"/>
      </w:pPr>
      <w:rPr>
        <w:rFonts w:hint="default"/>
        <w:b/>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A324C7C"/>
    <w:multiLevelType w:val="multilevel"/>
    <w:tmpl w:val="CD32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0A765D"/>
    <w:multiLevelType w:val="hybridMultilevel"/>
    <w:tmpl w:val="16F28B36"/>
    <w:lvl w:ilvl="0" w:tplc="2DB2780C">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B239C"/>
    <w:multiLevelType w:val="multilevel"/>
    <w:tmpl w:val="AA40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98732C"/>
    <w:multiLevelType w:val="hybridMultilevel"/>
    <w:tmpl w:val="5942D13E"/>
    <w:lvl w:ilvl="0" w:tplc="D10075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F6B7884"/>
    <w:multiLevelType w:val="hybridMultilevel"/>
    <w:tmpl w:val="833AE64C"/>
    <w:lvl w:ilvl="0" w:tplc="3C46B9DA">
      <w:start w:val="3"/>
      <w:numFmt w:val="upperLetter"/>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EA13A4"/>
    <w:multiLevelType w:val="multilevel"/>
    <w:tmpl w:val="3E3C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2D155C"/>
    <w:multiLevelType w:val="multilevel"/>
    <w:tmpl w:val="5CF6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4C4CC9"/>
    <w:multiLevelType w:val="hybridMultilevel"/>
    <w:tmpl w:val="B6740F6E"/>
    <w:lvl w:ilvl="0" w:tplc="233644E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4562567"/>
    <w:multiLevelType w:val="hybridMultilevel"/>
    <w:tmpl w:val="5254EE84"/>
    <w:lvl w:ilvl="0" w:tplc="CF7EB4F0">
      <w:start w:val="1"/>
      <w:numFmt w:val="upperLetter"/>
      <w:lvlText w:val="%1."/>
      <w:lvlJc w:val="left"/>
      <w:pPr>
        <w:ind w:left="1800" w:hanging="360"/>
      </w:pPr>
      <w:rPr>
        <w:rFonts w:hint="default"/>
        <w:b/>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56C21FCE"/>
    <w:multiLevelType w:val="multilevel"/>
    <w:tmpl w:val="A808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614D83"/>
    <w:multiLevelType w:val="hybridMultilevel"/>
    <w:tmpl w:val="66A89B4C"/>
    <w:lvl w:ilvl="0" w:tplc="B792E12E">
      <w:start w:val="2"/>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3D80F3C"/>
    <w:multiLevelType w:val="hybridMultilevel"/>
    <w:tmpl w:val="3C308236"/>
    <w:lvl w:ilvl="0" w:tplc="C4AA249C">
      <w:start w:val="2"/>
      <w:numFmt w:val="upperLetter"/>
      <w:lvlText w:val="%1."/>
      <w:lvlJc w:val="left"/>
      <w:pPr>
        <w:ind w:left="17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96CDD"/>
    <w:multiLevelType w:val="multilevel"/>
    <w:tmpl w:val="4244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4963C6"/>
    <w:multiLevelType w:val="hybridMultilevel"/>
    <w:tmpl w:val="7CCE687A"/>
    <w:lvl w:ilvl="0" w:tplc="76F4D16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B569A2"/>
    <w:multiLevelType w:val="hybridMultilevel"/>
    <w:tmpl w:val="A3CE88D8"/>
    <w:lvl w:ilvl="0" w:tplc="7F2C1DB2">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8"/>
  </w:num>
  <w:num w:numId="4">
    <w:abstractNumId w:val="41"/>
  </w:num>
  <w:num w:numId="5">
    <w:abstractNumId w:val="34"/>
  </w:num>
  <w:num w:numId="6">
    <w:abstractNumId w:val="42"/>
  </w:num>
  <w:num w:numId="7">
    <w:abstractNumId w:val="9"/>
  </w:num>
  <w:num w:numId="8">
    <w:abstractNumId w:val="16"/>
  </w:num>
  <w:num w:numId="9">
    <w:abstractNumId w:val="3"/>
  </w:num>
  <w:num w:numId="10">
    <w:abstractNumId w:val="1"/>
  </w:num>
  <w:num w:numId="11">
    <w:abstractNumId w:val="19"/>
  </w:num>
  <w:num w:numId="12">
    <w:abstractNumId w:val="18"/>
  </w:num>
  <w:num w:numId="13">
    <w:abstractNumId w:val="10"/>
  </w:num>
  <w:num w:numId="14">
    <w:abstractNumId w:val="23"/>
  </w:num>
  <w:num w:numId="15">
    <w:abstractNumId w:val="17"/>
  </w:num>
  <w:num w:numId="16">
    <w:abstractNumId w:val="25"/>
  </w:num>
  <w:num w:numId="17">
    <w:abstractNumId w:val="32"/>
  </w:num>
  <w:num w:numId="18">
    <w:abstractNumId w:val="4"/>
  </w:num>
  <w:num w:numId="19">
    <w:abstractNumId w:val="39"/>
  </w:num>
  <w:num w:numId="20">
    <w:abstractNumId w:val="36"/>
  </w:num>
  <w:num w:numId="21">
    <w:abstractNumId w:val="7"/>
  </w:num>
  <w:num w:numId="22">
    <w:abstractNumId w:val="40"/>
  </w:num>
  <w:num w:numId="23">
    <w:abstractNumId w:val="12"/>
  </w:num>
  <w:num w:numId="24">
    <w:abstractNumId w:val="28"/>
  </w:num>
  <w:num w:numId="25">
    <w:abstractNumId w:val="22"/>
  </w:num>
  <w:num w:numId="26">
    <w:abstractNumId w:val="6"/>
  </w:num>
  <w:num w:numId="27">
    <w:abstractNumId w:val="15"/>
  </w:num>
  <w:num w:numId="28">
    <w:abstractNumId w:val="37"/>
  </w:num>
  <w:num w:numId="29">
    <w:abstractNumId w:val="33"/>
  </w:num>
  <w:num w:numId="30">
    <w:abstractNumId w:val="29"/>
  </w:num>
  <w:num w:numId="31">
    <w:abstractNumId w:val="21"/>
  </w:num>
  <w:num w:numId="32">
    <w:abstractNumId w:val="30"/>
  </w:num>
  <w:num w:numId="33">
    <w:abstractNumId w:val="13"/>
  </w:num>
  <w:num w:numId="34">
    <w:abstractNumId w:val="5"/>
  </w:num>
  <w:num w:numId="35">
    <w:abstractNumId w:val="11"/>
  </w:num>
  <w:num w:numId="36">
    <w:abstractNumId w:val="24"/>
  </w:num>
  <w:num w:numId="37">
    <w:abstractNumId w:val="20"/>
  </w:num>
  <w:num w:numId="38">
    <w:abstractNumId w:val="26"/>
  </w:num>
  <w:num w:numId="39">
    <w:abstractNumId w:val="8"/>
  </w:num>
  <w:num w:numId="40">
    <w:abstractNumId w:val="35"/>
  </w:num>
  <w:num w:numId="41">
    <w:abstractNumId w:val="14"/>
  </w:num>
  <w:num w:numId="42">
    <w:abstractNumId w:val="27"/>
  </w:num>
  <w:num w:numId="4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0953"/>
    <w:rsid w:val="00011776"/>
    <w:rsid w:val="0001260C"/>
    <w:rsid w:val="00013164"/>
    <w:rsid w:val="00016A29"/>
    <w:rsid w:val="0002257F"/>
    <w:rsid w:val="00026394"/>
    <w:rsid w:val="00026C6B"/>
    <w:rsid w:val="00027FC3"/>
    <w:rsid w:val="000302BC"/>
    <w:rsid w:val="000324B5"/>
    <w:rsid w:val="000340FB"/>
    <w:rsid w:val="000341ED"/>
    <w:rsid w:val="00034306"/>
    <w:rsid w:val="00041C50"/>
    <w:rsid w:val="000421B5"/>
    <w:rsid w:val="0005012E"/>
    <w:rsid w:val="000509E7"/>
    <w:rsid w:val="00052694"/>
    <w:rsid w:val="00054D0D"/>
    <w:rsid w:val="0005515D"/>
    <w:rsid w:val="00055700"/>
    <w:rsid w:val="00061C8E"/>
    <w:rsid w:val="00062BAB"/>
    <w:rsid w:val="00065B23"/>
    <w:rsid w:val="00066D23"/>
    <w:rsid w:val="00071707"/>
    <w:rsid w:val="00072343"/>
    <w:rsid w:val="00074BCE"/>
    <w:rsid w:val="00074EDF"/>
    <w:rsid w:val="0008109E"/>
    <w:rsid w:val="00084298"/>
    <w:rsid w:val="00086D79"/>
    <w:rsid w:val="00090B54"/>
    <w:rsid w:val="00094361"/>
    <w:rsid w:val="00094EBD"/>
    <w:rsid w:val="000A3246"/>
    <w:rsid w:val="000A4BA4"/>
    <w:rsid w:val="000A66AC"/>
    <w:rsid w:val="000B0D3F"/>
    <w:rsid w:val="000B0E17"/>
    <w:rsid w:val="000B1DDB"/>
    <w:rsid w:val="000B1E71"/>
    <w:rsid w:val="000B2203"/>
    <w:rsid w:val="000B43A9"/>
    <w:rsid w:val="000B70C4"/>
    <w:rsid w:val="000B76DD"/>
    <w:rsid w:val="000B78F0"/>
    <w:rsid w:val="000C0376"/>
    <w:rsid w:val="000C4772"/>
    <w:rsid w:val="000C4BC7"/>
    <w:rsid w:val="000C5ABA"/>
    <w:rsid w:val="000C5FBA"/>
    <w:rsid w:val="000C722C"/>
    <w:rsid w:val="000D08E7"/>
    <w:rsid w:val="000D2555"/>
    <w:rsid w:val="000D3AAE"/>
    <w:rsid w:val="000D4C0F"/>
    <w:rsid w:val="000D650B"/>
    <w:rsid w:val="000D7A4E"/>
    <w:rsid w:val="000E0782"/>
    <w:rsid w:val="000E17E8"/>
    <w:rsid w:val="000E282A"/>
    <w:rsid w:val="000E6D1A"/>
    <w:rsid w:val="000F112D"/>
    <w:rsid w:val="000F1860"/>
    <w:rsid w:val="000F2EBD"/>
    <w:rsid w:val="000F6911"/>
    <w:rsid w:val="000F69D8"/>
    <w:rsid w:val="00100E22"/>
    <w:rsid w:val="00103A3B"/>
    <w:rsid w:val="00103CDF"/>
    <w:rsid w:val="0010433D"/>
    <w:rsid w:val="00107362"/>
    <w:rsid w:val="00110D3B"/>
    <w:rsid w:val="001114F7"/>
    <w:rsid w:val="00112949"/>
    <w:rsid w:val="001148B5"/>
    <w:rsid w:val="001150F0"/>
    <w:rsid w:val="001156AF"/>
    <w:rsid w:val="00117224"/>
    <w:rsid w:val="00117544"/>
    <w:rsid w:val="00121A5A"/>
    <w:rsid w:val="00124F94"/>
    <w:rsid w:val="00126ABD"/>
    <w:rsid w:val="0013367A"/>
    <w:rsid w:val="00133FBD"/>
    <w:rsid w:val="001358A0"/>
    <w:rsid w:val="00135B1C"/>
    <w:rsid w:val="00142044"/>
    <w:rsid w:val="001437FC"/>
    <w:rsid w:val="00143919"/>
    <w:rsid w:val="001462FC"/>
    <w:rsid w:val="00146574"/>
    <w:rsid w:val="001465E5"/>
    <w:rsid w:val="00146910"/>
    <w:rsid w:val="00146E4E"/>
    <w:rsid w:val="001476D7"/>
    <w:rsid w:val="00150F40"/>
    <w:rsid w:val="00151063"/>
    <w:rsid w:val="00151720"/>
    <w:rsid w:val="00151F43"/>
    <w:rsid w:val="00156092"/>
    <w:rsid w:val="001572A8"/>
    <w:rsid w:val="00162E5A"/>
    <w:rsid w:val="00163831"/>
    <w:rsid w:val="001649EE"/>
    <w:rsid w:val="00165F0B"/>
    <w:rsid w:val="001673C5"/>
    <w:rsid w:val="0017187B"/>
    <w:rsid w:val="00172C04"/>
    <w:rsid w:val="00173510"/>
    <w:rsid w:val="00173BB8"/>
    <w:rsid w:val="0017420F"/>
    <w:rsid w:val="00175923"/>
    <w:rsid w:val="001768AB"/>
    <w:rsid w:val="00176CCB"/>
    <w:rsid w:val="001776E6"/>
    <w:rsid w:val="00177973"/>
    <w:rsid w:val="00177AA7"/>
    <w:rsid w:val="00182EC5"/>
    <w:rsid w:val="00183D27"/>
    <w:rsid w:val="0019065B"/>
    <w:rsid w:val="0019337F"/>
    <w:rsid w:val="00193DF7"/>
    <w:rsid w:val="001963BC"/>
    <w:rsid w:val="001A1C5D"/>
    <w:rsid w:val="001A3667"/>
    <w:rsid w:val="001B0E80"/>
    <w:rsid w:val="001B11FD"/>
    <w:rsid w:val="001B4226"/>
    <w:rsid w:val="001B5A99"/>
    <w:rsid w:val="001B5DD4"/>
    <w:rsid w:val="001B6195"/>
    <w:rsid w:val="001B73F6"/>
    <w:rsid w:val="001C3A80"/>
    <w:rsid w:val="001C7B0D"/>
    <w:rsid w:val="001D0121"/>
    <w:rsid w:val="001D0770"/>
    <w:rsid w:val="001D1B70"/>
    <w:rsid w:val="001D2330"/>
    <w:rsid w:val="001D25D1"/>
    <w:rsid w:val="001D277E"/>
    <w:rsid w:val="001D35CA"/>
    <w:rsid w:val="001D50A8"/>
    <w:rsid w:val="001D5776"/>
    <w:rsid w:val="001E2D3C"/>
    <w:rsid w:val="001E327E"/>
    <w:rsid w:val="001E3281"/>
    <w:rsid w:val="001F01B4"/>
    <w:rsid w:val="001F0D0C"/>
    <w:rsid w:val="001F18CD"/>
    <w:rsid w:val="001F7DB9"/>
    <w:rsid w:val="00200951"/>
    <w:rsid w:val="00200AF1"/>
    <w:rsid w:val="00201FC1"/>
    <w:rsid w:val="00202C5B"/>
    <w:rsid w:val="002031ED"/>
    <w:rsid w:val="002066F0"/>
    <w:rsid w:val="00206A45"/>
    <w:rsid w:val="00210263"/>
    <w:rsid w:val="00212AD9"/>
    <w:rsid w:val="002145F0"/>
    <w:rsid w:val="00217DA2"/>
    <w:rsid w:val="00217EBB"/>
    <w:rsid w:val="00221926"/>
    <w:rsid w:val="00221AAE"/>
    <w:rsid w:val="00222C12"/>
    <w:rsid w:val="002236E8"/>
    <w:rsid w:val="0022445A"/>
    <w:rsid w:val="00227443"/>
    <w:rsid w:val="002321A5"/>
    <w:rsid w:val="002348A5"/>
    <w:rsid w:val="00234D30"/>
    <w:rsid w:val="002363CA"/>
    <w:rsid w:val="00236A0B"/>
    <w:rsid w:val="00236AB0"/>
    <w:rsid w:val="00236AF7"/>
    <w:rsid w:val="00237AEC"/>
    <w:rsid w:val="002438D2"/>
    <w:rsid w:val="00243FF8"/>
    <w:rsid w:val="00246D22"/>
    <w:rsid w:val="00251EB1"/>
    <w:rsid w:val="00252DC4"/>
    <w:rsid w:val="002542DC"/>
    <w:rsid w:val="002544B7"/>
    <w:rsid w:val="00254B22"/>
    <w:rsid w:val="002550F4"/>
    <w:rsid w:val="002558FB"/>
    <w:rsid w:val="00261795"/>
    <w:rsid w:val="00262A25"/>
    <w:rsid w:val="002630F7"/>
    <w:rsid w:val="002630FF"/>
    <w:rsid w:val="00264519"/>
    <w:rsid w:val="00271329"/>
    <w:rsid w:val="00273404"/>
    <w:rsid w:val="00274276"/>
    <w:rsid w:val="0027648B"/>
    <w:rsid w:val="002857BE"/>
    <w:rsid w:val="00286558"/>
    <w:rsid w:val="00286B40"/>
    <w:rsid w:val="00286B5F"/>
    <w:rsid w:val="00290B6F"/>
    <w:rsid w:val="0029168D"/>
    <w:rsid w:val="00292E15"/>
    <w:rsid w:val="00293452"/>
    <w:rsid w:val="002935A9"/>
    <w:rsid w:val="00294F80"/>
    <w:rsid w:val="002978B7"/>
    <w:rsid w:val="00297D0C"/>
    <w:rsid w:val="002A2F20"/>
    <w:rsid w:val="002A4DD8"/>
    <w:rsid w:val="002A5595"/>
    <w:rsid w:val="002A5A54"/>
    <w:rsid w:val="002A7577"/>
    <w:rsid w:val="002A777F"/>
    <w:rsid w:val="002B09F1"/>
    <w:rsid w:val="002B0DFC"/>
    <w:rsid w:val="002B1F21"/>
    <w:rsid w:val="002B35C5"/>
    <w:rsid w:val="002B3E98"/>
    <w:rsid w:val="002B78B0"/>
    <w:rsid w:val="002C0513"/>
    <w:rsid w:val="002C3092"/>
    <w:rsid w:val="002C3294"/>
    <w:rsid w:val="002C378F"/>
    <w:rsid w:val="002C5242"/>
    <w:rsid w:val="002C5E1D"/>
    <w:rsid w:val="002D1599"/>
    <w:rsid w:val="002D365F"/>
    <w:rsid w:val="002D366C"/>
    <w:rsid w:val="002D4362"/>
    <w:rsid w:val="002E2A6D"/>
    <w:rsid w:val="002E2F5E"/>
    <w:rsid w:val="002F015B"/>
    <w:rsid w:val="002F16B3"/>
    <w:rsid w:val="002F2016"/>
    <w:rsid w:val="002F61E3"/>
    <w:rsid w:val="00300A3A"/>
    <w:rsid w:val="00303F39"/>
    <w:rsid w:val="00304305"/>
    <w:rsid w:val="003045D2"/>
    <w:rsid w:val="00305D83"/>
    <w:rsid w:val="00305FDE"/>
    <w:rsid w:val="00311BC1"/>
    <w:rsid w:val="00311DF4"/>
    <w:rsid w:val="00312017"/>
    <w:rsid w:val="00312FA2"/>
    <w:rsid w:val="003134D3"/>
    <w:rsid w:val="0031487D"/>
    <w:rsid w:val="003154E8"/>
    <w:rsid w:val="00317330"/>
    <w:rsid w:val="003208B4"/>
    <w:rsid w:val="0032124B"/>
    <w:rsid w:val="00321E89"/>
    <w:rsid w:val="0032220C"/>
    <w:rsid w:val="003239B0"/>
    <w:rsid w:val="0032443B"/>
    <w:rsid w:val="0032598E"/>
    <w:rsid w:val="00325FC1"/>
    <w:rsid w:val="003313DA"/>
    <w:rsid w:val="003319A7"/>
    <w:rsid w:val="00332825"/>
    <w:rsid w:val="003370E3"/>
    <w:rsid w:val="003376F7"/>
    <w:rsid w:val="00340637"/>
    <w:rsid w:val="00340740"/>
    <w:rsid w:val="00340B4E"/>
    <w:rsid w:val="00342825"/>
    <w:rsid w:val="00342B6A"/>
    <w:rsid w:val="00342DB6"/>
    <w:rsid w:val="00345235"/>
    <w:rsid w:val="0034626F"/>
    <w:rsid w:val="003473F4"/>
    <w:rsid w:val="003508EE"/>
    <w:rsid w:val="00355BF6"/>
    <w:rsid w:val="003563EF"/>
    <w:rsid w:val="00356433"/>
    <w:rsid w:val="00360AA3"/>
    <w:rsid w:val="00360D91"/>
    <w:rsid w:val="00361628"/>
    <w:rsid w:val="003642F6"/>
    <w:rsid w:val="0036439B"/>
    <w:rsid w:val="00364771"/>
    <w:rsid w:val="003747B5"/>
    <w:rsid w:val="00376DA1"/>
    <w:rsid w:val="003776B3"/>
    <w:rsid w:val="0038047E"/>
    <w:rsid w:val="00383EFB"/>
    <w:rsid w:val="00384141"/>
    <w:rsid w:val="00385904"/>
    <w:rsid w:val="003A0148"/>
    <w:rsid w:val="003A1E91"/>
    <w:rsid w:val="003A33A5"/>
    <w:rsid w:val="003A4FB0"/>
    <w:rsid w:val="003A5916"/>
    <w:rsid w:val="003A7CB2"/>
    <w:rsid w:val="003B1697"/>
    <w:rsid w:val="003B388E"/>
    <w:rsid w:val="003B3B50"/>
    <w:rsid w:val="003B52AB"/>
    <w:rsid w:val="003B59EA"/>
    <w:rsid w:val="003B5B30"/>
    <w:rsid w:val="003B5B32"/>
    <w:rsid w:val="003C09F0"/>
    <w:rsid w:val="003C265E"/>
    <w:rsid w:val="003C2DE3"/>
    <w:rsid w:val="003C3E7C"/>
    <w:rsid w:val="003C40E8"/>
    <w:rsid w:val="003C4C6F"/>
    <w:rsid w:val="003C50CC"/>
    <w:rsid w:val="003D1D42"/>
    <w:rsid w:val="003D2853"/>
    <w:rsid w:val="003D34DF"/>
    <w:rsid w:val="003D6EAC"/>
    <w:rsid w:val="003D7308"/>
    <w:rsid w:val="003E09D4"/>
    <w:rsid w:val="003E1169"/>
    <w:rsid w:val="003E13A7"/>
    <w:rsid w:val="003E3843"/>
    <w:rsid w:val="003E6AD8"/>
    <w:rsid w:val="003E6F51"/>
    <w:rsid w:val="003F395F"/>
    <w:rsid w:val="003F4811"/>
    <w:rsid w:val="003F5F1A"/>
    <w:rsid w:val="003F6A5C"/>
    <w:rsid w:val="00400FFE"/>
    <w:rsid w:val="00401A5C"/>
    <w:rsid w:val="00403905"/>
    <w:rsid w:val="004077C2"/>
    <w:rsid w:val="0041051F"/>
    <w:rsid w:val="0041113F"/>
    <w:rsid w:val="00413E91"/>
    <w:rsid w:val="00414D9E"/>
    <w:rsid w:val="00414DE9"/>
    <w:rsid w:val="0041534C"/>
    <w:rsid w:val="00416C25"/>
    <w:rsid w:val="00416CC9"/>
    <w:rsid w:val="004200FB"/>
    <w:rsid w:val="004204AE"/>
    <w:rsid w:val="00421A4C"/>
    <w:rsid w:val="00425FE8"/>
    <w:rsid w:val="004271D8"/>
    <w:rsid w:val="0042730E"/>
    <w:rsid w:val="00427E2F"/>
    <w:rsid w:val="00430AB5"/>
    <w:rsid w:val="00431C88"/>
    <w:rsid w:val="00431F8E"/>
    <w:rsid w:val="00432932"/>
    <w:rsid w:val="00434B55"/>
    <w:rsid w:val="00435681"/>
    <w:rsid w:val="00436BA2"/>
    <w:rsid w:val="00437958"/>
    <w:rsid w:val="004406AC"/>
    <w:rsid w:val="00441CD1"/>
    <w:rsid w:val="004445D6"/>
    <w:rsid w:val="004517A3"/>
    <w:rsid w:val="00452CC3"/>
    <w:rsid w:val="00454846"/>
    <w:rsid w:val="0045543B"/>
    <w:rsid w:val="0045633D"/>
    <w:rsid w:val="0046192D"/>
    <w:rsid w:val="0046330C"/>
    <w:rsid w:val="004634BE"/>
    <w:rsid w:val="00465432"/>
    <w:rsid w:val="00466AD0"/>
    <w:rsid w:val="00466EB9"/>
    <w:rsid w:val="00467045"/>
    <w:rsid w:val="0047003F"/>
    <w:rsid w:val="004706AB"/>
    <w:rsid w:val="0047163D"/>
    <w:rsid w:val="00474D96"/>
    <w:rsid w:val="0047516C"/>
    <w:rsid w:val="00480712"/>
    <w:rsid w:val="004813C0"/>
    <w:rsid w:val="00482BC2"/>
    <w:rsid w:val="00483127"/>
    <w:rsid w:val="00484142"/>
    <w:rsid w:val="00484B9C"/>
    <w:rsid w:val="00491907"/>
    <w:rsid w:val="00491948"/>
    <w:rsid w:val="00491E26"/>
    <w:rsid w:val="00492027"/>
    <w:rsid w:val="004A0671"/>
    <w:rsid w:val="004A451E"/>
    <w:rsid w:val="004A46B4"/>
    <w:rsid w:val="004A5613"/>
    <w:rsid w:val="004A582F"/>
    <w:rsid w:val="004A5DD2"/>
    <w:rsid w:val="004A6E9B"/>
    <w:rsid w:val="004B0BF0"/>
    <w:rsid w:val="004B10A3"/>
    <w:rsid w:val="004B196B"/>
    <w:rsid w:val="004C2EF7"/>
    <w:rsid w:val="004C4506"/>
    <w:rsid w:val="004C458B"/>
    <w:rsid w:val="004C5780"/>
    <w:rsid w:val="004C63D8"/>
    <w:rsid w:val="004C67E5"/>
    <w:rsid w:val="004C7846"/>
    <w:rsid w:val="004C7BF4"/>
    <w:rsid w:val="004D0301"/>
    <w:rsid w:val="004E1249"/>
    <w:rsid w:val="004E142A"/>
    <w:rsid w:val="004E2A5D"/>
    <w:rsid w:val="004E35D0"/>
    <w:rsid w:val="004E572B"/>
    <w:rsid w:val="004E60B2"/>
    <w:rsid w:val="004E61C2"/>
    <w:rsid w:val="004E7067"/>
    <w:rsid w:val="004F030C"/>
    <w:rsid w:val="004F3D87"/>
    <w:rsid w:val="00500503"/>
    <w:rsid w:val="00502614"/>
    <w:rsid w:val="00504537"/>
    <w:rsid w:val="005063F3"/>
    <w:rsid w:val="0051221A"/>
    <w:rsid w:val="00512724"/>
    <w:rsid w:val="00512A9F"/>
    <w:rsid w:val="00516796"/>
    <w:rsid w:val="00517E4F"/>
    <w:rsid w:val="00520F5E"/>
    <w:rsid w:val="0052318D"/>
    <w:rsid w:val="005237C4"/>
    <w:rsid w:val="0052387A"/>
    <w:rsid w:val="0052642A"/>
    <w:rsid w:val="00530892"/>
    <w:rsid w:val="00530BF1"/>
    <w:rsid w:val="00530CD6"/>
    <w:rsid w:val="00535353"/>
    <w:rsid w:val="005357BE"/>
    <w:rsid w:val="00535A2B"/>
    <w:rsid w:val="0053686B"/>
    <w:rsid w:val="00537681"/>
    <w:rsid w:val="00540398"/>
    <w:rsid w:val="00541BCF"/>
    <w:rsid w:val="005463F4"/>
    <w:rsid w:val="005510CD"/>
    <w:rsid w:val="00553CBE"/>
    <w:rsid w:val="00555FBF"/>
    <w:rsid w:val="005665C2"/>
    <w:rsid w:val="00571120"/>
    <w:rsid w:val="00576B27"/>
    <w:rsid w:val="00584934"/>
    <w:rsid w:val="00590029"/>
    <w:rsid w:val="00592867"/>
    <w:rsid w:val="00592B85"/>
    <w:rsid w:val="0059572F"/>
    <w:rsid w:val="00595D13"/>
    <w:rsid w:val="005A1AAC"/>
    <w:rsid w:val="005A61CC"/>
    <w:rsid w:val="005A74C3"/>
    <w:rsid w:val="005B212C"/>
    <w:rsid w:val="005B2CCD"/>
    <w:rsid w:val="005B558F"/>
    <w:rsid w:val="005B581D"/>
    <w:rsid w:val="005C08FA"/>
    <w:rsid w:val="005C40F9"/>
    <w:rsid w:val="005C5CFC"/>
    <w:rsid w:val="005C76EE"/>
    <w:rsid w:val="005D217B"/>
    <w:rsid w:val="005D236D"/>
    <w:rsid w:val="005D446B"/>
    <w:rsid w:val="005D5F3E"/>
    <w:rsid w:val="005D70E7"/>
    <w:rsid w:val="005D71D8"/>
    <w:rsid w:val="005D7FBD"/>
    <w:rsid w:val="005E196A"/>
    <w:rsid w:val="005E2FA8"/>
    <w:rsid w:val="005E4539"/>
    <w:rsid w:val="005E73B8"/>
    <w:rsid w:val="005F17D4"/>
    <w:rsid w:val="005F1FB3"/>
    <w:rsid w:val="005F2098"/>
    <w:rsid w:val="005F2CFE"/>
    <w:rsid w:val="005F2E38"/>
    <w:rsid w:val="005F4A79"/>
    <w:rsid w:val="005F51C9"/>
    <w:rsid w:val="005F705E"/>
    <w:rsid w:val="005F770C"/>
    <w:rsid w:val="00600D46"/>
    <w:rsid w:val="00604806"/>
    <w:rsid w:val="0060730E"/>
    <w:rsid w:val="006077FF"/>
    <w:rsid w:val="00614279"/>
    <w:rsid w:val="00620CC5"/>
    <w:rsid w:val="00621D15"/>
    <w:rsid w:val="006221E1"/>
    <w:rsid w:val="00625F11"/>
    <w:rsid w:val="0063019F"/>
    <w:rsid w:val="0063059E"/>
    <w:rsid w:val="00633037"/>
    <w:rsid w:val="0063517A"/>
    <w:rsid w:val="00640C66"/>
    <w:rsid w:val="0064116F"/>
    <w:rsid w:val="0064458E"/>
    <w:rsid w:val="00644BDC"/>
    <w:rsid w:val="006450DA"/>
    <w:rsid w:val="0064574F"/>
    <w:rsid w:val="006465C5"/>
    <w:rsid w:val="00650893"/>
    <w:rsid w:val="006531D6"/>
    <w:rsid w:val="00654846"/>
    <w:rsid w:val="00657721"/>
    <w:rsid w:val="006577D7"/>
    <w:rsid w:val="00657E5B"/>
    <w:rsid w:val="00660E5F"/>
    <w:rsid w:val="00660F73"/>
    <w:rsid w:val="0066317C"/>
    <w:rsid w:val="006639C7"/>
    <w:rsid w:val="00663A8E"/>
    <w:rsid w:val="00663C9D"/>
    <w:rsid w:val="006668DE"/>
    <w:rsid w:val="0066697C"/>
    <w:rsid w:val="0066753D"/>
    <w:rsid w:val="00667D54"/>
    <w:rsid w:val="00674E68"/>
    <w:rsid w:val="00675E10"/>
    <w:rsid w:val="00676E89"/>
    <w:rsid w:val="00681534"/>
    <w:rsid w:val="00685808"/>
    <w:rsid w:val="00691E1A"/>
    <w:rsid w:val="00695A6D"/>
    <w:rsid w:val="006960B4"/>
    <w:rsid w:val="00697F28"/>
    <w:rsid w:val="006A3547"/>
    <w:rsid w:val="006A3A6B"/>
    <w:rsid w:val="006A3B11"/>
    <w:rsid w:val="006A4458"/>
    <w:rsid w:val="006A50BC"/>
    <w:rsid w:val="006B0145"/>
    <w:rsid w:val="006B0C29"/>
    <w:rsid w:val="006B1D63"/>
    <w:rsid w:val="006B60DD"/>
    <w:rsid w:val="006C5A7D"/>
    <w:rsid w:val="006C704A"/>
    <w:rsid w:val="006D0EE9"/>
    <w:rsid w:val="006D1C4E"/>
    <w:rsid w:val="006D3AD0"/>
    <w:rsid w:val="006D7744"/>
    <w:rsid w:val="006E0D5B"/>
    <w:rsid w:val="006E3B26"/>
    <w:rsid w:val="006E5368"/>
    <w:rsid w:val="006E5C27"/>
    <w:rsid w:val="006E6103"/>
    <w:rsid w:val="006F336C"/>
    <w:rsid w:val="006F3FB3"/>
    <w:rsid w:val="006F4CE9"/>
    <w:rsid w:val="00700924"/>
    <w:rsid w:val="007011CC"/>
    <w:rsid w:val="007017B0"/>
    <w:rsid w:val="00701D5A"/>
    <w:rsid w:val="0070218E"/>
    <w:rsid w:val="007065A1"/>
    <w:rsid w:val="0071068B"/>
    <w:rsid w:val="007135EE"/>
    <w:rsid w:val="00714A54"/>
    <w:rsid w:val="007150E1"/>
    <w:rsid w:val="00720A29"/>
    <w:rsid w:val="00722B80"/>
    <w:rsid w:val="00722DD1"/>
    <w:rsid w:val="0073295B"/>
    <w:rsid w:val="0073422E"/>
    <w:rsid w:val="0074409F"/>
    <w:rsid w:val="0074468A"/>
    <w:rsid w:val="00746128"/>
    <w:rsid w:val="00756A0C"/>
    <w:rsid w:val="00757661"/>
    <w:rsid w:val="00760E2D"/>
    <w:rsid w:val="00774784"/>
    <w:rsid w:val="00774A2B"/>
    <w:rsid w:val="007755F6"/>
    <w:rsid w:val="00775D28"/>
    <w:rsid w:val="007803DA"/>
    <w:rsid w:val="00780CCE"/>
    <w:rsid w:val="00781A63"/>
    <w:rsid w:val="00783765"/>
    <w:rsid w:val="00784A25"/>
    <w:rsid w:val="007862BD"/>
    <w:rsid w:val="007870BA"/>
    <w:rsid w:val="007902F3"/>
    <w:rsid w:val="00790ED1"/>
    <w:rsid w:val="0079148C"/>
    <w:rsid w:val="00793514"/>
    <w:rsid w:val="00795394"/>
    <w:rsid w:val="00795F45"/>
    <w:rsid w:val="0079604D"/>
    <w:rsid w:val="00797252"/>
    <w:rsid w:val="007977D0"/>
    <w:rsid w:val="007A0040"/>
    <w:rsid w:val="007A040E"/>
    <w:rsid w:val="007A2C34"/>
    <w:rsid w:val="007A5E81"/>
    <w:rsid w:val="007A7335"/>
    <w:rsid w:val="007A76DB"/>
    <w:rsid w:val="007B0198"/>
    <w:rsid w:val="007B1B79"/>
    <w:rsid w:val="007B2FC8"/>
    <w:rsid w:val="007B455D"/>
    <w:rsid w:val="007C06B0"/>
    <w:rsid w:val="007C1C60"/>
    <w:rsid w:val="007C3596"/>
    <w:rsid w:val="007C479E"/>
    <w:rsid w:val="007C534A"/>
    <w:rsid w:val="007C689D"/>
    <w:rsid w:val="007D12C5"/>
    <w:rsid w:val="007D14A8"/>
    <w:rsid w:val="007D2675"/>
    <w:rsid w:val="007E128E"/>
    <w:rsid w:val="007E2299"/>
    <w:rsid w:val="007E2953"/>
    <w:rsid w:val="007E390F"/>
    <w:rsid w:val="007E4176"/>
    <w:rsid w:val="007E7F26"/>
    <w:rsid w:val="007F16BD"/>
    <w:rsid w:val="007F2F12"/>
    <w:rsid w:val="007F4471"/>
    <w:rsid w:val="007F63B9"/>
    <w:rsid w:val="007F6E51"/>
    <w:rsid w:val="007F7B3F"/>
    <w:rsid w:val="00801B02"/>
    <w:rsid w:val="00802164"/>
    <w:rsid w:val="008035A4"/>
    <w:rsid w:val="00804A8E"/>
    <w:rsid w:val="00806AA8"/>
    <w:rsid w:val="00806FA9"/>
    <w:rsid w:val="00812FF0"/>
    <w:rsid w:val="00815043"/>
    <w:rsid w:val="008157CF"/>
    <w:rsid w:val="00820D75"/>
    <w:rsid w:val="00821688"/>
    <w:rsid w:val="008219AB"/>
    <w:rsid w:val="0082467E"/>
    <w:rsid w:val="00824AEC"/>
    <w:rsid w:val="008271F6"/>
    <w:rsid w:val="00832281"/>
    <w:rsid w:val="00832A42"/>
    <w:rsid w:val="0083319A"/>
    <w:rsid w:val="00833649"/>
    <w:rsid w:val="00835EE6"/>
    <w:rsid w:val="0084009D"/>
    <w:rsid w:val="008476AE"/>
    <w:rsid w:val="008513F5"/>
    <w:rsid w:val="0086294F"/>
    <w:rsid w:val="00863EC6"/>
    <w:rsid w:val="008642DB"/>
    <w:rsid w:val="00864F61"/>
    <w:rsid w:val="008667F9"/>
    <w:rsid w:val="0087018F"/>
    <w:rsid w:val="008714D7"/>
    <w:rsid w:val="008750C1"/>
    <w:rsid w:val="00875906"/>
    <w:rsid w:val="00876A95"/>
    <w:rsid w:val="0087765D"/>
    <w:rsid w:val="0088153B"/>
    <w:rsid w:val="00881551"/>
    <w:rsid w:val="00883771"/>
    <w:rsid w:val="0088673E"/>
    <w:rsid w:val="00886D9E"/>
    <w:rsid w:val="00887CE4"/>
    <w:rsid w:val="0089089A"/>
    <w:rsid w:val="00894D34"/>
    <w:rsid w:val="00897F26"/>
    <w:rsid w:val="008A4467"/>
    <w:rsid w:val="008A7FFE"/>
    <w:rsid w:val="008B06DE"/>
    <w:rsid w:val="008B10F9"/>
    <w:rsid w:val="008B64BE"/>
    <w:rsid w:val="008B6B8E"/>
    <w:rsid w:val="008B6F95"/>
    <w:rsid w:val="008C0D2B"/>
    <w:rsid w:val="008C23E6"/>
    <w:rsid w:val="008C30E6"/>
    <w:rsid w:val="008C3C12"/>
    <w:rsid w:val="008C44B6"/>
    <w:rsid w:val="008C4CD7"/>
    <w:rsid w:val="008C57F6"/>
    <w:rsid w:val="008C6567"/>
    <w:rsid w:val="008D5528"/>
    <w:rsid w:val="008D7EAD"/>
    <w:rsid w:val="008E212F"/>
    <w:rsid w:val="008E5BE5"/>
    <w:rsid w:val="008F051F"/>
    <w:rsid w:val="008F127C"/>
    <w:rsid w:val="008F17A7"/>
    <w:rsid w:val="008F58B8"/>
    <w:rsid w:val="008F6B36"/>
    <w:rsid w:val="009008DD"/>
    <w:rsid w:val="009024B4"/>
    <w:rsid w:val="0090334E"/>
    <w:rsid w:val="009037AF"/>
    <w:rsid w:val="0090427C"/>
    <w:rsid w:val="0090548D"/>
    <w:rsid w:val="00910237"/>
    <w:rsid w:val="0091203A"/>
    <w:rsid w:val="00912B18"/>
    <w:rsid w:val="00913DE9"/>
    <w:rsid w:val="00915698"/>
    <w:rsid w:val="00920535"/>
    <w:rsid w:val="0092199A"/>
    <w:rsid w:val="00922A6D"/>
    <w:rsid w:val="009230A5"/>
    <w:rsid w:val="009242EA"/>
    <w:rsid w:val="00925171"/>
    <w:rsid w:val="0092555A"/>
    <w:rsid w:val="009255C2"/>
    <w:rsid w:val="00925E5C"/>
    <w:rsid w:val="00927A0D"/>
    <w:rsid w:val="00927EF0"/>
    <w:rsid w:val="009324C3"/>
    <w:rsid w:val="0093251D"/>
    <w:rsid w:val="00933C83"/>
    <w:rsid w:val="009351FC"/>
    <w:rsid w:val="00936542"/>
    <w:rsid w:val="009376EA"/>
    <w:rsid w:val="00937943"/>
    <w:rsid w:val="00940447"/>
    <w:rsid w:val="009408A6"/>
    <w:rsid w:val="00941C32"/>
    <w:rsid w:val="00943BAA"/>
    <w:rsid w:val="00944330"/>
    <w:rsid w:val="0094446C"/>
    <w:rsid w:val="0094577A"/>
    <w:rsid w:val="009459C3"/>
    <w:rsid w:val="0095190E"/>
    <w:rsid w:val="00952158"/>
    <w:rsid w:val="00952ED0"/>
    <w:rsid w:val="00953FE2"/>
    <w:rsid w:val="0095500F"/>
    <w:rsid w:val="009615F7"/>
    <w:rsid w:val="0096439D"/>
    <w:rsid w:val="00965188"/>
    <w:rsid w:val="009679F7"/>
    <w:rsid w:val="00972224"/>
    <w:rsid w:val="0098369B"/>
    <w:rsid w:val="009855ED"/>
    <w:rsid w:val="00986C6C"/>
    <w:rsid w:val="00990086"/>
    <w:rsid w:val="00992C68"/>
    <w:rsid w:val="009939EF"/>
    <w:rsid w:val="00994DC4"/>
    <w:rsid w:val="00995402"/>
    <w:rsid w:val="00995739"/>
    <w:rsid w:val="00996855"/>
    <w:rsid w:val="00997BB1"/>
    <w:rsid w:val="00997BD1"/>
    <w:rsid w:val="009A1012"/>
    <w:rsid w:val="009A10B6"/>
    <w:rsid w:val="009A2CBA"/>
    <w:rsid w:val="009A3785"/>
    <w:rsid w:val="009B2454"/>
    <w:rsid w:val="009B472E"/>
    <w:rsid w:val="009B4801"/>
    <w:rsid w:val="009B53D8"/>
    <w:rsid w:val="009B6571"/>
    <w:rsid w:val="009B7504"/>
    <w:rsid w:val="009C4A92"/>
    <w:rsid w:val="009C6254"/>
    <w:rsid w:val="009C6CE8"/>
    <w:rsid w:val="009C6F42"/>
    <w:rsid w:val="009D0597"/>
    <w:rsid w:val="009D31D6"/>
    <w:rsid w:val="009D3EF7"/>
    <w:rsid w:val="009D4AA9"/>
    <w:rsid w:val="009D54A5"/>
    <w:rsid w:val="009D71A1"/>
    <w:rsid w:val="009E1F25"/>
    <w:rsid w:val="009E2A70"/>
    <w:rsid w:val="009E489B"/>
    <w:rsid w:val="009F3168"/>
    <w:rsid w:val="009F3454"/>
    <w:rsid w:val="009F4440"/>
    <w:rsid w:val="009F5553"/>
    <w:rsid w:val="009F7BC1"/>
    <w:rsid w:val="00A0246B"/>
    <w:rsid w:val="00A03908"/>
    <w:rsid w:val="00A04CE4"/>
    <w:rsid w:val="00A05724"/>
    <w:rsid w:val="00A110DD"/>
    <w:rsid w:val="00A11C23"/>
    <w:rsid w:val="00A14268"/>
    <w:rsid w:val="00A17D94"/>
    <w:rsid w:val="00A2092B"/>
    <w:rsid w:val="00A23BA0"/>
    <w:rsid w:val="00A24F93"/>
    <w:rsid w:val="00A25028"/>
    <w:rsid w:val="00A2704C"/>
    <w:rsid w:val="00A314FA"/>
    <w:rsid w:val="00A3799B"/>
    <w:rsid w:val="00A413D5"/>
    <w:rsid w:val="00A47BAD"/>
    <w:rsid w:val="00A47D5F"/>
    <w:rsid w:val="00A504D3"/>
    <w:rsid w:val="00A52844"/>
    <w:rsid w:val="00A52BEC"/>
    <w:rsid w:val="00A57777"/>
    <w:rsid w:val="00A57E0F"/>
    <w:rsid w:val="00A65C42"/>
    <w:rsid w:val="00A67E6D"/>
    <w:rsid w:val="00A750A9"/>
    <w:rsid w:val="00A75304"/>
    <w:rsid w:val="00A82F6F"/>
    <w:rsid w:val="00A84DBB"/>
    <w:rsid w:val="00A862A4"/>
    <w:rsid w:val="00A903BC"/>
    <w:rsid w:val="00A9229C"/>
    <w:rsid w:val="00A92BA2"/>
    <w:rsid w:val="00A9360E"/>
    <w:rsid w:val="00A94142"/>
    <w:rsid w:val="00A973D9"/>
    <w:rsid w:val="00AA0190"/>
    <w:rsid w:val="00AA1C3B"/>
    <w:rsid w:val="00AA1DC4"/>
    <w:rsid w:val="00AA20DC"/>
    <w:rsid w:val="00AA2435"/>
    <w:rsid w:val="00AA29A7"/>
    <w:rsid w:val="00AA49B9"/>
    <w:rsid w:val="00AA5761"/>
    <w:rsid w:val="00AB392A"/>
    <w:rsid w:val="00AB6124"/>
    <w:rsid w:val="00AB69C6"/>
    <w:rsid w:val="00AB759F"/>
    <w:rsid w:val="00AB7A77"/>
    <w:rsid w:val="00AC25D8"/>
    <w:rsid w:val="00AC4FD0"/>
    <w:rsid w:val="00AC560D"/>
    <w:rsid w:val="00AC5BA7"/>
    <w:rsid w:val="00AD19E4"/>
    <w:rsid w:val="00AD319B"/>
    <w:rsid w:val="00AD3673"/>
    <w:rsid w:val="00AD4A48"/>
    <w:rsid w:val="00AD6F27"/>
    <w:rsid w:val="00AE082C"/>
    <w:rsid w:val="00AE0C03"/>
    <w:rsid w:val="00AE36D0"/>
    <w:rsid w:val="00AE40E2"/>
    <w:rsid w:val="00AE4140"/>
    <w:rsid w:val="00AE4928"/>
    <w:rsid w:val="00AE4CE1"/>
    <w:rsid w:val="00AE4D48"/>
    <w:rsid w:val="00AE786D"/>
    <w:rsid w:val="00AF0CA4"/>
    <w:rsid w:val="00AF1CAD"/>
    <w:rsid w:val="00AF448F"/>
    <w:rsid w:val="00AF4CC5"/>
    <w:rsid w:val="00AF72E8"/>
    <w:rsid w:val="00B01391"/>
    <w:rsid w:val="00B02CB3"/>
    <w:rsid w:val="00B04E9C"/>
    <w:rsid w:val="00B0622F"/>
    <w:rsid w:val="00B06511"/>
    <w:rsid w:val="00B06DF9"/>
    <w:rsid w:val="00B102F7"/>
    <w:rsid w:val="00B119C7"/>
    <w:rsid w:val="00B11BE8"/>
    <w:rsid w:val="00B1354A"/>
    <w:rsid w:val="00B14506"/>
    <w:rsid w:val="00B15D63"/>
    <w:rsid w:val="00B22750"/>
    <w:rsid w:val="00B228D4"/>
    <w:rsid w:val="00B231A5"/>
    <w:rsid w:val="00B26EF6"/>
    <w:rsid w:val="00B33726"/>
    <w:rsid w:val="00B34CB8"/>
    <w:rsid w:val="00B36726"/>
    <w:rsid w:val="00B36BD2"/>
    <w:rsid w:val="00B40CCF"/>
    <w:rsid w:val="00B40FA6"/>
    <w:rsid w:val="00B43413"/>
    <w:rsid w:val="00B442F3"/>
    <w:rsid w:val="00B46596"/>
    <w:rsid w:val="00B5038B"/>
    <w:rsid w:val="00B51F07"/>
    <w:rsid w:val="00B52A30"/>
    <w:rsid w:val="00B55AA9"/>
    <w:rsid w:val="00B576FB"/>
    <w:rsid w:val="00B57CDE"/>
    <w:rsid w:val="00B605B3"/>
    <w:rsid w:val="00B607ED"/>
    <w:rsid w:val="00B6409D"/>
    <w:rsid w:val="00B656B4"/>
    <w:rsid w:val="00B65A78"/>
    <w:rsid w:val="00B65EDE"/>
    <w:rsid w:val="00B665B0"/>
    <w:rsid w:val="00B70EED"/>
    <w:rsid w:val="00B7181B"/>
    <w:rsid w:val="00B7209C"/>
    <w:rsid w:val="00B73DBD"/>
    <w:rsid w:val="00B754FE"/>
    <w:rsid w:val="00B75D21"/>
    <w:rsid w:val="00B77A8C"/>
    <w:rsid w:val="00B82AFD"/>
    <w:rsid w:val="00B82F44"/>
    <w:rsid w:val="00B854DA"/>
    <w:rsid w:val="00B86298"/>
    <w:rsid w:val="00B86CF9"/>
    <w:rsid w:val="00B901A9"/>
    <w:rsid w:val="00B92C29"/>
    <w:rsid w:val="00B94BF6"/>
    <w:rsid w:val="00B94EA1"/>
    <w:rsid w:val="00B94EB0"/>
    <w:rsid w:val="00B96D89"/>
    <w:rsid w:val="00B972A0"/>
    <w:rsid w:val="00BA266C"/>
    <w:rsid w:val="00BA2CBC"/>
    <w:rsid w:val="00BA363C"/>
    <w:rsid w:val="00BA5910"/>
    <w:rsid w:val="00BA7E0B"/>
    <w:rsid w:val="00BB3554"/>
    <w:rsid w:val="00BB3CE8"/>
    <w:rsid w:val="00BB43FD"/>
    <w:rsid w:val="00BB6D12"/>
    <w:rsid w:val="00BB7583"/>
    <w:rsid w:val="00BC18F8"/>
    <w:rsid w:val="00BC261C"/>
    <w:rsid w:val="00BC3E94"/>
    <w:rsid w:val="00BC3ED9"/>
    <w:rsid w:val="00BC4B4F"/>
    <w:rsid w:val="00BC5032"/>
    <w:rsid w:val="00BC59CC"/>
    <w:rsid w:val="00BD0579"/>
    <w:rsid w:val="00BD1D69"/>
    <w:rsid w:val="00BD42D8"/>
    <w:rsid w:val="00BD45AE"/>
    <w:rsid w:val="00BE0375"/>
    <w:rsid w:val="00BE1DC0"/>
    <w:rsid w:val="00BE34DD"/>
    <w:rsid w:val="00BE470E"/>
    <w:rsid w:val="00BE7267"/>
    <w:rsid w:val="00BE7523"/>
    <w:rsid w:val="00BE7E71"/>
    <w:rsid w:val="00BF06EC"/>
    <w:rsid w:val="00BF09D3"/>
    <w:rsid w:val="00BF384F"/>
    <w:rsid w:val="00BF5744"/>
    <w:rsid w:val="00BF5944"/>
    <w:rsid w:val="00BF5A88"/>
    <w:rsid w:val="00BF6715"/>
    <w:rsid w:val="00C00519"/>
    <w:rsid w:val="00C014A9"/>
    <w:rsid w:val="00C01BBA"/>
    <w:rsid w:val="00C02420"/>
    <w:rsid w:val="00C04971"/>
    <w:rsid w:val="00C05096"/>
    <w:rsid w:val="00C0615F"/>
    <w:rsid w:val="00C10CCD"/>
    <w:rsid w:val="00C10E53"/>
    <w:rsid w:val="00C10FB4"/>
    <w:rsid w:val="00C1101B"/>
    <w:rsid w:val="00C11D28"/>
    <w:rsid w:val="00C15A97"/>
    <w:rsid w:val="00C16757"/>
    <w:rsid w:val="00C17A11"/>
    <w:rsid w:val="00C20A49"/>
    <w:rsid w:val="00C22965"/>
    <w:rsid w:val="00C22BDC"/>
    <w:rsid w:val="00C25BD9"/>
    <w:rsid w:val="00C30DBA"/>
    <w:rsid w:val="00C40072"/>
    <w:rsid w:val="00C41104"/>
    <w:rsid w:val="00C41134"/>
    <w:rsid w:val="00C416D8"/>
    <w:rsid w:val="00C428D0"/>
    <w:rsid w:val="00C42CAD"/>
    <w:rsid w:val="00C4400E"/>
    <w:rsid w:val="00C44575"/>
    <w:rsid w:val="00C45435"/>
    <w:rsid w:val="00C46B9E"/>
    <w:rsid w:val="00C5163E"/>
    <w:rsid w:val="00C527C3"/>
    <w:rsid w:val="00C552DE"/>
    <w:rsid w:val="00C55BAE"/>
    <w:rsid w:val="00C609C2"/>
    <w:rsid w:val="00C60ABB"/>
    <w:rsid w:val="00C613B0"/>
    <w:rsid w:val="00C666BD"/>
    <w:rsid w:val="00C71560"/>
    <w:rsid w:val="00C7427B"/>
    <w:rsid w:val="00C80E12"/>
    <w:rsid w:val="00C80F74"/>
    <w:rsid w:val="00C84E54"/>
    <w:rsid w:val="00C8621F"/>
    <w:rsid w:val="00C87811"/>
    <w:rsid w:val="00C906E0"/>
    <w:rsid w:val="00C959A0"/>
    <w:rsid w:val="00C969A8"/>
    <w:rsid w:val="00C976E2"/>
    <w:rsid w:val="00C97707"/>
    <w:rsid w:val="00CA1872"/>
    <w:rsid w:val="00CA1D5A"/>
    <w:rsid w:val="00CA349E"/>
    <w:rsid w:val="00CA5910"/>
    <w:rsid w:val="00CA5EE6"/>
    <w:rsid w:val="00CA6A88"/>
    <w:rsid w:val="00CB0D76"/>
    <w:rsid w:val="00CB169A"/>
    <w:rsid w:val="00CB18D5"/>
    <w:rsid w:val="00CB393B"/>
    <w:rsid w:val="00CC064D"/>
    <w:rsid w:val="00CC08D4"/>
    <w:rsid w:val="00CC1B0F"/>
    <w:rsid w:val="00CC4315"/>
    <w:rsid w:val="00CC601F"/>
    <w:rsid w:val="00CD02EB"/>
    <w:rsid w:val="00CD6E9F"/>
    <w:rsid w:val="00CE31AB"/>
    <w:rsid w:val="00CE32B4"/>
    <w:rsid w:val="00CE6A39"/>
    <w:rsid w:val="00CE6BAF"/>
    <w:rsid w:val="00CF0F17"/>
    <w:rsid w:val="00CF17B5"/>
    <w:rsid w:val="00CF2384"/>
    <w:rsid w:val="00CF2A48"/>
    <w:rsid w:val="00CF2BE6"/>
    <w:rsid w:val="00CF2DBD"/>
    <w:rsid w:val="00CF37B7"/>
    <w:rsid w:val="00CF3D80"/>
    <w:rsid w:val="00CF569B"/>
    <w:rsid w:val="00CF7C33"/>
    <w:rsid w:val="00D0142A"/>
    <w:rsid w:val="00D025A9"/>
    <w:rsid w:val="00D03141"/>
    <w:rsid w:val="00D11596"/>
    <w:rsid w:val="00D131F2"/>
    <w:rsid w:val="00D13F95"/>
    <w:rsid w:val="00D15049"/>
    <w:rsid w:val="00D17508"/>
    <w:rsid w:val="00D17EF8"/>
    <w:rsid w:val="00D22A20"/>
    <w:rsid w:val="00D22FC6"/>
    <w:rsid w:val="00D255AC"/>
    <w:rsid w:val="00D318BB"/>
    <w:rsid w:val="00D31E05"/>
    <w:rsid w:val="00D35E4B"/>
    <w:rsid w:val="00D4023D"/>
    <w:rsid w:val="00D40DAB"/>
    <w:rsid w:val="00D42313"/>
    <w:rsid w:val="00D43858"/>
    <w:rsid w:val="00D45220"/>
    <w:rsid w:val="00D45F79"/>
    <w:rsid w:val="00D45FC8"/>
    <w:rsid w:val="00D500CC"/>
    <w:rsid w:val="00D51B8C"/>
    <w:rsid w:val="00D51EF8"/>
    <w:rsid w:val="00D532DF"/>
    <w:rsid w:val="00D550EA"/>
    <w:rsid w:val="00D555B1"/>
    <w:rsid w:val="00D5683A"/>
    <w:rsid w:val="00D6075F"/>
    <w:rsid w:val="00D64A8A"/>
    <w:rsid w:val="00D64ACA"/>
    <w:rsid w:val="00D65EE5"/>
    <w:rsid w:val="00D6635B"/>
    <w:rsid w:val="00D66B98"/>
    <w:rsid w:val="00D72E5C"/>
    <w:rsid w:val="00D74A8F"/>
    <w:rsid w:val="00D76989"/>
    <w:rsid w:val="00D81106"/>
    <w:rsid w:val="00D8155F"/>
    <w:rsid w:val="00D83830"/>
    <w:rsid w:val="00D8408A"/>
    <w:rsid w:val="00D85984"/>
    <w:rsid w:val="00D86118"/>
    <w:rsid w:val="00D8641A"/>
    <w:rsid w:val="00D92897"/>
    <w:rsid w:val="00D9374F"/>
    <w:rsid w:val="00D9654F"/>
    <w:rsid w:val="00D96664"/>
    <w:rsid w:val="00D9771C"/>
    <w:rsid w:val="00D97BF8"/>
    <w:rsid w:val="00DA0331"/>
    <w:rsid w:val="00DA04A7"/>
    <w:rsid w:val="00DA30E3"/>
    <w:rsid w:val="00DA399C"/>
    <w:rsid w:val="00DA43F1"/>
    <w:rsid w:val="00DA5E85"/>
    <w:rsid w:val="00DB01F6"/>
    <w:rsid w:val="00DB1B72"/>
    <w:rsid w:val="00DB4628"/>
    <w:rsid w:val="00DB58AD"/>
    <w:rsid w:val="00DB6134"/>
    <w:rsid w:val="00DD0357"/>
    <w:rsid w:val="00DD18B8"/>
    <w:rsid w:val="00DD1B53"/>
    <w:rsid w:val="00DD2D4F"/>
    <w:rsid w:val="00DD3ECB"/>
    <w:rsid w:val="00DD4201"/>
    <w:rsid w:val="00DD46B2"/>
    <w:rsid w:val="00DD5289"/>
    <w:rsid w:val="00DD5BF9"/>
    <w:rsid w:val="00DD6729"/>
    <w:rsid w:val="00DD760C"/>
    <w:rsid w:val="00DE0FB7"/>
    <w:rsid w:val="00DE3DD6"/>
    <w:rsid w:val="00DE4100"/>
    <w:rsid w:val="00DE458D"/>
    <w:rsid w:val="00DE517B"/>
    <w:rsid w:val="00DE52F2"/>
    <w:rsid w:val="00DE5A5D"/>
    <w:rsid w:val="00DE67A8"/>
    <w:rsid w:val="00DF072F"/>
    <w:rsid w:val="00DF0B84"/>
    <w:rsid w:val="00DF1ACD"/>
    <w:rsid w:val="00DF255F"/>
    <w:rsid w:val="00DF2996"/>
    <w:rsid w:val="00DF4C21"/>
    <w:rsid w:val="00E028F5"/>
    <w:rsid w:val="00E03EA5"/>
    <w:rsid w:val="00E041E8"/>
    <w:rsid w:val="00E05588"/>
    <w:rsid w:val="00E07E81"/>
    <w:rsid w:val="00E10E84"/>
    <w:rsid w:val="00E1125C"/>
    <w:rsid w:val="00E16D83"/>
    <w:rsid w:val="00E17AA2"/>
    <w:rsid w:val="00E235EA"/>
    <w:rsid w:val="00E253BD"/>
    <w:rsid w:val="00E267AB"/>
    <w:rsid w:val="00E27BF3"/>
    <w:rsid w:val="00E30C2C"/>
    <w:rsid w:val="00E311DC"/>
    <w:rsid w:val="00E3126D"/>
    <w:rsid w:val="00E31752"/>
    <w:rsid w:val="00E3534A"/>
    <w:rsid w:val="00E4082C"/>
    <w:rsid w:val="00E435B7"/>
    <w:rsid w:val="00E436A7"/>
    <w:rsid w:val="00E4444A"/>
    <w:rsid w:val="00E44DA1"/>
    <w:rsid w:val="00E46C87"/>
    <w:rsid w:val="00E519F0"/>
    <w:rsid w:val="00E576B4"/>
    <w:rsid w:val="00E61D3A"/>
    <w:rsid w:val="00E62413"/>
    <w:rsid w:val="00E64091"/>
    <w:rsid w:val="00E66237"/>
    <w:rsid w:val="00E66281"/>
    <w:rsid w:val="00E66470"/>
    <w:rsid w:val="00E6710A"/>
    <w:rsid w:val="00E67C64"/>
    <w:rsid w:val="00E71158"/>
    <w:rsid w:val="00E71BDF"/>
    <w:rsid w:val="00E7334E"/>
    <w:rsid w:val="00E81A71"/>
    <w:rsid w:val="00E8267C"/>
    <w:rsid w:val="00E84B84"/>
    <w:rsid w:val="00E86BD7"/>
    <w:rsid w:val="00E901CE"/>
    <w:rsid w:val="00E93A85"/>
    <w:rsid w:val="00E95DE1"/>
    <w:rsid w:val="00E97E26"/>
    <w:rsid w:val="00EA0931"/>
    <w:rsid w:val="00EA1306"/>
    <w:rsid w:val="00EA17D6"/>
    <w:rsid w:val="00EA1B72"/>
    <w:rsid w:val="00EA3A1A"/>
    <w:rsid w:val="00EA49A8"/>
    <w:rsid w:val="00EA4F51"/>
    <w:rsid w:val="00EB0314"/>
    <w:rsid w:val="00EB087C"/>
    <w:rsid w:val="00EB2DD7"/>
    <w:rsid w:val="00EB56F6"/>
    <w:rsid w:val="00EB5A62"/>
    <w:rsid w:val="00EB61E2"/>
    <w:rsid w:val="00EB7798"/>
    <w:rsid w:val="00EC0471"/>
    <w:rsid w:val="00EC3A1C"/>
    <w:rsid w:val="00EC3C0E"/>
    <w:rsid w:val="00EC3D04"/>
    <w:rsid w:val="00EC3EC3"/>
    <w:rsid w:val="00EC539A"/>
    <w:rsid w:val="00EC608B"/>
    <w:rsid w:val="00EC6DFA"/>
    <w:rsid w:val="00ED39C3"/>
    <w:rsid w:val="00ED66FE"/>
    <w:rsid w:val="00ED68AB"/>
    <w:rsid w:val="00EE3D44"/>
    <w:rsid w:val="00EE41E2"/>
    <w:rsid w:val="00EE60EE"/>
    <w:rsid w:val="00EF1906"/>
    <w:rsid w:val="00EF1953"/>
    <w:rsid w:val="00EF2347"/>
    <w:rsid w:val="00EF2D9E"/>
    <w:rsid w:val="00EF30B1"/>
    <w:rsid w:val="00EF3BC8"/>
    <w:rsid w:val="00EF7F7D"/>
    <w:rsid w:val="00F003DC"/>
    <w:rsid w:val="00F00476"/>
    <w:rsid w:val="00F00900"/>
    <w:rsid w:val="00F012AB"/>
    <w:rsid w:val="00F0232C"/>
    <w:rsid w:val="00F023FE"/>
    <w:rsid w:val="00F04FE7"/>
    <w:rsid w:val="00F054FC"/>
    <w:rsid w:val="00F06E3E"/>
    <w:rsid w:val="00F07308"/>
    <w:rsid w:val="00F0773C"/>
    <w:rsid w:val="00F10ABD"/>
    <w:rsid w:val="00F10E90"/>
    <w:rsid w:val="00F1558B"/>
    <w:rsid w:val="00F15B84"/>
    <w:rsid w:val="00F15DD6"/>
    <w:rsid w:val="00F16CBD"/>
    <w:rsid w:val="00F17078"/>
    <w:rsid w:val="00F21394"/>
    <w:rsid w:val="00F21C36"/>
    <w:rsid w:val="00F2420F"/>
    <w:rsid w:val="00F26D19"/>
    <w:rsid w:val="00F3234E"/>
    <w:rsid w:val="00F33F66"/>
    <w:rsid w:val="00F372CE"/>
    <w:rsid w:val="00F419B2"/>
    <w:rsid w:val="00F4233A"/>
    <w:rsid w:val="00F42B22"/>
    <w:rsid w:val="00F43272"/>
    <w:rsid w:val="00F45EBD"/>
    <w:rsid w:val="00F505EF"/>
    <w:rsid w:val="00F509FC"/>
    <w:rsid w:val="00F50B67"/>
    <w:rsid w:val="00F515F7"/>
    <w:rsid w:val="00F52831"/>
    <w:rsid w:val="00F53B73"/>
    <w:rsid w:val="00F53D3E"/>
    <w:rsid w:val="00F56C3E"/>
    <w:rsid w:val="00F60C95"/>
    <w:rsid w:val="00F61714"/>
    <w:rsid w:val="00F6434D"/>
    <w:rsid w:val="00F65870"/>
    <w:rsid w:val="00F7015E"/>
    <w:rsid w:val="00F7297C"/>
    <w:rsid w:val="00F73B56"/>
    <w:rsid w:val="00F76C6F"/>
    <w:rsid w:val="00F777FA"/>
    <w:rsid w:val="00F77D99"/>
    <w:rsid w:val="00F817C9"/>
    <w:rsid w:val="00F820A6"/>
    <w:rsid w:val="00F828AE"/>
    <w:rsid w:val="00F83282"/>
    <w:rsid w:val="00F8540B"/>
    <w:rsid w:val="00F85ED6"/>
    <w:rsid w:val="00F91098"/>
    <w:rsid w:val="00F917FF"/>
    <w:rsid w:val="00F9398C"/>
    <w:rsid w:val="00F9535D"/>
    <w:rsid w:val="00F97BF7"/>
    <w:rsid w:val="00FA0D68"/>
    <w:rsid w:val="00FA2710"/>
    <w:rsid w:val="00FA43C6"/>
    <w:rsid w:val="00FA5090"/>
    <w:rsid w:val="00FA53DC"/>
    <w:rsid w:val="00FA7229"/>
    <w:rsid w:val="00FA7F61"/>
    <w:rsid w:val="00FB554A"/>
    <w:rsid w:val="00FB588A"/>
    <w:rsid w:val="00FC0694"/>
    <w:rsid w:val="00FC1955"/>
    <w:rsid w:val="00FC470A"/>
    <w:rsid w:val="00FC4FC5"/>
    <w:rsid w:val="00FC6828"/>
    <w:rsid w:val="00FC6982"/>
    <w:rsid w:val="00FC6F29"/>
    <w:rsid w:val="00FD1341"/>
    <w:rsid w:val="00FD2F47"/>
    <w:rsid w:val="00FD4519"/>
    <w:rsid w:val="00FD690E"/>
    <w:rsid w:val="00FD7C7C"/>
    <w:rsid w:val="00FE363C"/>
    <w:rsid w:val="00FE3AE2"/>
    <w:rsid w:val="00FE4A4B"/>
    <w:rsid w:val="00FE4DEA"/>
    <w:rsid w:val="00FE58DA"/>
    <w:rsid w:val="00FF1E9C"/>
    <w:rsid w:val="00FF5097"/>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rsid w:val="009A2CBA"/>
    <w:rPr>
      <w:rFonts w:eastAsiaTheme="majorEastAsia" w:cstheme="majorBidi"/>
      <w:b/>
      <w:bCs/>
      <w:szCs w:val="26"/>
    </w:rPr>
  </w:style>
  <w:style w:type="character" w:customStyle="1" w:styleId="Heading3Char">
    <w:name w:val="Heading 3 Char"/>
    <w:basedOn w:val="DefaultParagraphFont"/>
    <w:link w:val="Heading3"/>
    <w:uiPriority w:val="9"/>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 w:type="numbering" w:customStyle="1" w:styleId="NoList1">
    <w:name w:val="No List1"/>
    <w:next w:val="NoList"/>
    <w:uiPriority w:val="99"/>
    <w:semiHidden/>
    <w:unhideWhenUsed/>
    <w:rsid w:val="00D555B1"/>
  </w:style>
  <w:style w:type="paragraph" w:customStyle="1" w:styleId="filter">
    <w:name w:val="filter"/>
    <w:basedOn w:val="Normal"/>
    <w:rsid w:val="00D555B1"/>
    <w:pPr>
      <w:spacing w:before="100" w:beforeAutospacing="1" w:after="100" w:afterAutospacing="1"/>
    </w:pPr>
    <w:rPr>
      <w:rFonts w:eastAsia="Times New Roman" w:cs="Times New Roman"/>
    </w:rPr>
  </w:style>
  <w:style w:type="paragraph" w:customStyle="1" w:styleId="grid-50">
    <w:name w:val="grid-50"/>
    <w:basedOn w:val="Normal"/>
    <w:rsid w:val="00D555B1"/>
    <w:pPr>
      <w:spacing w:before="100" w:beforeAutospacing="1" w:after="100" w:afterAutospacing="1"/>
    </w:pPr>
    <w:rPr>
      <w:rFonts w:eastAsia="Times New Roman" w:cs="Times New Roman"/>
    </w:rPr>
  </w:style>
  <w:style w:type="paragraph" w:customStyle="1" w:styleId="grid-100">
    <w:name w:val="grid-100"/>
    <w:basedOn w:val="Normal"/>
    <w:rsid w:val="00D555B1"/>
    <w:pPr>
      <w:spacing w:before="100" w:beforeAutospacing="1" w:after="100" w:afterAutospacing="1"/>
    </w:pPr>
    <w:rPr>
      <w:rFonts w:eastAsia="Times New Roman" w:cs="Times New Roman"/>
    </w:rPr>
  </w:style>
  <w:style w:type="character" w:customStyle="1" w:styleId="Title1">
    <w:name w:val="Title1"/>
    <w:basedOn w:val="DefaultParagraphFont"/>
    <w:rsid w:val="00D555B1"/>
  </w:style>
  <w:style w:type="character" w:customStyle="1" w:styleId="billnumber">
    <w:name w:val="billnumber"/>
    <w:basedOn w:val="DefaultParagraphFont"/>
    <w:rsid w:val="00D555B1"/>
  </w:style>
  <w:style w:type="character" w:customStyle="1" w:styleId="billtitle">
    <w:name w:val="billtitle"/>
    <w:basedOn w:val="DefaultParagraphFont"/>
    <w:rsid w:val="00D555B1"/>
  </w:style>
  <w:style w:type="character" w:customStyle="1" w:styleId="newwindowico16">
    <w:name w:val="newwindowico16"/>
    <w:basedOn w:val="DefaultParagraphFont"/>
    <w:rsid w:val="00D555B1"/>
  </w:style>
  <w:style w:type="paragraph" w:customStyle="1" w:styleId="bold">
    <w:name w:val="bold"/>
    <w:basedOn w:val="Normal"/>
    <w:rsid w:val="00D555B1"/>
    <w:pPr>
      <w:spacing w:before="100" w:beforeAutospacing="1" w:after="100" w:afterAutospacing="1"/>
    </w:pPr>
    <w:rPr>
      <w:rFonts w:eastAsia="Times New Roman" w:cs="Times New Roman"/>
    </w:rPr>
  </w:style>
  <w:style w:type="paragraph" w:customStyle="1" w:styleId="seal">
    <w:name w:val="seal"/>
    <w:basedOn w:val="Normal"/>
    <w:rsid w:val="00D555B1"/>
    <w:pPr>
      <w:spacing w:before="100" w:beforeAutospacing="1" w:after="100" w:afterAutospacing="1"/>
    </w:pPr>
    <w:rPr>
      <w:rFonts w:eastAsia="Times New Roman" w:cs="Times New Roman"/>
    </w:rPr>
  </w:style>
  <w:style w:type="character" w:customStyle="1" w:styleId="newwindowwhiteico16">
    <w:name w:val="newwindowwhiteico16"/>
    <w:basedOn w:val="DefaultParagraphFont"/>
    <w:rsid w:val="00D555B1"/>
  </w:style>
  <w:style w:type="character" w:customStyle="1" w:styleId="noprint">
    <w:name w:val="noprint"/>
    <w:basedOn w:val="DefaultParagraphFont"/>
    <w:rsid w:val="00D555B1"/>
  </w:style>
  <w:style w:type="numbering" w:customStyle="1" w:styleId="NoList2">
    <w:name w:val="No List2"/>
    <w:next w:val="NoList"/>
    <w:uiPriority w:val="99"/>
    <w:semiHidden/>
    <w:unhideWhenUsed/>
    <w:rsid w:val="00BE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8470">
      <w:bodyDiv w:val="1"/>
      <w:marLeft w:val="0"/>
      <w:marRight w:val="0"/>
      <w:marTop w:val="0"/>
      <w:marBottom w:val="0"/>
      <w:divBdr>
        <w:top w:val="none" w:sz="0" w:space="0" w:color="auto"/>
        <w:left w:val="none" w:sz="0" w:space="0" w:color="auto"/>
        <w:bottom w:val="none" w:sz="0" w:space="0" w:color="auto"/>
        <w:right w:val="none" w:sz="0" w:space="0" w:color="auto"/>
      </w:divBdr>
      <w:divsChild>
        <w:div w:id="219170340">
          <w:marLeft w:val="0"/>
          <w:marRight w:val="0"/>
          <w:marTop w:val="0"/>
          <w:marBottom w:val="0"/>
          <w:divBdr>
            <w:top w:val="none" w:sz="0" w:space="0" w:color="auto"/>
            <w:left w:val="none" w:sz="0" w:space="0" w:color="auto"/>
            <w:bottom w:val="none" w:sz="0" w:space="0" w:color="auto"/>
            <w:right w:val="none" w:sz="0" w:space="0" w:color="auto"/>
          </w:divBdr>
          <w:divsChild>
            <w:div w:id="608200134">
              <w:marLeft w:val="0"/>
              <w:marRight w:val="0"/>
              <w:marTop w:val="0"/>
              <w:marBottom w:val="0"/>
              <w:divBdr>
                <w:top w:val="none" w:sz="0" w:space="0" w:color="auto"/>
                <w:left w:val="none" w:sz="0" w:space="0" w:color="auto"/>
                <w:bottom w:val="none" w:sz="0" w:space="0" w:color="auto"/>
                <w:right w:val="none" w:sz="0" w:space="0" w:color="auto"/>
              </w:divBdr>
              <w:divsChild>
                <w:div w:id="2089381303">
                  <w:marLeft w:val="0"/>
                  <w:marRight w:val="0"/>
                  <w:marTop w:val="0"/>
                  <w:marBottom w:val="0"/>
                  <w:divBdr>
                    <w:top w:val="none" w:sz="0" w:space="0" w:color="auto"/>
                    <w:left w:val="none" w:sz="0" w:space="0" w:color="auto"/>
                    <w:bottom w:val="none" w:sz="0" w:space="0" w:color="auto"/>
                    <w:right w:val="none" w:sz="0" w:space="0" w:color="auto"/>
                  </w:divBdr>
                  <w:divsChild>
                    <w:div w:id="2073311409">
                      <w:marLeft w:val="0"/>
                      <w:marRight w:val="0"/>
                      <w:marTop w:val="0"/>
                      <w:marBottom w:val="0"/>
                      <w:divBdr>
                        <w:top w:val="none" w:sz="0" w:space="0" w:color="auto"/>
                        <w:left w:val="none" w:sz="0" w:space="0" w:color="auto"/>
                        <w:bottom w:val="none" w:sz="0" w:space="0" w:color="auto"/>
                        <w:right w:val="none" w:sz="0" w:space="0" w:color="auto"/>
                      </w:divBdr>
                      <w:divsChild>
                        <w:div w:id="1746948602">
                          <w:marLeft w:val="0"/>
                          <w:marRight w:val="0"/>
                          <w:marTop w:val="0"/>
                          <w:marBottom w:val="0"/>
                          <w:divBdr>
                            <w:top w:val="none" w:sz="0" w:space="0" w:color="auto"/>
                            <w:left w:val="none" w:sz="0" w:space="0" w:color="auto"/>
                            <w:bottom w:val="none" w:sz="0" w:space="0" w:color="auto"/>
                            <w:right w:val="none" w:sz="0" w:space="0" w:color="auto"/>
                          </w:divBdr>
                          <w:divsChild>
                            <w:div w:id="94643252">
                              <w:marLeft w:val="0"/>
                              <w:marRight w:val="0"/>
                              <w:marTop w:val="0"/>
                              <w:marBottom w:val="0"/>
                              <w:divBdr>
                                <w:top w:val="none" w:sz="0" w:space="0" w:color="auto"/>
                                <w:left w:val="none" w:sz="0" w:space="0" w:color="auto"/>
                                <w:bottom w:val="none" w:sz="0" w:space="0" w:color="auto"/>
                                <w:right w:val="none" w:sz="0" w:space="0" w:color="auto"/>
                              </w:divBdr>
                              <w:divsChild>
                                <w:div w:id="839083072">
                                  <w:marLeft w:val="0"/>
                                  <w:marRight w:val="0"/>
                                  <w:marTop w:val="0"/>
                                  <w:marBottom w:val="0"/>
                                  <w:divBdr>
                                    <w:top w:val="none" w:sz="0" w:space="0" w:color="auto"/>
                                    <w:left w:val="none" w:sz="0" w:space="0" w:color="auto"/>
                                    <w:bottom w:val="none" w:sz="0" w:space="0" w:color="auto"/>
                                    <w:right w:val="none" w:sz="0" w:space="0" w:color="auto"/>
                                  </w:divBdr>
                                  <w:divsChild>
                                    <w:div w:id="15642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65394">
      <w:marLeft w:val="0"/>
      <w:marRight w:val="0"/>
      <w:marTop w:val="0"/>
      <w:marBottom w:val="0"/>
      <w:divBdr>
        <w:top w:val="none" w:sz="0" w:space="0" w:color="auto"/>
        <w:left w:val="none" w:sz="0" w:space="0" w:color="auto"/>
        <w:bottom w:val="none" w:sz="0" w:space="0" w:color="auto"/>
        <w:right w:val="none" w:sz="0" w:space="0" w:color="auto"/>
      </w:divBdr>
    </w:div>
    <w:div w:id="280262449">
      <w:bodyDiv w:val="1"/>
      <w:marLeft w:val="0"/>
      <w:marRight w:val="0"/>
      <w:marTop w:val="0"/>
      <w:marBottom w:val="0"/>
      <w:divBdr>
        <w:top w:val="none" w:sz="0" w:space="0" w:color="auto"/>
        <w:left w:val="none" w:sz="0" w:space="0" w:color="auto"/>
        <w:bottom w:val="none" w:sz="0" w:space="0" w:color="auto"/>
        <w:right w:val="none" w:sz="0" w:space="0" w:color="auto"/>
      </w:divBdr>
    </w:div>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96979">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33560924">
      <w:bodyDiv w:val="1"/>
      <w:marLeft w:val="0"/>
      <w:marRight w:val="0"/>
      <w:marTop w:val="0"/>
      <w:marBottom w:val="0"/>
      <w:divBdr>
        <w:top w:val="none" w:sz="0" w:space="0" w:color="auto"/>
        <w:left w:val="none" w:sz="0" w:space="0" w:color="auto"/>
        <w:bottom w:val="none" w:sz="0" w:space="0" w:color="auto"/>
        <w:right w:val="none" w:sz="0" w:space="0" w:color="auto"/>
      </w:divBdr>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77007338">
      <w:bodyDiv w:val="1"/>
      <w:marLeft w:val="0"/>
      <w:marRight w:val="0"/>
      <w:marTop w:val="0"/>
      <w:marBottom w:val="0"/>
      <w:divBdr>
        <w:top w:val="none" w:sz="0" w:space="0" w:color="auto"/>
        <w:left w:val="none" w:sz="0" w:space="0" w:color="auto"/>
        <w:bottom w:val="none" w:sz="0" w:space="0" w:color="auto"/>
        <w:right w:val="none" w:sz="0" w:space="0" w:color="auto"/>
      </w:divBdr>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752626786">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456004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990477611">
      <w:marLeft w:val="0"/>
      <w:marRight w:val="0"/>
      <w:marTop w:val="0"/>
      <w:marBottom w:val="0"/>
      <w:divBdr>
        <w:top w:val="none" w:sz="0" w:space="0" w:color="auto"/>
        <w:left w:val="none" w:sz="0" w:space="0" w:color="auto"/>
        <w:bottom w:val="none" w:sz="0" w:space="0" w:color="auto"/>
        <w:right w:val="none" w:sz="0" w:space="0" w:color="auto"/>
      </w:divBdr>
      <w:divsChild>
        <w:div w:id="254553600">
          <w:marLeft w:val="0"/>
          <w:marRight w:val="0"/>
          <w:marTop w:val="0"/>
          <w:marBottom w:val="0"/>
          <w:divBdr>
            <w:top w:val="none" w:sz="0" w:space="0" w:color="auto"/>
            <w:left w:val="none" w:sz="0" w:space="0" w:color="auto"/>
            <w:bottom w:val="none" w:sz="0" w:space="0" w:color="auto"/>
            <w:right w:val="none" w:sz="0" w:space="0" w:color="auto"/>
          </w:divBdr>
          <w:divsChild>
            <w:div w:id="148599719">
              <w:marLeft w:val="0"/>
              <w:marRight w:val="0"/>
              <w:marTop w:val="0"/>
              <w:marBottom w:val="0"/>
              <w:divBdr>
                <w:top w:val="none" w:sz="0" w:space="0" w:color="auto"/>
                <w:left w:val="none" w:sz="0" w:space="0" w:color="auto"/>
                <w:bottom w:val="none" w:sz="0" w:space="0" w:color="auto"/>
                <w:right w:val="none" w:sz="0" w:space="0" w:color="auto"/>
              </w:divBdr>
              <w:divsChild>
                <w:div w:id="572202357">
                  <w:marLeft w:val="0"/>
                  <w:marRight w:val="0"/>
                  <w:marTop w:val="0"/>
                  <w:marBottom w:val="0"/>
                  <w:divBdr>
                    <w:top w:val="none" w:sz="0" w:space="0" w:color="auto"/>
                    <w:left w:val="none" w:sz="0" w:space="0" w:color="auto"/>
                    <w:bottom w:val="none" w:sz="0" w:space="0" w:color="auto"/>
                    <w:right w:val="none" w:sz="0" w:space="0" w:color="auto"/>
                  </w:divBdr>
                </w:div>
                <w:div w:id="145168136">
                  <w:marLeft w:val="0"/>
                  <w:marRight w:val="0"/>
                  <w:marTop w:val="0"/>
                  <w:marBottom w:val="0"/>
                  <w:divBdr>
                    <w:top w:val="none" w:sz="0" w:space="0" w:color="auto"/>
                    <w:left w:val="none" w:sz="0" w:space="0" w:color="auto"/>
                    <w:bottom w:val="none" w:sz="0" w:space="0" w:color="auto"/>
                    <w:right w:val="none" w:sz="0" w:space="0" w:color="auto"/>
                  </w:divBdr>
                  <w:divsChild>
                    <w:div w:id="1140416273">
                      <w:marLeft w:val="0"/>
                      <w:marRight w:val="0"/>
                      <w:marTop w:val="0"/>
                      <w:marBottom w:val="0"/>
                      <w:divBdr>
                        <w:top w:val="none" w:sz="0" w:space="0" w:color="auto"/>
                        <w:left w:val="none" w:sz="0" w:space="0" w:color="auto"/>
                        <w:bottom w:val="none" w:sz="0" w:space="0" w:color="auto"/>
                        <w:right w:val="none" w:sz="0" w:space="0" w:color="auto"/>
                      </w:divBdr>
                    </w:div>
                    <w:div w:id="1137450860">
                      <w:marLeft w:val="0"/>
                      <w:marRight w:val="0"/>
                      <w:marTop w:val="0"/>
                      <w:marBottom w:val="0"/>
                      <w:divBdr>
                        <w:top w:val="none" w:sz="0" w:space="0" w:color="auto"/>
                        <w:left w:val="none" w:sz="0" w:space="0" w:color="auto"/>
                        <w:bottom w:val="none" w:sz="0" w:space="0" w:color="auto"/>
                        <w:right w:val="none" w:sz="0" w:space="0" w:color="auto"/>
                      </w:divBdr>
                    </w:div>
                    <w:div w:id="2142529405">
                      <w:marLeft w:val="0"/>
                      <w:marRight w:val="0"/>
                      <w:marTop w:val="0"/>
                      <w:marBottom w:val="0"/>
                      <w:divBdr>
                        <w:top w:val="none" w:sz="0" w:space="0" w:color="auto"/>
                        <w:left w:val="none" w:sz="0" w:space="0" w:color="auto"/>
                        <w:bottom w:val="none" w:sz="0" w:space="0" w:color="auto"/>
                        <w:right w:val="none" w:sz="0" w:space="0" w:color="auto"/>
                      </w:divBdr>
                    </w:div>
                    <w:div w:id="1170218747">
                      <w:marLeft w:val="0"/>
                      <w:marRight w:val="0"/>
                      <w:marTop w:val="0"/>
                      <w:marBottom w:val="0"/>
                      <w:divBdr>
                        <w:top w:val="none" w:sz="0" w:space="0" w:color="auto"/>
                        <w:left w:val="none" w:sz="0" w:space="0" w:color="auto"/>
                        <w:bottom w:val="none" w:sz="0" w:space="0" w:color="auto"/>
                        <w:right w:val="none" w:sz="0" w:space="0" w:color="auto"/>
                      </w:divBdr>
                    </w:div>
                  </w:divsChild>
                </w:div>
                <w:div w:id="2030713748">
                  <w:marLeft w:val="0"/>
                  <w:marRight w:val="0"/>
                  <w:marTop w:val="0"/>
                  <w:marBottom w:val="0"/>
                  <w:divBdr>
                    <w:top w:val="none" w:sz="0" w:space="0" w:color="auto"/>
                    <w:left w:val="none" w:sz="0" w:space="0" w:color="auto"/>
                    <w:bottom w:val="none" w:sz="0" w:space="0" w:color="auto"/>
                    <w:right w:val="none" w:sz="0" w:space="0" w:color="auto"/>
                  </w:divBdr>
                  <w:divsChild>
                    <w:div w:id="615065699">
                      <w:marLeft w:val="0"/>
                      <w:marRight w:val="0"/>
                      <w:marTop w:val="0"/>
                      <w:marBottom w:val="0"/>
                      <w:divBdr>
                        <w:top w:val="none" w:sz="0" w:space="0" w:color="auto"/>
                        <w:left w:val="none" w:sz="0" w:space="0" w:color="auto"/>
                        <w:bottom w:val="none" w:sz="0" w:space="0" w:color="auto"/>
                        <w:right w:val="none" w:sz="0" w:space="0" w:color="auto"/>
                      </w:divBdr>
                    </w:div>
                  </w:divsChild>
                </w:div>
                <w:div w:id="1931506365">
                  <w:marLeft w:val="0"/>
                  <w:marRight w:val="0"/>
                  <w:marTop w:val="0"/>
                  <w:marBottom w:val="0"/>
                  <w:divBdr>
                    <w:top w:val="none" w:sz="0" w:space="0" w:color="auto"/>
                    <w:left w:val="none" w:sz="0" w:space="0" w:color="auto"/>
                    <w:bottom w:val="none" w:sz="0" w:space="0" w:color="auto"/>
                    <w:right w:val="none" w:sz="0" w:space="0" w:color="auto"/>
                  </w:divBdr>
                  <w:divsChild>
                    <w:div w:id="635263916">
                      <w:marLeft w:val="0"/>
                      <w:marRight w:val="0"/>
                      <w:marTop w:val="0"/>
                      <w:marBottom w:val="0"/>
                      <w:divBdr>
                        <w:top w:val="none" w:sz="0" w:space="0" w:color="auto"/>
                        <w:left w:val="none" w:sz="0" w:space="0" w:color="auto"/>
                        <w:bottom w:val="none" w:sz="0" w:space="0" w:color="auto"/>
                        <w:right w:val="none" w:sz="0" w:space="0" w:color="auto"/>
                      </w:divBdr>
                    </w:div>
                  </w:divsChild>
                </w:div>
                <w:div w:id="2146315617">
                  <w:marLeft w:val="0"/>
                  <w:marRight w:val="0"/>
                  <w:marTop w:val="0"/>
                  <w:marBottom w:val="0"/>
                  <w:divBdr>
                    <w:top w:val="none" w:sz="0" w:space="0" w:color="auto"/>
                    <w:left w:val="none" w:sz="0" w:space="0" w:color="auto"/>
                    <w:bottom w:val="none" w:sz="0" w:space="0" w:color="auto"/>
                    <w:right w:val="none" w:sz="0" w:space="0" w:color="auto"/>
                  </w:divBdr>
                  <w:divsChild>
                    <w:div w:id="1420523972">
                      <w:marLeft w:val="0"/>
                      <w:marRight w:val="0"/>
                      <w:marTop w:val="0"/>
                      <w:marBottom w:val="0"/>
                      <w:divBdr>
                        <w:top w:val="none" w:sz="0" w:space="0" w:color="auto"/>
                        <w:left w:val="none" w:sz="0" w:space="0" w:color="auto"/>
                        <w:bottom w:val="none" w:sz="0" w:space="0" w:color="auto"/>
                        <w:right w:val="none" w:sz="0" w:space="0" w:color="auto"/>
                      </w:divBdr>
                    </w:div>
                    <w:div w:id="1884056939">
                      <w:marLeft w:val="0"/>
                      <w:marRight w:val="0"/>
                      <w:marTop w:val="0"/>
                      <w:marBottom w:val="0"/>
                      <w:divBdr>
                        <w:top w:val="none" w:sz="0" w:space="0" w:color="auto"/>
                        <w:left w:val="none" w:sz="0" w:space="0" w:color="auto"/>
                        <w:bottom w:val="none" w:sz="0" w:space="0" w:color="auto"/>
                        <w:right w:val="none" w:sz="0" w:space="0" w:color="auto"/>
                      </w:divBdr>
                    </w:div>
                    <w:div w:id="1391539140">
                      <w:marLeft w:val="0"/>
                      <w:marRight w:val="0"/>
                      <w:marTop w:val="0"/>
                      <w:marBottom w:val="0"/>
                      <w:divBdr>
                        <w:top w:val="none" w:sz="0" w:space="0" w:color="auto"/>
                        <w:left w:val="none" w:sz="0" w:space="0" w:color="auto"/>
                        <w:bottom w:val="none" w:sz="0" w:space="0" w:color="auto"/>
                        <w:right w:val="none" w:sz="0" w:space="0" w:color="auto"/>
                      </w:divBdr>
                    </w:div>
                  </w:divsChild>
                </w:div>
                <w:div w:id="1214659879">
                  <w:marLeft w:val="0"/>
                  <w:marRight w:val="0"/>
                  <w:marTop w:val="0"/>
                  <w:marBottom w:val="0"/>
                  <w:divBdr>
                    <w:top w:val="none" w:sz="0" w:space="0" w:color="auto"/>
                    <w:left w:val="none" w:sz="0" w:space="0" w:color="auto"/>
                    <w:bottom w:val="none" w:sz="0" w:space="0" w:color="auto"/>
                    <w:right w:val="none" w:sz="0" w:space="0" w:color="auto"/>
                  </w:divBdr>
                  <w:divsChild>
                    <w:div w:id="1942293951">
                      <w:marLeft w:val="0"/>
                      <w:marRight w:val="0"/>
                      <w:marTop w:val="0"/>
                      <w:marBottom w:val="0"/>
                      <w:divBdr>
                        <w:top w:val="none" w:sz="0" w:space="0" w:color="auto"/>
                        <w:left w:val="none" w:sz="0" w:space="0" w:color="auto"/>
                        <w:bottom w:val="none" w:sz="0" w:space="0" w:color="auto"/>
                        <w:right w:val="none" w:sz="0" w:space="0" w:color="auto"/>
                      </w:divBdr>
                    </w:div>
                    <w:div w:id="1870995070">
                      <w:marLeft w:val="0"/>
                      <w:marRight w:val="0"/>
                      <w:marTop w:val="0"/>
                      <w:marBottom w:val="0"/>
                      <w:divBdr>
                        <w:top w:val="none" w:sz="0" w:space="0" w:color="auto"/>
                        <w:left w:val="none" w:sz="0" w:space="0" w:color="auto"/>
                        <w:bottom w:val="none" w:sz="0" w:space="0" w:color="auto"/>
                        <w:right w:val="none" w:sz="0" w:space="0" w:color="auto"/>
                      </w:divBdr>
                    </w:div>
                  </w:divsChild>
                </w:div>
                <w:div w:id="1066336747">
                  <w:marLeft w:val="0"/>
                  <w:marRight w:val="0"/>
                  <w:marTop w:val="0"/>
                  <w:marBottom w:val="0"/>
                  <w:divBdr>
                    <w:top w:val="none" w:sz="0" w:space="0" w:color="auto"/>
                    <w:left w:val="none" w:sz="0" w:space="0" w:color="auto"/>
                    <w:bottom w:val="none" w:sz="0" w:space="0" w:color="auto"/>
                    <w:right w:val="none" w:sz="0" w:space="0" w:color="auto"/>
                  </w:divBdr>
                  <w:divsChild>
                    <w:div w:id="321860939">
                      <w:marLeft w:val="0"/>
                      <w:marRight w:val="0"/>
                      <w:marTop w:val="0"/>
                      <w:marBottom w:val="0"/>
                      <w:divBdr>
                        <w:top w:val="none" w:sz="0" w:space="0" w:color="auto"/>
                        <w:left w:val="none" w:sz="0" w:space="0" w:color="auto"/>
                        <w:bottom w:val="none" w:sz="0" w:space="0" w:color="auto"/>
                        <w:right w:val="none" w:sz="0" w:space="0" w:color="auto"/>
                      </w:divBdr>
                    </w:div>
                    <w:div w:id="284627797">
                      <w:marLeft w:val="0"/>
                      <w:marRight w:val="0"/>
                      <w:marTop w:val="0"/>
                      <w:marBottom w:val="0"/>
                      <w:divBdr>
                        <w:top w:val="none" w:sz="0" w:space="0" w:color="auto"/>
                        <w:left w:val="none" w:sz="0" w:space="0" w:color="auto"/>
                        <w:bottom w:val="none" w:sz="0" w:space="0" w:color="auto"/>
                        <w:right w:val="none" w:sz="0" w:space="0" w:color="auto"/>
                      </w:divBdr>
                    </w:div>
                  </w:divsChild>
                </w:div>
                <w:div w:id="368382885">
                  <w:marLeft w:val="0"/>
                  <w:marRight w:val="0"/>
                  <w:marTop w:val="0"/>
                  <w:marBottom w:val="0"/>
                  <w:divBdr>
                    <w:top w:val="none" w:sz="0" w:space="0" w:color="auto"/>
                    <w:left w:val="none" w:sz="0" w:space="0" w:color="auto"/>
                    <w:bottom w:val="none" w:sz="0" w:space="0" w:color="auto"/>
                    <w:right w:val="none" w:sz="0" w:space="0" w:color="auto"/>
                  </w:divBdr>
                  <w:divsChild>
                    <w:div w:id="790129392">
                      <w:marLeft w:val="0"/>
                      <w:marRight w:val="0"/>
                      <w:marTop w:val="0"/>
                      <w:marBottom w:val="0"/>
                      <w:divBdr>
                        <w:top w:val="none" w:sz="0" w:space="0" w:color="auto"/>
                        <w:left w:val="none" w:sz="0" w:space="0" w:color="auto"/>
                        <w:bottom w:val="none" w:sz="0" w:space="0" w:color="auto"/>
                        <w:right w:val="none" w:sz="0" w:space="0" w:color="auto"/>
                      </w:divBdr>
                    </w:div>
                    <w:div w:id="319770743">
                      <w:marLeft w:val="0"/>
                      <w:marRight w:val="0"/>
                      <w:marTop w:val="0"/>
                      <w:marBottom w:val="0"/>
                      <w:divBdr>
                        <w:top w:val="none" w:sz="0" w:space="0" w:color="auto"/>
                        <w:left w:val="none" w:sz="0" w:space="0" w:color="auto"/>
                        <w:bottom w:val="none" w:sz="0" w:space="0" w:color="auto"/>
                        <w:right w:val="none" w:sz="0" w:space="0" w:color="auto"/>
                      </w:divBdr>
                    </w:div>
                  </w:divsChild>
                </w:div>
                <w:div w:id="2139451302">
                  <w:marLeft w:val="0"/>
                  <w:marRight w:val="0"/>
                  <w:marTop w:val="0"/>
                  <w:marBottom w:val="0"/>
                  <w:divBdr>
                    <w:top w:val="none" w:sz="0" w:space="0" w:color="auto"/>
                    <w:left w:val="none" w:sz="0" w:space="0" w:color="auto"/>
                    <w:bottom w:val="none" w:sz="0" w:space="0" w:color="auto"/>
                    <w:right w:val="none" w:sz="0" w:space="0" w:color="auto"/>
                  </w:divBdr>
                  <w:divsChild>
                    <w:div w:id="828600889">
                      <w:marLeft w:val="0"/>
                      <w:marRight w:val="0"/>
                      <w:marTop w:val="0"/>
                      <w:marBottom w:val="0"/>
                      <w:divBdr>
                        <w:top w:val="none" w:sz="0" w:space="0" w:color="auto"/>
                        <w:left w:val="none" w:sz="0" w:space="0" w:color="auto"/>
                        <w:bottom w:val="none" w:sz="0" w:space="0" w:color="auto"/>
                        <w:right w:val="none" w:sz="0" w:space="0" w:color="auto"/>
                      </w:divBdr>
                    </w:div>
                    <w:div w:id="403601436">
                      <w:marLeft w:val="0"/>
                      <w:marRight w:val="0"/>
                      <w:marTop w:val="0"/>
                      <w:marBottom w:val="0"/>
                      <w:divBdr>
                        <w:top w:val="none" w:sz="0" w:space="0" w:color="auto"/>
                        <w:left w:val="none" w:sz="0" w:space="0" w:color="auto"/>
                        <w:bottom w:val="none" w:sz="0" w:space="0" w:color="auto"/>
                        <w:right w:val="none" w:sz="0" w:space="0" w:color="auto"/>
                      </w:divBdr>
                    </w:div>
                  </w:divsChild>
                </w:div>
                <w:div w:id="61636478">
                  <w:marLeft w:val="0"/>
                  <w:marRight w:val="0"/>
                  <w:marTop w:val="0"/>
                  <w:marBottom w:val="0"/>
                  <w:divBdr>
                    <w:top w:val="none" w:sz="0" w:space="0" w:color="auto"/>
                    <w:left w:val="none" w:sz="0" w:space="0" w:color="auto"/>
                    <w:bottom w:val="none" w:sz="0" w:space="0" w:color="auto"/>
                    <w:right w:val="none" w:sz="0" w:space="0" w:color="auto"/>
                  </w:divBdr>
                  <w:divsChild>
                    <w:div w:id="1514613674">
                      <w:marLeft w:val="0"/>
                      <w:marRight w:val="0"/>
                      <w:marTop w:val="0"/>
                      <w:marBottom w:val="0"/>
                      <w:divBdr>
                        <w:top w:val="none" w:sz="0" w:space="0" w:color="auto"/>
                        <w:left w:val="none" w:sz="0" w:space="0" w:color="auto"/>
                        <w:bottom w:val="none" w:sz="0" w:space="0" w:color="auto"/>
                        <w:right w:val="none" w:sz="0" w:space="0" w:color="auto"/>
                      </w:divBdr>
                    </w:div>
                    <w:div w:id="694815378">
                      <w:marLeft w:val="0"/>
                      <w:marRight w:val="0"/>
                      <w:marTop w:val="0"/>
                      <w:marBottom w:val="0"/>
                      <w:divBdr>
                        <w:top w:val="none" w:sz="0" w:space="0" w:color="auto"/>
                        <w:left w:val="none" w:sz="0" w:space="0" w:color="auto"/>
                        <w:bottom w:val="none" w:sz="0" w:space="0" w:color="auto"/>
                        <w:right w:val="none" w:sz="0" w:space="0" w:color="auto"/>
                      </w:divBdr>
                    </w:div>
                  </w:divsChild>
                </w:div>
                <w:div w:id="801388074">
                  <w:marLeft w:val="0"/>
                  <w:marRight w:val="0"/>
                  <w:marTop w:val="0"/>
                  <w:marBottom w:val="0"/>
                  <w:divBdr>
                    <w:top w:val="none" w:sz="0" w:space="0" w:color="auto"/>
                    <w:left w:val="none" w:sz="0" w:space="0" w:color="auto"/>
                    <w:bottom w:val="none" w:sz="0" w:space="0" w:color="auto"/>
                    <w:right w:val="none" w:sz="0" w:space="0" w:color="auto"/>
                  </w:divBdr>
                  <w:divsChild>
                    <w:div w:id="9078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3504">
              <w:marLeft w:val="0"/>
              <w:marRight w:val="0"/>
              <w:marTop w:val="0"/>
              <w:marBottom w:val="0"/>
              <w:divBdr>
                <w:top w:val="none" w:sz="0" w:space="0" w:color="auto"/>
                <w:left w:val="none" w:sz="0" w:space="0" w:color="auto"/>
                <w:bottom w:val="none" w:sz="0" w:space="0" w:color="auto"/>
                <w:right w:val="none" w:sz="0" w:space="0" w:color="auto"/>
              </w:divBdr>
              <w:divsChild>
                <w:div w:id="50663334">
                  <w:marLeft w:val="0"/>
                  <w:marRight w:val="0"/>
                  <w:marTop w:val="0"/>
                  <w:marBottom w:val="0"/>
                  <w:divBdr>
                    <w:top w:val="none" w:sz="0" w:space="0" w:color="auto"/>
                    <w:left w:val="none" w:sz="0" w:space="0" w:color="auto"/>
                    <w:bottom w:val="none" w:sz="0" w:space="0" w:color="auto"/>
                    <w:right w:val="none" w:sz="0" w:space="0" w:color="auto"/>
                  </w:divBdr>
                  <w:divsChild>
                    <w:div w:id="2099597580">
                      <w:marLeft w:val="0"/>
                      <w:marRight w:val="0"/>
                      <w:marTop w:val="0"/>
                      <w:marBottom w:val="0"/>
                      <w:divBdr>
                        <w:top w:val="none" w:sz="0" w:space="0" w:color="auto"/>
                        <w:left w:val="none" w:sz="0" w:space="0" w:color="auto"/>
                        <w:bottom w:val="none" w:sz="0" w:space="0" w:color="auto"/>
                        <w:right w:val="none" w:sz="0" w:space="0" w:color="auto"/>
                      </w:divBdr>
                    </w:div>
                    <w:div w:id="333336922">
                      <w:marLeft w:val="0"/>
                      <w:marRight w:val="0"/>
                      <w:marTop w:val="0"/>
                      <w:marBottom w:val="0"/>
                      <w:divBdr>
                        <w:top w:val="none" w:sz="0" w:space="0" w:color="auto"/>
                        <w:left w:val="none" w:sz="0" w:space="0" w:color="auto"/>
                        <w:bottom w:val="none" w:sz="0" w:space="0" w:color="auto"/>
                        <w:right w:val="none" w:sz="0" w:space="0" w:color="auto"/>
                      </w:divBdr>
                      <w:divsChild>
                        <w:div w:id="487788799">
                          <w:marLeft w:val="0"/>
                          <w:marRight w:val="0"/>
                          <w:marTop w:val="0"/>
                          <w:marBottom w:val="0"/>
                          <w:divBdr>
                            <w:top w:val="none" w:sz="0" w:space="0" w:color="auto"/>
                            <w:left w:val="none" w:sz="0" w:space="0" w:color="auto"/>
                            <w:bottom w:val="none" w:sz="0" w:space="0" w:color="auto"/>
                            <w:right w:val="none" w:sz="0" w:space="0" w:color="auto"/>
                          </w:divBdr>
                          <w:divsChild>
                            <w:div w:id="1872062622">
                              <w:marLeft w:val="0"/>
                              <w:marRight w:val="0"/>
                              <w:marTop w:val="0"/>
                              <w:marBottom w:val="0"/>
                              <w:divBdr>
                                <w:top w:val="none" w:sz="0" w:space="0" w:color="auto"/>
                                <w:left w:val="none" w:sz="0" w:space="0" w:color="auto"/>
                                <w:bottom w:val="none" w:sz="0" w:space="0" w:color="auto"/>
                                <w:right w:val="none" w:sz="0" w:space="0" w:color="auto"/>
                              </w:divBdr>
                              <w:divsChild>
                                <w:div w:id="1932856466">
                                  <w:marLeft w:val="0"/>
                                  <w:marRight w:val="0"/>
                                  <w:marTop w:val="0"/>
                                  <w:marBottom w:val="0"/>
                                  <w:divBdr>
                                    <w:top w:val="none" w:sz="0" w:space="0" w:color="auto"/>
                                    <w:left w:val="none" w:sz="0" w:space="0" w:color="auto"/>
                                    <w:bottom w:val="none" w:sz="0" w:space="0" w:color="auto"/>
                                    <w:right w:val="none" w:sz="0" w:space="0" w:color="auto"/>
                                  </w:divBdr>
                                </w:div>
                              </w:divsChild>
                            </w:div>
                            <w:div w:id="658579992">
                              <w:marLeft w:val="0"/>
                              <w:marRight w:val="0"/>
                              <w:marTop w:val="0"/>
                              <w:marBottom w:val="0"/>
                              <w:divBdr>
                                <w:top w:val="none" w:sz="0" w:space="0" w:color="auto"/>
                                <w:left w:val="none" w:sz="0" w:space="0" w:color="auto"/>
                                <w:bottom w:val="none" w:sz="0" w:space="0" w:color="auto"/>
                                <w:right w:val="none" w:sz="0" w:space="0" w:color="auto"/>
                              </w:divBdr>
                            </w:div>
                            <w:div w:id="1981494960">
                              <w:marLeft w:val="0"/>
                              <w:marRight w:val="0"/>
                              <w:marTop w:val="0"/>
                              <w:marBottom w:val="0"/>
                              <w:divBdr>
                                <w:top w:val="none" w:sz="0" w:space="0" w:color="auto"/>
                                <w:left w:val="none" w:sz="0" w:space="0" w:color="auto"/>
                                <w:bottom w:val="none" w:sz="0" w:space="0" w:color="auto"/>
                                <w:right w:val="none" w:sz="0" w:space="0" w:color="auto"/>
                              </w:divBdr>
                            </w:div>
                            <w:div w:id="226645827">
                              <w:marLeft w:val="0"/>
                              <w:marRight w:val="0"/>
                              <w:marTop w:val="0"/>
                              <w:marBottom w:val="0"/>
                              <w:divBdr>
                                <w:top w:val="none" w:sz="0" w:space="0" w:color="auto"/>
                                <w:left w:val="none" w:sz="0" w:space="0" w:color="auto"/>
                                <w:bottom w:val="none" w:sz="0" w:space="0" w:color="auto"/>
                                <w:right w:val="none" w:sz="0" w:space="0" w:color="auto"/>
                              </w:divBdr>
                            </w:div>
                            <w:div w:id="10505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8646">
              <w:marLeft w:val="0"/>
              <w:marRight w:val="0"/>
              <w:marTop w:val="0"/>
              <w:marBottom w:val="0"/>
              <w:divBdr>
                <w:top w:val="none" w:sz="0" w:space="0" w:color="auto"/>
                <w:left w:val="none" w:sz="0" w:space="0" w:color="auto"/>
                <w:bottom w:val="none" w:sz="0" w:space="0" w:color="auto"/>
                <w:right w:val="none" w:sz="0" w:space="0" w:color="auto"/>
              </w:divBdr>
            </w:div>
            <w:div w:id="1177118313">
              <w:marLeft w:val="0"/>
              <w:marRight w:val="0"/>
              <w:marTop w:val="0"/>
              <w:marBottom w:val="0"/>
              <w:divBdr>
                <w:top w:val="none" w:sz="0" w:space="0" w:color="auto"/>
                <w:left w:val="none" w:sz="0" w:space="0" w:color="auto"/>
                <w:bottom w:val="none" w:sz="0" w:space="0" w:color="auto"/>
                <w:right w:val="none" w:sz="0" w:space="0" w:color="auto"/>
              </w:divBdr>
            </w:div>
            <w:div w:id="593511059">
              <w:marLeft w:val="0"/>
              <w:marRight w:val="0"/>
              <w:marTop w:val="0"/>
              <w:marBottom w:val="0"/>
              <w:divBdr>
                <w:top w:val="none" w:sz="0" w:space="0" w:color="auto"/>
                <w:left w:val="none" w:sz="0" w:space="0" w:color="auto"/>
                <w:bottom w:val="none" w:sz="0" w:space="0" w:color="auto"/>
                <w:right w:val="none" w:sz="0" w:space="0" w:color="auto"/>
              </w:divBdr>
            </w:div>
            <w:div w:id="1442456625">
              <w:marLeft w:val="0"/>
              <w:marRight w:val="0"/>
              <w:marTop w:val="0"/>
              <w:marBottom w:val="0"/>
              <w:divBdr>
                <w:top w:val="none" w:sz="0" w:space="0" w:color="auto"/>
                <w:left w:val="none" w:sz="0" w:space="0" w:color="auto"/>
                <w:bottom w:val="none" w:sz="0" w:space="0" w:color="auto"/>
                <w:right w:val="none" w:sz="0" w:space="0" w:color="auto"/>
              </w:divBdr>
            </w:div>
            <w:div w:id="846090667">
              <w:marLeft w:val="0"/>
              <w:marRight w:val="0"/>
              <w:marTop w:val="0"/>
              <w:marBottom w:val="0"/>
              <w:divBdr>
                <w:top w:val="none" w:sz="0" w:space="0" w:color="auto"/>
                <w:left w:val="none" w:sz="0" w:space="0" w:color="auto"/>
                <w:bottom w:val="none" w:sz="0" w:space="0" w:color="auto"/>
                <w:right w:val="none" w:sz="0" w:space="0" w:color="auto"/>
              </w:divBdr>
            </w:div>
            <w:div w:id="9248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056852262">
      <w:bodyDiv w:val="1"/>
      <w:marLeft w:val="0"/>
      <w:marRight w:val="0"/>
      <w:marTop w:val="0"/>
      <w:marBottom w:val="0"/>
      <w:divBdr>
        <w:top w:val="none" w:sz="0" w:space="0" w:color="auto"/>
        <w:left w:val="none" w:sz="0" w:space="0" w:color="auto"/>
        <w:bottom w:val="none" w:sz="0" w:space="0" w:color="auto"/>
        <w:right w:val="none" w:sz="0" w:space="0" w:color="auto"/>
      </w:divBdr>
      <w:divsChild>
        <w:div w:id="660355688">
          <w:marLeft w:val="0"/>
          <w:marRight w:val="0"/>
          <w:marTop w:val="0"/>
          <w:marBottom w:val="0"/>
          <w:divBdr>
            <w:top w:val="none" w:sz="0" w:space="0" w:color="auto"/>
            <w:left w:val="none" w:sz="0" w:space="0" w:color="auto"/>
            <w:bottom w:val="none" w:sz="0" w:space="0" w:color="auto"/>
            <w:right w:val="none" w:sz="0" w:space="0" w:color="auto"/>
          </w:divBdr>
          <w:divsChild>
            <w:div w:id="1159274783">
              <w:marLeft w:val="0"/>
              <w:marRight w:val="0"/>
              <w:marTop w:val="0"/>
              <w:marBottom w:val="0"/>
              <w:divBdr>
                <w:top w:val="none" w:sz="0" w:space="0" w:color="auto"/>
                <w:left w:val="none" w:sz="0" w:space="0" w:color="auto"/>
                <w:bottom w:val="none" w:sz="0" w:space="0" w:color="auto"/>
                <w:right w:val="none" w:sz="0" w:space="0" w:color="auto"/>
              </w:divBdr>
              <w:divsChild>
                <w:div w:id="973952496">
                  <w:marLeft w:val="0"/>
                  <w:marRight w:val="0"/>
                  <w:marTop w:val="0"/>
                  <w:marBottom w:val="0"/>
                  <w:divBdr>
                    <w:top w:val="none" w:sz="0" w:space="0" w:color="auto"/>
                    <w:left w:val="none" w:sz="0" w:space="0" w:color="auto"/>
                    <w:bottom w:val="none" w:sz="0" w:space="0" w:color="auto"/>
                    <w:right w:val="none" w:sz="0" w:space="0" w:color="auto"/>
                  </w:divBdr>
                  <w:divsChild>
                    <w:div w:id="1964991863">
                      <w:marLeft w:val="0"/>
                      <w:marRight w:val="0"/>
                      <w:marTop w:val="0"/>
                      <w:marBottom w:val="0"/>
                      <w:divBdr>
                        <w:top w:val="none" w:sz="0" w:space="0" w:color="auto"/>
                        <w:left w:val="none" w:sz="0" w:space="0" w:color="auto"/>
                        <w:bottom w:val="none" w:sz="0" w:space="0" w:color="auto"/>
                        <w:right w:val="none" w:sz="0" w:space="0" w:color="auto"/>
                      </w:divBdr>
                      <w:divsChild>
                        <w:div w:id="86662220">
                          <w:marLeft w:val="0"/>
                          <w:marRight w:val="0"/>
                          <w:marTop w:val="0"/>
                          <w:marBottom w:val="0"/>
                          <w:divBdr>
                            <w:top w:val="none" w:sz="0" w:space="0" w:color="auto"/>
                            <w:left w:val="none" w:sz="0" w:space="0" w:color="auto"/>
                            <w:bottom w:val="none" w:sz="0" w:space="0" w:color="auto"/>
                            <w:right w:val="none" w:sz="0" w:space="0" w:color="auto"/>
                          </w:divBdr>
                          <w:divsChild>
                            <w:div w:id="123163043">
                              <w:marLeft w:val="0"/>
                              <w:marRight w:val="0"/>
                              <w:marTop w:val="0"/>
                              <w:marBottom w:val="0"/>
                              <w:divBdr>
                                <w:top w:val="none" w:sz="0" w:space="0" w:color="auto"/>
                                <w:left w:val="none" w:sz="0" w:space="0" w:color="auto"/>
                                <w:bottom w:val="none" w:sz="0" w:space="0" w:color="auto"/>
                                <w:right w:val="none" w:sz="0" w:space="0" w:color="auto"/>
                              </w:divBdr>
                              <w:divsChild>
                                <w:div w:id="987435759">
                                  <w:marLeft w:val="0"/>
                                  <w:marRight w:val="0"/>
                                  <w:marTop w:val="0"/>
                                  <w:marBottom w:val="0"/>
                                  <w:divBdr>
                                    <w:top w:val="none" w:sz="0" w:space="0" w:color="auto"/>
                                    <w:left w:val="none" w:sz="0" w:space="0" w:color="auto"/>
                                    <w:bottom w:val="none" w:sz="0" w:space="0" w:color="auto"/>
                                    <w:right w:val="none" w:sz="0" w:space="0" w:color="auto"/>
                                  </w:divBdr>
                                </w:div>
                                <w:div w:id="1656373148">
                                  <w:marLeft w:val="0"/>
                                  <w:marRight w:val="0"/>
                                  <w:marTop w:val="0"/>
                                  <w:marBottom w:val="0"/>
                                  <w:divBdr>
                                    <w:top w:val="none" w:sz="0" w:space="0" w:color="auto"/>
                                    <w:left w:val="none" w:sz="0" w:space="0" w:color="auto"/>
                                    <w:bottom w:val="none" w:sz="0" w:space="0" w:color="auto"/>
                                    <w:right w:val="none" w:sz="0" w:space="0" w:color="auto"/>
                                  </w:divBdr>
                                </w:div>
                                <w:div w:id="1674606918">
                                  <w:marLeft w:val="0"/>
                                  <w:marRight w:val="0"/>
                                  <w:marTop w:val="0"/>
                                  <w:marBottom w:val="0"/>
                                  <w:divBdr>
                                    <w:top w:val="none" w:sz="0" w:space="0" w:color="auto"/>
                                    <w:left w:val="none" w:sz="0" w:space="0" w:color="auto"/>
                                    <w:bottom w:val="none" w:sz="0" w:space="0" w:color="auto"/>
                                    <w:right w:val="none" w:sz="0" w:space="0" w:color="auto"/>
                                  </w:divBdr>
                                </w:div>
                                <w:div w:id="439684654">
                                  <w:marLeft w:val="0"/>
                                  <w:marRight w:val="0"/>
                                  <w:marTop w:val="0"/>
                                  <w:marBottom w:val="0"/>
                                  <w:divBdr>
                                    <w:top w:val="none" w:sz="0" w:space="0" w:color="auto"/>
                                    <w:left w:val="none" w:sz="0" w:space="0" w:color="auto"/>
                                    <w:bottom w:val="none" w:sz="0" w:space="0" w:color="auto"/>
                                    <w:right w:val="none" w:sz="0" w:space="0" w:color="auto"/>
                                  </w:divBdr>
                                </w:div>
                                <w:div w:id="1923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640899">
                  <w:marLeft w:val="0"/>
                  <w:marRight w:val="0"/>
                  <w:marTop w:val="0"/>
                  <w:marBottom w:val="0"/>
                  <w:divBdr>
                    <w:top w:val="none" w:sz="0" w:space="0" w:color="auto"/>
                    <w:left w:val="none" w:sz="0" w:space="0" w:color="auto"/>
                    <w:bottom w:val="none" w:sz="0" w:space="0" w:color="auto"/>
                    <w:right w:val="none" w:sz="0" w:space="0" w:color="auto"/>
                  </w:divBdr>
                </w:div>
                <w:div w:id="915436841">
                  <w:marLeft w:val="0"/>
                  <w:marRight w:val="0"/>
                  <w:marTop w:val="0"/>
                  <w:marBottom w:val="0"/>
                  <w:divBdr>
                    <w:top w:val="none" w:sz="0" w:space="0" w:color="auto"/>
                    <w:left w:val="none" w:sz="0" w:space="0" w:color="auto"/>
                    <w:bottom w:val="none" w:sz="0" w:space="0" w:color="auto"/>
                    <w:right w:val="none" w:sz="0" w:space="0" w:color="auto"/>
                  </w:divBdr>
                </w:div>
                <w:div w:id="992835197">
                  <w:marLeft w:val="0"/>
                  <w:marRight w:val="0"/>
                  <w:marTop w:val="0"/>
                  <w:marBottom w:val="0"/>
                  <w:divBdr>
                    <w:top w:val="none" w:sz="0" w:space="0" w:color="auto"/>
                    <w:left w:val="none" w:sz="0" w:space="0" w:color="auto"/>
                    <w:bottom w:val="none" w:sz="0" w:space="0" w:color="auto"/>
                    <w:right w:val="none" w:sz="0" w:space="0" w:color="auto"/>
                  </w:divBdr>
                </w:div>
                <w:div w:id="525023172">
                  <w:marLeft w:val="0"/>
                  <w:marRight w:val="0"/>
                  <w:marTop w:val="0"/>
                  <w:marBottom w:val="0"/>
                  <w:divBdr>
                    <w:top w:val="none" w:sz="0" w:space="0" w:color="auto"/>
                    <w:left w:val="none" w:sz="0" w:space="0" w:color="auto"/>
                    <w:bottom w:val="none" w:sz="0" w:space="0" w:color="auto"/>
                    <w:right w:val="none" w:sz="0" w:space="0" w:color="auto"/>
                  </w:divBdr>
                </w:div>
                <w:div w:id="456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382512612">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5">
          <w:marLeft w:val="0"/>
          <w:marRight w:val="0"/>
          <w:marTop w:val="0"/>
          <w:marBottom w:val="0"/>
          <w:divBdr>
            <w:top w:val="none" w:sz="0" w:space="0" w:color="auto"/>
            <w:left w:val="none" w:sz="0" w:space="0" w:color="auto"/>
            <w:bottom w:val="none" w:sz="0" w:space="0" w:color="auto"/>
            <w:right w:val="none" w:sz="0" w:space="0" w:color="auto"/>
          </w:divBdr>
          <w:divsChild>
            <w:div w:id="1822887748">
              <w:marLeft w:val="0"/>
              <w:marRight w:val="0"/>
              <w:marTop w:val="0"/>
              <w:marBottom w:val="0"/>
              <w:divBdr>
                <w:top w:val="none" w:sz="0" w:space="0" w:color="auto"/>
                <w:left w:val="none" w:sz="0" w:space="0" w:color="auto"/>
                <w:bottom w:val="none" w:sz="0" w:space="0" w:color="auto"/>
                <w:right w:val="none" w:sz="0" w:space="0" w:color="auto"/>
              </w:divBdr>
              <w:divsChild>
                <w:div w:id="402677278">
                  <w:marLeft w:val="0"/>
                  <w:marRight w:val="0"/>
                  <w:marTop w:val="0"/>
                  <w:marBottom w:val="0"/>
                  <w:divBdr>
                    <w:top w:val="none" w:sz="0" w:space="0" w:color="auto"/>
                    <w:left w:val="none" w:sz="0" w:space="0" w:color="auto"/>
                    <w:bottom w:val="none" w:sz="0" w:space="0" w:color="auto"/>
                    <w:right w:val="none" w:sz="0" w:space="0" w:color="auto"/>
                  </w:divBdr>
                  <w:divsChild>
                    <w:div w:id="1029912217">
                      <w:marLeft w:val="0"/>
                      <w:marRight w:val="0"/>
                      <w:marTop w:val="0"/>
                      <w:marBottom w:val="0"/>
                      <w:divBdr>
                        <w:top w:val="none" w:sz="0" w:space="0" w:color="auto"/>
                        <w:left w:val="none" w:sz="0" w:space="0" w:color="auto"/>
                        <w:bottom w:val="none" w:sz="0" w:space="0" w:color="auto"/>
                        <w:right w:val="none" w:sz="0" w:space="0" w:color="auto"/>
                      </w:divBdr>
                      <w:divsChild>
                        <w:div w:id="999230176">
                          <w:marLeft w:val="0"/>
                          <w:marRight w:val="0"/>
                          <w:marTop w:val="0"/>
                          <w:marBottom w:val="0"/>
                          <w:divBdr>
                            <w:top w:val="none" w:sz="0" w:space="0" w:color="auto"/>
                            <w:left w:val="none" w:sz="0" w:space="0" w:color="auto"/>
                            <w:bottom w:val="none" w:sz="0" w:space="0" w:color="auto"/>
                            <w:right w:val="none" w:sz="0" w:space="0" w:color="auto"/>
                          </w:divBdr>
                          <w:divsChild>
                            <w:div w:id="1224292821">
                              <w:marLeft w:val="0"/>
                              <w:marRight w:val="0"/>
                              <w:marTop w:val="0"/>
                              <w:marBottom w:val="0"/>
                              <w:divBdr>
                                <w:top w:val="none" w:sz="0" w:space="0" w:color="auto"/>
                                <w:left w:val="none" w:sz="0" w:space="0" w:color="auto"/>
                                <w:bottom w:val="none" w:sz="0" w:space="0" w:color="auto"/>
                                <w:right w:val="none" w:sz="0" w:space="0" w:color="auto"/>
                              </w:divBdr>
                              <w:divsChild>
                                <w:div w:id="707530362">
                                  <w:marLeft w:val="0"/>
                                  <w:marRight w:val="0"/>
                                  <w:marTop w:val="0"/>
                                  <w:marBottom w:val="0"/>
                                  <w:divBdr>
                                    <w:top w:val="none" w:sz="0" w:space="0" w:color="auto"/>
                                    <w:left w:val="none" w:sz="0" w:space="0" w:color="auto"/>
                                    <w:bottom w:val="none" w:sz="0" w:space="0" w:color="auto"/>
                                    <w:right w:val="none" w:sz="0" w:space="0" w:color="auto"/>
                                  </w:divBdr>
                                  <w:divsChild>
                                    <w:div w:id="1301493992">
                                      <w:marLeft w:val="0"/>
                                      <w:marRight w:val="0"/>
                                      <w:marTop w:val="0"/>
                                      <w:marBottom w:val="0"/>
                                      <w:divBdr>
                                        <w:top w:val="none" w:sz="0" w:space="0" w:color="auto"/>
                                        <w:left w:val="none" w:sz="0" w:space="0" w:color="auto"/>
                                        <w:bottom w:val="none" w:sz="0" w:space="0" w:color="auto"/>
                                        <w:right w:val="none" w:sz="0" w:space="0" w:color="auto"/>
                                      </w:divBdr>
                                    </w:div>
                                  </w:divsChild>
                                </w:div>
                                <w:div w:id="2084525156">
                                  <w:marLeft w:val="0"/>
                                  <w:marRight w:val="0"/>
                                  <w:marTop w:val="0"/>
                                  <w:marBottom w:val="0"/>
                                  <w:divBdr>
                                    <w:top w:val="none" w:sz="0" w:space="0" w:color="auto"/>
                                    <w:left w:val="none" w:sz="0" w:space="0" w:color="auto"/>
                                    <w:bottom w:val="none" w:sz="0" w:space="0" w:color="auto"/>
                                    <w:right w:val="none" w:sz="0" w:space="0" w:color="auto"/>
                                  </w:divBdr>
                                </w:div>
                                <w:div w:id="256912828">
                                  <w:marLeft w:val="0"/>
                                  <w:marRight w:val="0"/>
                                  <w:marTop w:val="0"/>
                                  <w:marBottom w:val="0"/>
                                  <w:divBdr>
                                    <w:top w:val="none" w:sz="0" w:space="0" w:color="auto"/>
                                    <w:left w:val="none" w:sz="0" w:space="0" w:color="auto"/>
                                    <w:bottom w:val="none" w:sz="0" w:space="0" w:color="auto"/>
                                    <w:right w:val="none" w:sz="0" w:space="0" w:color="auto"/>
                                  </w:divBdr>
                                </w:div>
                                <w:div w:id="159661030">
                                  <w:marLeft w:val="0"/>
                                  <w:marRight w:val="0"/>
                                  <w:marTop w:val="0"/>
                                  <w:marBottom w:val="0"/>
                                  <w:divBdr>
                                    <w:top w:val="none" w:sz="0" w:space="0" w:color="auto"/>
                                    <w:left w:val="none" w:sz="0" w:space="0" w:color="auto"/>
                                    <w:bottom w:val="none" w:sz="0" w:space="0" w:color="auto"/>
                                    <w:right w:val="none" w:sz="0" w:space="0" w:color="auto"/>
                                  </w:divBdr>
                                </w:div>
                                <w:div w:id="19557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9518">
                  <w:marLeft w:val="0"/>
                  <w:marRight w:val="0"/>
                  <w:marTop w:val="0"/>
                  <w:marBottom w:val="0"/>
                  <w:divBdr>
                    <w:top w:val="none" w:sz="0" w:space="0" w:color="auto"/>
                    <w:left w:val="none" w:sz="0" w:space="0" w:color="auto"/>
                    <w:bottom w:val="none" w:sz="0" w:space="0" w:color="auto"/>
                    <w:right w:val="none" w:sz="0" w:space="0" w:color="auto"/>
                  </w:divBdr>
                </w:div>
                <w:div w:id="1157110501">
                  <w:marLeft w:val="0"/>
                  <w:marRight w:val="0"/>
                  <w:marTop w:val="0"/>
                  <w:marBottom w:val="0"/>
                  <w:divBdr>
                    <w:top w:val="none" w:sz="0" w:space="0" w:color="auto"/>
                    <w:left w:val="none" w:sz="0" w:space="0" w:color="auto"/>
                    <w:bottom w:val="none" w:sz="0" w:space="0" w:color="auto"/>
                    <w:right w:val="none" w:sz="0" w:space="0" w:color="auto"/>
                  </w:divBdr>
                </w:div>
                <w:div w:id="39063963">
                  <w:marLeft w:val="0"/>
                  <w:marRight w:val="0"/>
                  <w:marTop w:val="0"/>
                  <w:marBottom w:val="0"/>
                  <w:divBdr>
                    <w:top w:val="none" w:sz="0" w:space="0" w:color="auto"/>
                    <w:left w:val="none" w:sz="0" w:space="0" w:color="auto"/>
                    <w:bottom w:val="none" w:sz="0" w:space="0" w:color="auto"/>
                    <w:right w:val="none" w:sz="0" w:space="0" w:color="auto"/>
                  </w:divBdr>
                </w:div>
                <w:div w:id="2027437268">
                  <w:marLeft w:val="0"/>
                  <w:marRight w:val="0"/>
                  <w:marTop w:val="0"/>
                  <w:marBottom w:val="0"/>
                  <w:divBdr>
                    <w:top w:val="none" w:sz="0" w:space="0" w:color="auto"/>
                    <w:left w:val="none" w:sz="0" w:space="0" w:color="auto"/>
                    <w:bottom w:val="none" w:sz="0" w:space="0" w:color="auto"/>
                    <w:right w:val="none" w:sz="0" w:space="0" w:color="auto"/>
                  </w:divBdr>
                </w:div>
                <w:div w:id="1020816288">
                  <w:marLeft w:val="0"/>
                  <w:marRight w:val="0"/>
                  <w:marTop w:val="0"/>
                  <w:marBottom w:val="0"/>
                  <w:divBdr>
                    <w:top w:val="none" w:sz="0" w:space="0" w:color="auto"/>
                    <w:left w:val="none" w:sz="0" w:space="0" w:color="auto"/>
                    <w:bottom w:val="none" w:sz="0" w:space="0" w:color="auto"/>
                    <w:right w:val="none" w:sz="0" w:space="0" w:color="auto"/>
                  </w:divBdr>
                </w:div>
                <w:div w:id="1079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544750271">
      <w:bodyDiv w:val="1"/>
      <w:marLeft w:val="0"/>
      <w:marRight w:val="0"/>
      <w:marTop w:val="0"/>
      <w:marBottom w:val="0"/>
      <w:divBdr>
        <w:top w:val="none" w:sz="0" w:space="0" w:color="auto"/>
        <w:left w:val="none" w:sz="0" w:space="0" w:color="auto"/>
        <w:bottom w:val="none" w:sz="0" w:space="0" w:color="auto"/>
        <w:right w:val="none" w:sz="0" w:space="0" w:color="auto"/>
      </w:divBdr>
    </w:div>
    <w:div w:id="1578204296">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2506781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senate.gov/Tracker/ManageAccount/EmailFrequenc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senate.gov/Tracker/ManageAccount/EmailFrequen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lsenate.gov/Tracker/ManageAccount/EmailFrequency" TargetMode="External"/><Relationship Id="rId4" Type="http://schemas.openxmlformats.org/officeDocument/2006/relationships/settings" Target="settings.xml"/><Relationship Id="rId9" Type="http://schemas.openxmlformats.org/officeDocument/2006/relationships/hyperlink" Target="https://www.flsenate.gov/Tracker/ManageAccount/EmailFrequen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7EA5D-8D70-4866-8C24-A19FF54A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15203</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2016-07-11T11:12:00Z</dcterms:created>
  <dcterms:modified xsi:type="dcterms:W3CDTF">2016-07-11T14:02:00Z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