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 xml:space="preserve">Florida Bar - </w:t>
            </w:r>
            <w:proofErr w:type="spellStart"/>
            <w:r>
              <w:rPr>
                <w:b/>
                <w:sz w:val="48"/>
                <w:szCs w:val="48"/>
              </w:rPr>
              <w:t>RPPTL</w:t>
            </w:r>
            <w:proofErr w:type="spellEnd"/>
            <w:r>
              <w:rPr>
                <w:b/>
                <w:sz w:val="48"/>
                <w:szCs w:val="48"/>
              </w:rPr>
              <w:t xml:space="preserve">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 11, 2016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RPPTL</w:t>
            </w:r>
            <w:proofErr w:type="spellEnd"/>
            <w:r>
              <w:rPr>
                <w:sz w:val="22"/>
                <w:szCs w:val="22"/>
              </w:rPr>
              <w:t xml:space="preserve"> Constru</w:t>
            </w:r>
            <w:bookmarkStart w:id="2" w:name="_GoBack"/>
            <w:bookmarkEnd w:id="2"/>
            <w:r>
              <w:rPr>
                <w:sz w:val="22"/>
                <w:szCs w:val="22"/>
              </w:rPr>
              <w:t>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3" w:name="Topics"/>
            <w:bookmarkEnd w:id="3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after="60"/>
              <w:rPr>
                <w:bCs/>
                <w:color w:val="000000" w:themeColor="text1"/>
                <w:u w:val="single"/>
              </w:rPr>
            </w:pPr>
            <w:r>
              <w:rPr>
                <w:bCs/>
                <w:color w:val="000000" w:themeColor="text1"/>
              </w:rPr>
              <w:t>In-Person Meeting at The Breakers (July 28, 2016)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David Willis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</w:rPr>
              <w:t>Claramargaret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</w:rPr>
              <w:t>Groover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/>
                <w:i/>
                <w:color w:val="000000" w:themeColor="text1"/>
                <w:sz w:val="20"/>
              </w:rPr>
            </w:pPr>
            <w:r>
              <w:rPr>
                <w:b/>
                <w:bCs/>
                <w:i/>
                <w:color w:val="000000" w:themeColor="text1"/>
                <w:sz w:val="20"/>
              </w:rPr>
              <w:t>Open Position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Jared Smith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Mickley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CLE Presentation – Regulatory Hurdles for Exports and Other International Transactions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Kevin Slattery, Esq., of Carlton Fields in Tampa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108116983.1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2016-07-09T14:25:00Z</dcterms:created>
  <dcterms:modified xsi:type="dcterms:W3CDTF">2016-07-09T14:25:00Z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108116983.1</vt:lpwstr>
  </property>
</Properties>
</file>