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581" w:rsidRDefault="004E3581" w:rsidP="004E3581">
      <w:pPr>
        <w:jc w:val="center"/>
        <w:rPr>
          <w:rFonts w:ascii="Times New Roman" w:hAnsi="Times New Roman"/>
          <w:b/>
          <w:sz w:val="32"/>
          <w:szCs w:val="32"/>
        </w:rPr>
      </w:pPr>
      <w:r>
        <w:rPr>
          <w:rFonts w:ascii="Times New Roman" w:hAnsi="Times New Roman"/>
          <w:b/>
          <w:sz w:val="32"/>
          <w:szCs w:val="32"/>
        </w:rPr>
        <w:t>Florida Bar Real Property, Probate, and Trust Law</w:t>
      </w:r>
    </w:p>
    <w:p w:rsidR="004E3581" w:rsidRPr="004E3581" w:rsidRDefault="004E3581" w:rsidP="004E3581">
      <w:pPr>
        <w:jc w:val="center"/>
        <w:rPr>
          <w:rFonts w:ascii="Times New Roman" w:hAnsi="Times New Roman"/>
          <w:b/>
          <w:sz w:val="32"/>
          <w:szCs w:val="32"/>
        </w:rPr>
      </w:pPr>
      <w:r w:rsidRPr="004E3581">
        <w:rPr>
          <w:rFonts w:ascii="Times New Roman" w:hAnsi="Times New Roman"/>
          <w:b/>
          <w:sz w:val="32"/>
          <w:szCs w:val="32"/>
        </w:rPr>
        <w:t>Florida Construction Law Committee</w:t>
      </w:r>
    </w:p>
    <w:p w:rsidR="004E3581" w:rsidRPr="004E3581" w:rsidRDefault="004E3581" w:rsidP="004E3581">
      <w:pPr>
        <w:jc w:val="center"/>
        <w:rPr>
          <w:rFonts w:ascii="Times New Roman" w:hAnsi="Times New Roman"/>
          <w:b/>
          <w:sz w:val="32"/>
          <w:szCs w:val="32"/>
        </w:rPr>
      </w:pPr>
      <w:r w:rsidRPr="004E3581">
        <w:rPr>
          <w:rFonts w:ascii="Times New Roman" w:hAnsi="Times New Roman"/>
          <w:b/>
          <w:sz w:val="32"/>
          <w:szCs w:val="32"/>
        </w:rPr>
        <w:t>Transactions Subcommittee</w:t>
      </w:r>
    </w:p>
    <w:p w:rsidR="004E3581" w:rsidRPr="004E3581" w:rsidRDefault="004E3581" w:rsidP="004E3581">
      <w:pPr>
        <w:jc w:val="center"/>
        <w:rPr>
          <w:rFonts w:ascii="Times New Roman" w:hAnsi="Times New Roman"/>
          <w:b/>
          <w:sz w:val="32"/>
          <w:szCs w:val="32"/>
        </w:rPr>
      </w:pPr>
      <w:r w:rsidRPr="004E3581">
        <w:rPr>
          <w:rFonts w:ascii="Times New Roman" w:hAnsi="Times New Roman"/>
          <w:b/>
          <w:sz w:val="32"/>
          <w:szCs w:val="32"/>
        </w:rPr>
        <w:t>June 6, 2016</w:t>
      </w:r>
    </w:p>
    <w:p w:rsidR="004E3581" w:rsidRDefault="004E3581" w:rsidP="006B0071">
      <w:pPr>
        <w:rPr>
          <w:rFonts w:ascii="Times New Roman" w:hAnsi="Times New Roman"/>
          <w:sz w:val="24"/>
          <w:szCs w:val="24"/>
        </w:rPr>
      </w:pPr>
    </w:p>
    <w:p w:rsidR="004E3581" w:rsidRDefault="004E3581" w:rsidP="006B0071">
      <w:pPr>
        <w:rPr>
          <w:rFonts w:ascii="Times New Roman" w:hAnsi="Times New Roman"/>
          <w:sz w:val="24"/>
          <w:szCs w:val="24"/>
        </w:rPr>
      </w:pPr>
    </w:p>
    <w:p w:rsidR="004E3581" w:rsidRDefault="004E3581" w:rsidP="006B0071">
      <w:pPr>
        <w:rPr>
          <w:rFonts w:ascii="Times New Roman" w:hAnsi="Times New Roman"/>
          <w:sz w:val="24"/>
          <w:szCs w:val="24"/>
        </w:rPr>
      </w:pPr>
      <w:r w:rsidRPr="00F5668C">
        <w:rPr>
          <w:rFonts w:ascii="Times New Roman" w:hAnsi="Times New Roman"/>
          <w:i/>
          <w:sz w:val="24"/>
          <w:szCs w:val="24"/>
        </w:rPr>
        <w:t>Billington v. Ginn-LA Pine Island, Ltd., LLP</w:t>
      </w:r>
      <w:r>
        <w:rPr>
          <w:rFonts w:ascii="Times New Roman" w:hAnsi="Times New Roman"/>
          <w:sz w:val="24"/>
          <w:szCs w:val="24"/>
        </w:rPr>
        <w:t>, - Fifth District Court of Appeal – May 20, 2016</w:t>
      </w:r>
    </w:p>
    <w:p w:rsidR="00F5668C" w:rsidRDefault="00F5668C" w:rsidP="006B0071">
      <w:pPr>
        <w:rPr>
          <w:rFonts w:ascii="Times New Roman" w:hAnsi="Times New Roman"/>
          <w:sz w:val="24"/>
          <w:szCs w:val="24"/>
        </w:rPr>
      </w:pPr>
    </w:p>
    <w:p w:rsidR="00F5668C" w:rsidRPr="00F5668C" w:rsidRDefault="00F5668C" w:rsidP="00F5668C">
      <w:pPr>
        <w:rPr>
          <w:sz w:val="24"/>
          <w:szCs w:val="24"/>
        </w:rPr>
      </w:pPr>
      <w:r w:rsidRPr="0061393E">
        <w:rPr>
          <w:rFonts w:ascii="Times New Roman" w:hAnsi="Times New Roman"/>
          <w:sz w:val="24"/>
          <w:szCs w:val="24"/>
        </w:rPr>
        <w:t xml:space="preserve">Many thanks to Michael Gelfand for his complete analysis </w:t>
      </w:r>
      <w:r>
        <w:rPr>
          <w:rFonts w:ascii="Times New Roman" w:hAnsi="Times New Roman"/>
          <w:sz w:val="24"/>
          <w:szCs w:val="24"/>
        </w:rPr>
        <w:t xml:space="preserve">below </w:t>
      </w:r>
      <w:r w:rsidRPr="0061393E">
        <w:rPr>
          <w:rFonts w:ascii="Times New Roman" w:hAnsi="Times New Roman"/>
          <w:sz w:val="24"/>
          <w:szCs w:val="24"/>
        </w:rPr>
        <w:t>of</w:t>
      </w:r>
      <w:r w:rsidRPr="0061393E">
        <w:rPr>
          <w:sz w:val="24"/>
          <w:szCs w:val="24"/>
        </w:rPr>
        <w:t xml:space="preserve"> </w:t>
      </w:r>
      <w:hyperlink r:id="rId6" w:history="1">
        <w:r w:rsidRPr="0061393E">
          <w:rPr>
            <w:rStyle w:val="Hyperlink"/>
            <w:rFonts w:ascii="Times New Roman" w:hAnsi="Times New Roman"/>
            <w:i/>
            <w:iCs/>
            <w:sz w:val="24"/>
            <w:szCs w:val="24"/>
          </w:rPr>
          <w:t>Billington v. Ginn-LA Pine Island, Ltd, LLP</w:t>
        </w:r>
        <w:r w:rsidRPr="0061393E">
          <w:rPr>
            <w:rStyle w:val="Hyperlink"/>
            <w:rFonts w:ascii="Times New Roman" w:hAnsi="Times New Roman"/>
            <w:sz w:val="24"/>
            <w:szCs w:val="24"/>
          </w:rPr>
          <w:t>, Case No. 5D14-2177 (Fla. 5</w:t>
        </w:r>
        <w:r w:rsidRPr="0061393E">
          <w:rPr>
            <w:rStyle w:val="Hyperlink"/>
            <w:rFonts w:ascii="Times New Roman" w:hAnsi="Times New Roman"/>
            <w:sz w:val="24"/>
            <w:szCs w:val="24"/>
            <w:vertAlign w:val="superscript"/>
          </w:rPr>
          <w:t>th</w:t>
        </w:r>
        <w:r w:rsidRPr="0061393E">
          <w:rPr>
            <w:rStyle w:val="Hyperlink"/>
            <w:rFonts w:ascii="Times New Roman" w:hAnsi="Times New Roman"/>
            <w:sz w:val="24"/>
            <w:szCs w:val="24"/>
          </w:rPr>
          <w:t xml:space="preserve"> DCA, May 20, 2016)</w:t>
        </w:r>
      </w:hyperlink>
      <w:r>
        <w:rPr>
          <w:rFonts w:ascii="Times New Roman" w:hAnsi="Times New Roman"/>
          <w:i/>
          <w:iCs/>
          <w:sz w:val="24"/>
          <w:szCs w:val="24"/>
        </w:rPr>
        <w:t xml:space="preserve"> </w:t>
      </w:r>
      <w:r>
        <w:rPr>
          <w:rFonts w:ascii="Times New Roman" w:hAnsi="Times New Roman"/>
          <w:iCs/>
          <w:sz w:val="24"/>
          <w:szCs w:val="24"/>
        </w:rPr>
        <w:t>in his report to the Condominium Law Committee members last week.</w:t>
      </w:r>
      <w:r w:rsidR="003F79BD">
        <w:rPr>
          <w:rFonts w:ascii="Times New Roman" w:hAnsi="Times New Roman"/>
          <w:iCs/>
          <w:sz w:val="24"/>
          <w:szCs w:val="24"/>
        </w:rPr>
        <w:t xml:space="preserve">  Also, attached is a copy of the case if you are unable to use the link in this paragraph.</w:t>
      </w:r>
    </w:p>
    <w:p w:rsidR="00F5668C" w:rsidRDefault="00F5668C" w:rsidP="006B0071">
      <w:pPr>
        <w:rPr>
          <w:rFonts w:ascii="Times New Roman" w:hAnsi="Times New Roman"/>
          <w:sz w:val="24"/>
          <w:szCs w:val="24"/>
        </w:rPr>
      </w:pPr>
    </w:p>
    <w:p w:rsidR="004E3581" w:rsidRDefault="004E3581" w:rsidP="006B0071">
      <w:pPr>
        <w:rPr>
          <w:rFonts w:ascii="Times New Roman" w:hAnsi="Times New Roman"/>
          <w:sz w:val="24"/>
          <w:szCs w:val="24"/>
        </w:rPr>
      </w:pPr>
    </w:p>
    <w:p w:rsidR="004E3581" w:rsidRDefault="004E3581" w:rsidP="006B0071">
      <w:pPr>
        <w:rPr>
          <w:rFonts w:ascii="Times New Roman" w:hAnsi="Times New Roman"/>
          <w:sz w:val="24"/>
          <w:szCs w:val="24"/>
        </w:rPr>
      </w:pPr>
      <w:r>
        <w:rPr>
          <w:rFonts w:ascii="Times New Roman" w:hAnsi="Times New Roman"/>
          <w:sz w:val="24"/>
          <w:szCs w:val="24"/>
        </w:rPr>
        <w:t>This important case has been certified to the Florida Supreme Court and we await the Court’s consideration</w:t>
      </w:r>
      <w:r w:rsidR="00E273C2">
        <w:rPr>
          <w:rFonts w:ascii="Times New Roman" w:hAnsi="Times New Roman"/>
          <w:sz w:val="24"/>
          <w:szCs w:val="24"/>
        </w:rPr>
        <w:t xml:space="preserve"> of six (6) certified questions to clarify whether merger clauses, disclaimer clause, and non-reliance clauses in a written agreement will negate claims for fraud as follows:</w:t>
      </w:r>
    </w:p>
    <w:p w:rsidR="004E3581" w:rsidRDefault="004E3581" w:rsidP="006B0071">
      <w:pPr>
        <w:rPr>
          <w:rFonts w:ascii="Times New Roman" w:hAnsi="Times New Roman"/>
          <w:sz w:val="24"/>
          <w:szCs w:val="24"/>
        </w:rPr>
      </w:pPr>
    </w:p>
    <w:p w:rsidR="004E3581" w:rsidRDefault="004E3581" w:rsidP="004E3581">
      <w:pPr>
        <w:pStyle w:val="Quote"/>
      </w:pPr>
      <w:r>
        <w:t>Did the court’s decision in Oceanic Villas, Inc. v. Godson, 4 So. 2d 689 (Fla. 1941), sub silentio overrule its decision in Cassara v. Bowman, 186 So. 514 (Fl</w:t>
      </w:r>
      <w:bookmarkStart w:id="0" w:name="_GoBack"/>
      <w:bookmarkEnd w:id="0"/>
      <w:r>
        <w:t>a. 1939)?</w:t>
      </w:r>
    </w:p>
    <w:p w:rsidR="004E3581" w:rsidRDefault="004E3581" w:rsidP="004E3581">
      <w:pPr>
        <w:pStyle w:val="Quote"/>
      </w:pPr>
      <w:r>
        <w:t>If Oceanic Villas did not overrule Cassara, does a merger clause such as that discussed in Cassara, negate a claim for fraud?</w:t>
      </w:r>
    </w:p>
    <w:p w:rsidR="004E3581" w:rsidRDefault="004E3581" w:rsidP="004E3581">
      <w:pPr>
        <w:pStyle w:val="Quote"/>
      </w:pPr>
      <w:r>
        <w:t>Do clear and unambiguous disclaimer clauses, such as those in this case, negate or “ma[ke] incontestable” a claim for fraud as discussed in Oceanic Villas?</w:t>
      </w:r>
    </w:p>
    <w:p w:rsidR="004E3581" w:rsidRDefault="004E3581" w:rsidP="004E3581">
      <w:pPr>
        <w:pStyle w:val="Quote"/>
      </w:pPr>
      <w:r>
        <w:t>Does a clear and unambiguous non-reliance clause negate a claim for fraud, where one party alleges justifiable reliance on an extrinsic representation?</w:t>
      </w:r>
    </w:p>
    <w:p w:rsidR="00E273C2" w:rsidRDefault="00E273C2" w:rsidP="00E273C2">
      <w:pPr>
        <w:pStyle w:val="Quote"/>
      </w:pPr>
      <w:r>
        <w:t>Did Butler v. Yusem, 44 So. 3d 102 (Fla. 2010), overrule Fote v. Reitano, 46 So. 2d 891 (Fla. 1950), and Avila South Condominium Ass’n v. Kappa Corp., 347 So. 2d 599 (Fla. 1977), and reject Restatement (Second) of Torts § 537, by holding that reliance need not be justified to maintain a fraudulent misrepresentation claim?</w:t>
      </w:r>
    </w:p>
    <w:p w:rsidR="00E273C2" w:rsidRDefault="00E273C2" w:rsidP="00E273C2">
      <w:pPr>
        <w:pStyle w:val="Quote"/>
      </w:pPr>
      <w:r>
        <w:t>If Butler did not overrule Fote or Avila, which standard applies in Florida, “justifiable” reliance or “reasonable” reliance?</w:t>
      </w:r>
    </w:p>
    <w:p w:rsidR="003F79BD" w:rsidRDefault="003F79BD" w:rsidP="00E273C2">
      <w:pPr>
        <w:tabs>
          <w:tab w:val="left" w:pos="720"/>
        </w:tabs>
        <w:autoSpaceDE w:val="0"/>
        <w:autoSpaceDN w:val="0"/>
        <w:adjustRightInd w:val="0"/>
        <w:rPr>
          <w:rFonts w:ascii="Times New Roman" w:eastAsia="Times New Roman" w:hAnsi="Times New Roman"/>
          <w:bCs/>
          <w:lang w:eastAsia="ja-JP"/>
        </w:rPr>
      </w:pPr>
    </w:p>
    <w:p w:rsidR="003F79BD" w:rsidRDefault="003F79BD" w:rsidP="00E273C2">
      <w:pPr>
        <w:tabs>
          <w:tab w:val="left" w:pos="720"/>
        </w:tabs>
        <w:autoSpaceDE w:val="0"/>
        <w:autoSpaceDN w:val="0"/>
        <w:adjustRightInd w:val="0"/>
        <w:rPr>
          <w:rFonts w:ascii="Times New Roman" w:eastAsia="Times New Roman" w:hAnsi="Times New Roman"/>
          <w:bCs/>
          <w:lang w:eastAsia="ja-JP"/>
        </w:rPr>
      </w:pPr>
    </w:p>
    <w:p w:rsidR="003F79BD" w:rsidRDefault="003F79BD" w:rsidP="00E273C2">
      <w:pPr>
        <w:tabs>
          <w:tab w:val="left" w:pos="720"/>
        </w:tabs>
        <w:autoSpaceDE w:val="0"/>
        <w:autoSpaceDN w:val="0"/>
        <w:adjustRightInd w:val="0"/>
        <w:rPr>
          <w:rFonts w:ascii="Times New Roman" w:eastAsia="Times New Roman" w:hAnsi="Times New Roman"/>
          <w:bCs/>
          <w:lang w:eastAsia="ja-JP"/>
        </w:rPr>
      </w:pPr>
    </w:p>
    <w:p w:rsidR="003F79BD" w:rsidRDefault="003F79BD" w:rsidP="00E273C2">
      <w:pPr>
        <w:tabs>
          <w:tab w:val="left" w:pos="720"/>
        </w:tabs>
        <w:autoSpaceDE w:val="0"/>
        <w:autoSpaceDN w:val="0"/>
        <w:adjustRightInd w:val="0"/>
        <w:rPr>
          <w:rFonts w:ascii="Times New Roman" w:eastAsia="Times New Roman" w:hAnsi="Times New Roman"/>
          <w:bCs/>
          <w:lang w:eastAsia="ja-JP"/>
        </w:rPr>
      </w:pPr>
    </w:p>
    <w:p w:rsidR="00F5668C" w:rsidRPr="00F5668C" w:rsidRDefault="00F5668C" w:rsidP="00E273C2">
      <w:pPr>
        <w:tabs>
          <w:tab w:val="left" w:pos="720"/>
        </w:tabs>
        <w:autoSpaceDE w:val="0"/>
        <w:autoSpaceDN w:val="0"/>
        <w:adjustRightInd w:val="0"/>
        <w:rPr>
          <w:rFonts w:ascii="Times New Roman" w:eastAsia="Times New Roman" w:hAnsi="Times New Roman"/>
          <w:bCs/>
          <w:lang w:eastAsia="ja-JP"/>
        </w:rPr>
      </w:pPr>
      <w:r>
        <w:rPr>
          <w:rFonts w:ascii="Times New Roman" w:eastAsia="Times New Roman" w:hAnsi="Times New Roman"/>
          <w:bCs/>
          <w:lang w:eastAsia="ja-JP"/>
        </w:rPr>
        <w:lastRenderedPageBreak/>
        <w:t>For context, please consider the following language from the AIA A201-2007</w:t>
      </w:r>
    </w:p>
    <w:p w:rsidR="00E273C2" w:rsidRDefault="00E273C2" w:rsidP="00E273C2">
      <w:pPr>
        <w:tabs>
          <w:tab w:val="left" w:pos="720"/>
        </w:tabs>
        <w:autoSpaceDE w:val="0"/>
        <w:autoSpaceDN w:val="0"/>
        <w:adjustRightInd w:val="0"/>
        <w:rPr>
          <w:rFonts w:ascii="Arial Narrow" w:eastAsia="Times New Roman" w:hAnsi="Arial Narrow" w:cs="Arial Narrow"/>
          <w:b/>
          <w:bCs/>
          <w:sz w:val="20"/>
          <w:szCs w:val="20"/>
          <w:lang w:eastAsia="ja-JP"/>
        </w:rPr>
      </w:pPr>
    </w:p>
    <w:p w:rsidR="00E273C2" w:rsidRDefault="00E273C2" w:rsidP="00E273C2">
      <w:pPr>
        <w:tabs>
          <w:tab w:val="left" w:pos="720"/>
        </w:tabs>
        <w:autoSpaceDE w:val="0"/>
        <w:autoSpaceDN w:val="0"/>
        <w:adjustRightInd w:val="0"/>
        <w:rPr>
          <w:rFonts w:ascii="Arial Narrow" w:eastAsia="Times New Roman" w:hAnsi="Arial Narrow" w:cs="Arial Narrow"/>
          <w:b/>
          <w:bCs/>
          <w:sz w:val="20"/>
          <w:szCs w:val="20"/>
          <w:lang w:eastAsia="ja-JP"/>
        </w:rPr>
      </w:pPr>
    </w:p>
    <w:p w:rsidR="00E273C2" w:rsidRDefault="00E273C2" w:rsidP="00E273C2">
      <w:pPr>
        <w:tabs>
          <w:tab w:val="left" w:pos="720"/>
        </w:tabs>
        <w:autoSpaceDE w:val="0"/>
        <w:autoSpaceDN w:val="0"/>
        <w:adjustRightInd w:val="0"/>
        <w:rPr>
          <w:rFonts w:ascii="Arial Narrow" w:eastAsia="Times New Roman" w:hAnsi="Arial Narrow" w:cs="Arial Narrow"/>
          <w:b/>
          <w:bCs/>
          <w:sz w:val="20"/>
          <w:szCs w:val="20"/>
          <w:lang w:eastAsia="ja-JP"/>
        </w:rPr>
      </w:pPr>
      <w:r>
        <w:rPr>
          <w:rFonts w:ascii="Arial Narrow" w:eastAsia="Times New Roman" w:hAnsi="Arial Narrow" w:cs="Arial Narrow"/>
          <w:b/>
          <w:bCs/>
          <w:sz w:val="20"/>
          <w:szCs w:val="20"/>
          <w:lang w:eastAsia="ja-JP"/>
        </w:rPr>
        <w:t>A201-2007</w:t>
      </w:r>
    </w:p>
    <w:p w:rsidR="00E273C2" w:rsidRDefault="00E273C2" w:rsidP="00E273C2">
      <w:pPr>
        <w:tabs>
          <w:tab w:val="left" w:pos="720"/>
        </w:tabs>
        <w:autoSpaceDE w:val="0"/>
        <w:autoSpaceDN w:val="0"/>
        <w:adjustRightInd w:val="0"/>
        <w:rPr>
          <w:rFonts w:ascii="Arial Narrow" w:eastAsia="Times New Roman" w:hAnsi="Arial Narrow" w:cs="Arial Narrow"/>
          <w:b/>
          <w:bCs/>
          <w:sz w:val="20"/>
          <w:szCs w:val="20"/>
          <w:lang w:eastAsia="ja-JP"/>
        </w:rPr>
      </w:pPr>
      <w:r>
        <w:rPr>
          <w:rFonts w:ascii="Arial Narrow" w:eastAsia="Times New Roman" w:hAnsi="Arial Narrow" w:cs="Arial Narrow"/>
          <w:b/>
          <w:bCs/>
          <w:sz w:val="20"/>
          <w:szCs w:val="20"/>
          <w:lang w:eastAsia="ja-JP"/>
        </w:rPr>
        <w:t>§ 1.1.2 THE CONTRACT</w:t>
      </w:r>
    </w:p>
    <w:p w:rsidR="00E273C2" w:rsidRDefault="00E273C2" w:rsidP="00E273C2">
      <w:pPr>
        <w:tabs>
          <w:tab w:val="left" w:pos="720"/>
        </w:tabs>
        <w:autoSpaceDE w:val="0"/>
        <w:autoSpaceDN w:val="0"/>
        <w:adjustRightInd w:val="0"/>
        <w:jc w:val="both"/>
        <w:rPr>
          <w:rFonts w:ascii="Times New Roman" w:eastAsia="Times New Roman" w:hAnsi="Times New Roman"/>
          <w:sz w:val="20"/>
          <w:szCs w:val="20"/>
          <w:lang w:eastAsia="ja-JP"/>
        </w:rPr>
      </w:pPr>
      <w:r>
        <w:rPr>
          <w:rFonts w:ascii="Times New Roman" w:eastAsia="Times New Roman" w:hAnsi="Times New Roman"/>
          <w:sz w:val="20"/>
          <w:szCs w:val="20"/>
          <w:lang w:eastAsia="ja-JP"/>
        </w:rPr>
        <w:t>The Contract Documents form the Contract for Construction. The Contract represents the entire and integrated agreement between the parties hereto and supersedes prior negotiations, representations or agreements, either written or oral. The Contract may be amended or modified only by a Modification.</w:t>
      </w:r>
    </w:p>
    <w:p w:rsidR="004E3581" w:rsidRDefault="004E3581" w:rsidP="006B0071">
      <w:pPr>
        <w:rPr>
          <w:rFonts w:ascii="Times New Roman" w:hAnsi="Times New Roman"/>
          <w:sz w:val="24"/>
          <w:szCs w:val="24"/>
        </w:rPr>
      </w:pPr>
    </w:p>
    <w:p w:rsidR="004E3581" w:rsidRDefault="004E3581" w:rsidP="006B0071">
      <w:pPr>
        <w:rPr>
          <w:rFonts w:ascii="Times New Roman" w:hAnsi="Times New Roman"/>
          <w:sz w:val="24"/>
          <w:szCs w:val="24"/>
        </w:rPr>
      </w:pPr>
    </w:p>
    <w:p w:rsidR="006B0071" w:rsidRPr="0061393E" w:rsidRDefault="003F79BD" w:rsidP="006B0071">
      <w:pPr>
        <w:rPr>
          <w:sz w:val="24"/>
          <w:szCs w:val="24"/>
        </w:rPr>
      </w:pPr>
      <w:hyperlink r:id="rId7" w:history="1">
        <w:r w:rsidRPr="0061393E">
          <w:rPr>
            <w:rStyle w:val="Hyperlink"/>
            <w:rFonts w:ascii="Times New Roman" w:hAnsi="Times New Roman"/>
            <w:i/>
            <w:iCs/>
            <w:sz w:val="24"/>
            <w:szCs w:val="24"/>
          </w:rPr>
          <w:t>Billington v. Ginn-LA Pine Island, Ltd, LLP</w:t>
        </w:r>
        <w:r w:rsidRPr="0061393E">
          <w:rPr>
            <w:rStyle w:val="Hyperlink"/>
            <w:rFonts w:ascii="Times New Roman" w:hAnsi="Times New Roman"/>
            <w:sz w:val="24"/>
            <w:szCs w:val="24"/>
          </w:rPr>
          <w:t>, Case No. 5D14-2177 (Fla. 5</w:t>
        </w:r>
        <w:r w:rsidRPr="0061393E">
          <w:rPr>
            <w:rStyle w:val="Hyperlink"/>
            <w:rFonts w:ascii="Times New Roman" w:hAnsi="Times New Roman"/>
            <w:sz w:val="24"/>
            <w:szCs w:val="24"/>
            <w:vertAlign w:val="superscript"/>
          </w:rPr>
          <w:t>th</w:t>
        </w:r>
        <w:r w:rsidRPr="0061393E">
          <w:rPr>
            <w:rStyle w:val="Hyperlink"/>
            <w:rFonts w:ascii="Times New Roman" w:hAnsi="Times New Roman"/>
            <w:sz w:val="24"/>
            <w:szCs w:val="24"/>
          </w:rPr>
          <w:t xml:space="preserve"> DCA, May 20, 2016)</w:t>
        </w:r>
      </w:hyperlink>
    </w:p>
    <w:p w:rsidR="00F5668C" w:rsidRDefault="00F5668C" w:rsidP="006B0071">
      <w:pPr>
        <w:jc w:val="both"/>
        <w:rPr>
          <w:rFonts w:ascii="Times New Roman" w:hAnsi="Times New Roman"/>
          <w:sz w:val="24"/>
          <w:szCs w:val="24"/>
        </w:rPr>
      </w:pPr>
    </w:p>
    <w:p w:rsidR="006B0071" w:rsidRDefault="0061393E" w:rsidP="006B0071">
      <w:pPr>
        <w:jc w:val="both"/>
        <w:rPr>
          <w:rFonts w:ascii="Times New Roman" w:hAnsi="Times New Roman"/>
          <w:sz w:val="24"/>
          <w:szCs w:val="24"/>
        </w:rPr>
      </w:pPr>
      <w:r w:rsidRPr="0061393E">
        <w:rPr>
          <w:rFonts w:ascii="Times New Roman" w:hAnsi="Times New Roman"/>
          <w:sz w:val="24"/>
          <w:szCs w:val="24"/>
        </w:rPr>
        <w:t xml:space="preserve">The Fifth District Court of appeal </w:t>
      </w:r>
      <w:r w:rsidR="006B0071" w:rsidRPr="0061393E">
        <w:rPr>
          <w:rFonts w:ascii="Times New Roman" w:hAnsi="Times New Roman"/>
          <w:sz w:val="24"/>
          <w:szCs w:val="24"/>
        </w:rPr>
        <w:t>address</w:t>
      </w:r>
      <w:r w:rsidRPr="0061393E">
        <w:rPr>
          <w:rFonts w:ascii="Times New Roman" w:hAnsi="Times New Roman"/>
          <w:sz w:val="24"/>
          <w:szCs w:val="24"/>
        </w:rPr>
        <w:t>ed</w:t>
      </w:r>
      <w:r w:rsidR="006B0071" w:rsidRPr="0061393E">
        <w:rPr>
          <w:rFonts w:ascii="Times New Roman" w:hAnsi="Times New Roman"/>
          <w:sz w:val="24"/>
          <w:szCs w:val="24"/>
        </w:rPr>
        <w:t xml:space="preserve"> inconsistencies in contract clauses which purport to disclaim fraud claims</w:t>
      </w:r>
      <w:r w:rsidRPr="0061393E">
        <w:rPr>
          <w:rFonts w:ascii="Times New Roman" w:hAnsi="Times New Roman"/>
          <w:sz w:val="24"/>
          <w:szCs w:val="24"/>
        </w:rPr>
        <w:t xml:space="preserve">. </w:t>
      </w:r>
      <w:r w:rsidR="006B0071" w:rsidRPr="0061393E">
        <w:rPr>
          <w:rFonts w:ascii="Times New Roman" w:hAnsi="Times New Roman"/>
          <w:sz w:val="24"/>
          <w:szCs w:val="24"/>
        </w:rPr>
        <w:t xml:space="preserve"> Particularly because of the </w:t>
      </w:r>
      <w:r w:rsidR="006B0071" w:rsidRPr="0061393E">
        <w:rPr>
          <w:rFonts w:ascii="Times New Roman" w:hAnsi="Times New Roman"/>
          <w:i/>
          <w:iCs/>
          <w:sz w:val="24"/>
          <w:szCs w:val="24"/>
        </w:rPr>
        <w:t>Billington</w:t>
      </w:r>
      <w:r w:rsidR="006B0071" w:rsidRPr="0061393E">
        <w:rPr>
          <w:rFonts w:ascii="Times New Roman" w:hAnsi="Times New Roman"/>
          <w:sz w:val="24"/>
          <w:szCs w:val="24"/>
        </w:rPr>
        <w:t xml:space="preserve"> court’s persuasive analysis, and especially in light of the broad and numerous questions certified to the Florida Supreme Court as of great public importance, the decision deserves more than a cursory read.  To provide a start on the discussions that are sure to follow, this memo summarizes salient parts of the decision, and</w:t>
      </w:r>
      <w:r w:rsidR="006B0071">
        <w:rPr>
          <w:rFonts w:ascii="Times New Roman" w:hAnsi="Times New Roman"/>
          <w:sz w:val="24"/>
          <w:szCs w:val="24"/>
        </w:rPr>
        <w:t xml:space="preserve"> warns of how the holding may be a precursor for undermining public policy protections that have been recognized as necessary to leveling the contractual field, and respect for the rule of law and the courts, especially in the real estate field.</w:t>
      </w:r>
    </w:p>
    <w:p w:rsidR="006B0071" w:rsidRDefault="006B0071" w:rsidP="006B0071">
      <w:pPr>
        <w:jc w:val="both"/>
        <w:rPr>
          <w:rFonts w:ascii="Times New Roman" w:hAnsi="Times New Roman"/>
          <w:b/>
          <w:bCs/>
          <w:sz w:val="24"/>
          <w:szCs w:val="24"/>
          <w:u w:val="single"/>
        </w:rPr>
      </w:pPr>
    </w:p>
    <w:p w:rsidR="006B0071" w:rsidRDefault="006B0071" w:rsidP="006B0071">
      <w:pPr>
        <w:jc w:val="both"/>
        <w:rPr>
          <w:rFonts w:ascii="Times New Roman" w:hAnsi="Times New Roman"/>
          <w:sz w:val="24"/>
          <w:szCs w:val="24"/>
        </w:rPr>
      </w:pPr>
      <w:r>
        <w:rPr>
          <w:rFonts w:ascii="Times New Roman" w:hAnsi="Times New Roman"/>
          <w:b/>
          <w:bCs/>
          <w:sz w:val="24"/>
          <w:szCs w:val="24"/>
          <w:u w:val="single"/>
        </w:rPr>
        <w:t>The Facts</w:t>
      </w:r>
      <w:r>
        <w:rPr>
          <w:rFonts w:ascii="Times New Roman" w:hAnsi="Times New Roman"/>
          <w:sz w:val="24"/>
          <w:szCs w:val="24"/>
        </w:rPr>
        <w:t>.</w:t>
      </w:r>
    </w:p>
    <w:p w:rsidR="006B0071" w:rsidRDefault="006B0071" w:rsidP="006B0071">
      <w:pPr>
        <w:ind w:firstLine="720"/>
        <w:jc w:val="both"/>
        <w:rPr>
          <w:rFonts w:ascii="Times New Roman" w:hAnsi="Times New Roman"/>
          <w:sz w:val="24"/>
          <w:szCs w:val="24"/>
        </w:rPr>
      </w:pPr>
      <w:r>
        <w:rPr>
          <w:rFonts w:ascii="Times New Roman" w:hAnsi="Times New Roman"/>
          <w:sz w:val="24"/>
          <w:szCs w:val="24"/>
        </w:rPr>
        <w:t>In short summary of the facts, Billington separately contracted to purchase two “high end” residential lots, one for $1.35 million and the other for $1.64 million.  The contracts contained a trifecta of disclaimers concerning representations outside the contract. After closing Billington sued Ginn-LA Pine, including fraud claims for alleged misrepresentations concerning boat docks and other the purchase prices of other lots. The trial court’s dismissed the claims for failure to state a cause of action based upon the disclaimers.</w:t>
      </w:r>
    </w:p>
    <w:p w:rsidR="006B0071" w:rsidRDefault="006B0071" w:rsidP="006B0071">
      <w:pPr>
        <w:jc w:val="both"/>
        <w:rPr>
          <w:rFonts w:ascii="Times New Roman" w:hAnsi="Times New Roman"/>
          <w:b/>
          <w:bCs/>
          <w:sz w:val="24"/>
          <w:szCs w:val="24"/>
          <w:u w:val="single"/>
        </w:rPr>
      </w:pPr>
    </w:p>
    <w:p w:rsidR="006B0071" w:rsidRDefault="006B0071" w:rsidP="006B0071">
      <w:pPr>
        <w:jc w:val="both"/>
        <w:rPr>
          <w:rFonts w:ascii="Times New Roman" w:hAnsi="Times New Roman"/>
          <w:sz w:val="24"/>
          <w:szCs w:val="24"/>
        </w:rPr>
      </w:pPr>
      <w:r>
        <w:rPr>
          <w:rFonts w:ascii="Times New Roman" w:hAnsi="Times New Roman"/>
          <w:b/>
          <w:bCs/>
          <w:sz w:val="24"/>
          <w:szCs w:val="24"/>
          <w:u w:val="single"/>
        </w:rPr>
        <w:t>The Holding</w:t>
      </w:r>
      <w:r>
        <w:rPr>
          <w:rFonts w:ascii="Times New Roman" w:hAnsi="Times New Roman"/>
          <w:sz w:val="24"/>
          <w:szCs w:val="24"/>
        </w:rPr>
        <w:t>.</w:t>
      </w:r>
    </w:p>
    <w:p w:rsidR="006B0071" w:rsidRDefault="006B0071" w:rsidP="006B0071">
      <w:pPr>
        <w:jc w:val="both"/>
        <w:rPr>
          <w:rFonts w:ascii="Times New Roman" w:hAnsi="Times New Roman"/>
          <w:sz w:val="24"/>
          <w:szCs w:val="24"/>
        </w:rPr>
      </w:pPr>
      <w:r>
        <w:rPr>
          <w:rFonts w:ascii="Times New Roman" w:hAnsi="Times New Roman"/>
          <w:sz w:val="24"/>
          <w:szCs w:val="24"/>
        </w:rPr>
        <w:t xml:space="preserve">            </w:t>
      </w:r>
    </w:p>
    <w:p w:rsidR="006B0071" w:rsidRDefault="006B0071" w:rsidP="006B0071">
      <w:pPr>
        <w:ind w:firstLine="720"/>
        <w:jc w:val="both"/>
        <w:rPr>
          <w:rFonts w:ascii="Times New Roman" w:hAnsi="Times New Roman"/>
          <w:sz w:val="24"/>
          <w:szCs w:val="24"/>
        </w:rPr>
      </w:pPr>
      <w:r>
        <w:rPr>
          <w:rFonts w:ascii="Times New Roman" w:hAnsi="Times New Roman"/>
          <w:sz w:val="24"/>
          <w:szCs w:val="24"/>
        </w:rPr>
        <w:t xml:space="preserve">Affirming, the Fifth District Court of Appeal reviewed the three different categories of contractual disclaimer clauses.  </w:t>
      </w:r>
    </w:p>
    <w:p w:rsidR="006B0071" w:rsidRDefault="006B0071" w:rsidP="006B0071">
      <w:pPr>
        <w:rPr>
          <w:rFonts w:ascii="Times New Roman" w:hAnsi="Times New Roman"/>
          <w:sz w:val="24"/>
          <w:szCs w:val="24"/>
        </w:rPr>
      </w:pPr>
    </w:p>
    <w:p w:rsidR="006B0071" w:rsidRDefault="006B0071" w:rsidP="006B0071">
      <w:pPr>
        <w:pStyle w:val="Quote"/>
        <w:spacing w:after="0"/>
        <w:rPr>
          <w:szCs w:val="24"/>
        </w:rPr>
      </w:pPr>
      <w:r>
        <w:t xml:space="preserve">Merger or integration which purports makes asthenic agreements unenforceable unless they are contained within the written contract.  </w:t>
      </w:r>
    </w:p>
    <w:p w:rsidR="006B0071" w:rsidRDefault="006B0071" w:rsidP="006B0071">
      <w:pPr>
        <w:pStyle w:val="Quote"/>
        <w:spacing w:after="0"/>
      </w:pPr>
    </w:p>
    <w:p w:rsidR="006B0071" w:rsidRDefault="006B0071" w:rsidP="006B0071">
      <w:pPr>
        <w:pStyle w:val="Quote"/>
        <w:spacing w:after="0"/>
      </w:pPr>
      <w:r>
        <w:t>Non/no/anti-reliance clauses which state that the parties to the contract did not rely upon statements or misrepresentations not contained within the document itself.</w:t>
      </w:r>
    </w:p>
    <w:p w:rsidR="006B0071" w:rsidRDefault="006B0071" w:rsidP="006B0071">
      <w:pPr>
        <w:pStyle w:val="Quote"/>
        <w:spacing w:after="0"/>
      </w:pPr>
    </w:p>
    <w:p w:rsidR="006B0071" w:rsidRDefault="006B0071" w:rsidP="006B0071">
      <w:pPr>
        <w:pStyle w:val="Quote"/>
        <w:spacing w:after="0"/>
      </w:pPr>
      <w:r>
        <w:t>Waiver or release clauses which state to do just that.</w:t>
      </w:r>
    </w:p>
    <w:p w:rsidR="006B0071" w:rsidRDefault="006B0071" w:rsidP="006B0071"/>
    <w:p w:rsidR="006B0071" w:rsidRDefault="006B0071" w:rsidP="006B0071">
      <w:pPr>
        <w:jc w:val="both"/>
        <w:rPr>
          <w:rFonts w:ascii="Times New Roman" w:hAnsi="Times New Roman"/>
          <w:sz w:val="24"/>
          <w:szCs w:val="24"/>
        </w:rPr>
      </w:pPr>
      <w:r>
        <w:rPr>
          <w:rFonts w:ascii="Times New Roman" w:hAnsi="Times New Roman"/>
          <w:sz w:val="24"/>
          <w:szCs w:val="24"/>
        </w:rPr>
        <w:t>Non/no/anti-reliance clauses appear to be enforced by a majority of jurisdictions.  While some jurisdictions apply a reliance test on the basis of the parties’ sophistication, the Court commented that a reliance test appears illogical particularly as the existence of a written contract should place the parties on “caution”.</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At the heart of the Court’s decision is the observation that to allow a party to contract a contractual non-reliance clause would “sanction a breach of the very contract that is the subject of the dispute.”  Thus, a contract’s express waiver of a fraud claim is sufficient to bar a fraud claim, in essence preventing a Plaintiff from recanting.  The express waiver provision renders the contract incontestable, at least for fraud.</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b/>
          <w:bCs/>
          <w:sz w:val="24"/>
          <w:szCs w:val="24"/>
          <w:u w:val="single"/>
        </w:rPr>
        <w:t>The Conflicts</w:t>
      </w:r>
      <w:r>
        <w:rPr>
          <w:rFonts w:ascii="Times New Roman" w:hAnsi="Times New Roman"/>
          <w:sz w:val="24"/>
          <w:szCs w:val="24"/>
        </w:rPr>
        <w:t>.</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The Court commented in an extensive and well-reasoned note the application in fraud claims of “justifiable” or “reasonable” reliance, and apparent contradictions by the Florida courts. Notably, </w:t>
      </w:r>
      <w:hyperlink r:id="rId8" w:history="1">
        <w:r>
          <w:rPr>
            <w:rStyle w:val="Hyperlink"/>
            <w:rFonts w:ascii="Times New Roman" w:hAnsi="Times New Roman"/>
            <w:i/>
            <w:iCs/>
            <w:sz w:val="24"/>
            <w:szCs w:val="24"/>
          </w:rPr>
          <w:t>Besett v. Basnett</w:t>
        </w:r>
        <w:r>
          <w:rPr>
            <w:rStyle w:val="Hyperlink"/>
            <w:rFonts w:ascii="Times New Roman" w:hAnsi="Times New Roman"/>
            <w:sz w:val="24"/>
            <w:szCs w:val="24"/>
          </w:rPr>
          <w:t>, 389 So. 2d 995, 998 (Fla. 1980)</w:t>
        </w:r>
      </w:hyperlink>
      <w:r>
        <w:rPr>
          <w:rFonts w:ascii="Times New Roman" w:hAnsi="Times New Roman"/>
          <w:sz w:val="24"/>
          <w:szCs w:val="24"/>
        </w:rPr>
        <w:t xml:space="preserve">, stands for the proposition that a lack of due diligence or investigation of the truth of the (mis)representation does not negate the claim of justifiable reliance. See </w:t>
      </w:r>
      <w:hyperlink r:id="rId9" w:history="1">
        <w:r>
          <w:rPr>
            <w:rStyle w:val="Hyperlink"/>
            <w:rFonts w:ascii="Times New Roman" w:hAnsi="Times New Roman"/>
            <w:i/>
            <w:iCs/>
            <w:sz w:val="24"/>
            <w:szCs w:val="24"/>
          </w:rPr>
          <w:t>Butler v. Yusem</w:t>
        </w:r>
        <w:r>
          <w:rPr>
            <w:rStyle w:val="Hyperlink"/>
            <w:rFonts w:ascii="Times New Roman" w:hAnsi="Times New Roman"/>
            <w:sz w:val="24"/>
            <w:szCs w:val="24"/>
          </w:rPr>
          <w:t>, 44 So. 3d 102 (Fla. 2010)</w:t>
        </w:r>
      </w:hyperlink>
      <w:r>
        <w:rPr>
          <w:rFonts w:ascii="Times New Roman" w:hAnsi="Times New Roman"/>
          <w:sz w:val="24"/>
          <w:szCs w:val="24"/>
        </w:rPr>
        <w:t xml:space="preserve">, which also cited </w:t>
      </w:r>
      <w:hyperlink r:id="rId10" w:history="1">
        <w:r>
          <w:rPr>
            <w:rStyle w:val="Hyperlink"/>
            <w:rFonts w:ascii="Times New Roman" w:hAnsi="Times New Roman"/>
            <w:i/>
            <w:iCs/>
            <w:sz w:val="24"/>
            <w:szCs w:val="24"/>
          </w:rPr>
          <w:t>Johnson v. Davis</w:t>
        </w:r>
        <w:r>
          <w:rPr>
            <w:rStyle w:val="Hyperlink"/>
            <w:rFonts w:ascii="Times New Roman" w:hAnsi="Times New Roman"/>
            <w:sz w:val="24"/>
            <w:szCs w:val="24"/>
          </w:rPr>
          <w:t>, 480 So. 2</w:t>
        </w:r>
        <w:r>
          <w:rPr>
            <w:rStyle w:val="Hyperlink"/>
            <w:rFonts w:ascii="Times New Roman" w:hAnsi="Times New Roman"/>
            <w:sz w:val="24"/>
            <w:szCs w:val="24"/>
            <w:vertAlign w:val="superscript"/>
          </w:rPr>
          <w:t>nd</w:t>
        </w:r>
        <w:r>
          <w:rPr>
            <w:rStyle w:val="Hyperlink"/>
            <w:rFonts w:ascii="Times New Roman" w:hAnsi="Times New Roman"/>
            <w:sz w:val="24"/>
            <w:szCs w:val="24"/>
          </w:rPr>
          <w:t xml:space="preserve"> 625 (Fla. 1985)</w:t>
        </w:r>
      </w:hyperlink>
      <w:r>
        <w:rPr>
          <w:rFonts w:ascii="Times New Roman" w:hAnsi="Times New Roman"/>
          <w:sz w:val="24"/>
          <w:szCs w:val="24"/>
        </w:rPr>
        <w:t xml:space="preserve">. </w:t>
      </w:r>
      <w:r>
        <w:t> </w:t>
      </w:r>
      <w:r>
        <w:rPr>
          <w:rFonts w:ascii="Times New Roman" w:hAnsi="Times New Roman"/>
          <w:sz w:val="24"/>
          <w:szCs w:val="24"/>
        </w:rPr>
        <w:t>The Court concluded test of “justifiable reliance” appears to impose a higher burden on a Plaintiff than the test of “reasonable reliance”, “justifiable” being a minimum threshold to avoid fraud claims without reliance that would “strains logic and reason.”</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The Court sought to distinguish a seventy-five year old Florida Supreme Court decision that had not been expressively overruled, </w:t>
      </w:r>
      <w:r>
        <w:rPr>
          <w:rFonts w:ascii="Times New Roman" w:hAnsi="Times New Roman"/>
          <w:sz w:val="24"/>
          <w:szCs w:val="24"/>
          <w:u w:val="single"/>
        </w:rPr>
        <w:t>Oceanic Villas, Inc. v. Godson</w:t>
      </w:r>
      <w:r>
        <w:rPr>
          <w:rFonts w:ascii="Times New Roman" w:hAnsi="Times New Roman"/>
          <w:sz w:val="24"/>
          <w:szCs w:val="24"/>
        </w:rPr>
        <w:t xml:space="preserve">, 4 So. 2d 689 (Fla. 1941), which refused to enforce a non-reliance or merger clause on the basis of “policy grounds” quashing in part the trial court’s dismissal of the complaint, yet at the same time, holding that “for consideration or expediency” the parties “may include provisions that render the contract “incontestable on account of fraud.” Oceanic was said to conflict with </w:t>
      </w:r>
      <w:r>
        <w:rPr>
          <w:rFonts w:ascii="Times New Roman" w:hAnsi="Times New Roman"/>
          <w:i/>
          <w:iCs/>
          <w:sz w:val="24"/>
          <w:szCs w:val="24"/>
          <w:u w:val="single"/>
        </w:rPr>
        <w:t>Cassara v. Balpin</w:t>
      </w:r>
      <w:r>
        <w:rPr>
          <w:rFonts w:ascii="Times New Roman" w:hAnsi="Times New Roman"/>
          <w:sz w:val="24"/>
          <w:szCs w:val="24"/>
        </w:rPr>
        <w:t>, 186 So. 514 (Fla. 1939), two years earlier holding that an integration or merger clause barred a claim for fraud.  Thus, the two Florida Supreme Court decisions were said to be “irreconcilable”, though it could be argued that a merger clause will bar a fraud claim and while a non-reliance clause does not.</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b/>
          <w:bCs/>
          <w:sz w:val="24"/>
          <w:szCs w:val="24"/>
          <w:u w:val="single"/>
        </w:rPr>
        <w:t>The Role of Contracts</w:t>
      </w:r>
      <w:r>
        <w:rPr>
          <w:rFonts w:ascii="Times New Roman" w:hAnsi="Times New Roman"/>
          <w:sz w:val="24"/>
          <w:szCs w:val="24"/>
        </w:rPr>
        <w:t xml:space="preserve">.  </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The Court’s approach reminds readers of the sometimes humorous, but wickedly true warning that contracts are dangerous and should be kept out of the hands of the feeble, foolish and young. The Court sends a strong message on the supposed power of contractual self-determination when contracting:</w:t>
      </w:r>
    </w:p>
    <w:p w:rsidR="006B0071" w:rsidRDefault="006B0071" w:rsidP="006B0071">
      <w:pPr>
        <w:pStyle w:val="Quote"/>
        <w:spacing w:after="0"/>
        <w:rPr>
          <w:szCs w:val="24"/>
        </w:rPr>
      </w:pPr>
    </w:p>
    <w:p w:rsidR="006B0071" w:rsidRDefault="006B0071" w:rsidP="006B0071">
      <w:pPr>
        <w:pStyle w:val="Quote"/>
      </w:pPr>
      <w:r>
        <w:t xml:space="preserve">We emphasize that the disclaimer clauses here are as clear and conspicuous as they are comprehensive. If these clauses are insufficient to render a claim for fraud “incontestable” within the contemplation of the Oceanic Villas court, then no disclaimer can possibly accomplish that objective—an objective that is both reasonable and essential in our complex and litigious society. Written contracts are intended to head-off disputes. Public policy strongly favors the enforcement of contracts. Although our decision might benefit those who would use a disclaimer clause to cleverly avoid the consequences of a deliberate fraud, contracting </w:t>
      </w:r>
      <w:r>
        <w:lastRenderedPageBreak/>
        <w:t>parties can protect themselves against such fraudulent practices by respecting the gravity inherent in the contracting process and carefully reviewing a contract to ensure that material representations are expressed in the instrument. The law necessarily presumes that parties to a contract have read and understood its contents. Were we to reach a contrary holding, contracting parties would have no ability to protect themselves against those who would fabricate claims of fraud to avoid the consequences of a contractual obligation. On balance, the sanctity of a contract and predictability of an outcome in a dispute should take precedence where, as here, the parties clearly manifest the intent to avoid such claims.</w:t>
      </w:r>
    </w:p>
    <w:p w:rsidR="006B0071" w:rsidRDefault="006B0071" w:rsidP="006B0071">
      <w:pPr>
        <w:pStyle w:val="Quote"/>
        <w:ind w:left="0"/>
      </w:pPr>
      <w:r>
        <w:t>It is unfortunate that this broad text is not expressly limited to the scenario presented, million dollar contracts.</w:t>
      </w:r>
    </w:p>
    <w:p w:rsidR="006B0071" w:rsidRDefault="006B0071" w:rsidP="006B0071">
      <w:pPr>
        <w:pStyle w:val="Quote"/>
        <w:ind w:left="0"/>
        <w:rPr>
          <w:u w:val="single"/>
        </w:rPr>
      </w:pPr>
      <w:r>
        <w:rPr>
          <w:b/>
          <w:bCs/>
          <w:u w:val="single"/>
        </w:rPr>
        <w:t>Certified Questions: Six, Count them!</w:t>
      </w:r>
    </w:p>
    <w:p w:rsidR="006B0071" w:rsidRDefault="006B0071" w:rsidP="006B0071">
      <w:pPr>
        <w:pStyle w:val="Quote"/>
        <w:ind w:left="0" w:right="0"/>
      </w:pPr>
      <w:r>
        <w:t xml:space="preserve">            The District Court of Appeal ending by certifying six questions of great public importance to the Florida Supreme Court: </w:t>
      </w:r>
    </w:p>
    <w:p w:rsidR="006B0071" w:rsidRDefault="006B0071" w:rsidP="006B0071">
      <w:pPr>
        <w:pStyle w:val="Quote"/>
      </w:pPr>
      <w:r>
        <w:t>Did the court’s decision in Oceanic Villas, Inc. v. Godson, 4 So. 2d 689 (Fla. 1941), sub silentio overrule its decision in Cassara v. Bowman, 186 So. 514 (Fla. 1939)?</w:t>
      </w:r>
    </w:p>
    <w:p w:rsidR="006B0071" w:rsidRDefault="006B0071" w:rsidP="006B0071">
      <w:pPr>
        <w:pStyle w:val="Quote"/>
      </w:pPr>
      <w:r>
        <w:t>If Oceanic Villas did not overrule Cassara, does a merger clause such as that discussed in Cassara, negate a claim for fraud?</w:t>
      </w:r>
    </w:p>
    <w:p w:rsidR="006B0071" w:rsidRDefault="006B0071" w:rsidP="006B0071">
      <w:pPr>
        <w:pStyle w:val="Quote"/>
      </w:pPr>
      <w:r>
        <w:t>Do clear and unambiguous disclaimer clauses, such as those in this case, negate or “ma[ke] incontestable” a claim for fraud as discussed in Oceanic Villas?</w:t>
      </w:r>
    </w:p>
    <w:p w:rsidR="006B0071" w:rsidRDefault="006B0071" w:rsidP="006B0071">
      <w:pPr>
        <w:pStyle w:val="Quote"/>
      </w:pPr>
      <w:r>
        <w:t>Does a clear and unambiguous non-reliance clause negate a claim for fraud, where one party alleges justifiable reliance on an extrinsic representation?</w:t>
      </w:r>
    </w:p>
    <w:p w:rsidR="006B0071" w:rsidRDefault="006B0071" w:rsidP="006B0071">
      <w:pPr>
        <w:pStyle w:val="Quote"/>
      </w:pPr>
      <w:r>
        <w:t>Did Butler v. Yusem, 44 So. 3d 102 (Fla. 2010), overrule Fote v. Reitano, 46 So. 2d 891 (Fla. 1950), and Avila South Condominium Ass’n v. Kappa Corp., 347 So. 2d 599 (Fla. 1977), and reject Restatement (Second) of Torts § 537, by holding that reliance need not be justified to maintain a fraudulent misrepresentation claim?</w:t>
      </w:r>
    </w:p>
    <w:p w:rsidR="006B0071" w:rsidRDefault="006B0071" w:rsidP="006B0071">
      <w:pPr>
        <w:pStyle w:val="Quote"/>
      </w:pPr>
      <w:r>
        <w:t>If Butler did not overrule Fote or Avila, which standard applies in Florida, “justifiable” reliance or “reasonable” reliance?</w:t>
      </w:r>
    </w:p>
    <w:p w:rsidR="006B0071" w:rsidRDefault="006B0071" w:rsidP="006B0071">
      <w:pPr>
        <w:rPr>
          <w:rFonts w:ascii="Times New Roman" w:hAnsi="Times New Roman"/>
          <w:sz w:val="24"/>
          <w:szCs w:val="24"/>
        </w:rPr>
      </w:pPr>
      <w:r>
        <w:rPr>
          <w:rFonts w:ascii="Times New Roman" w:hAnsi="Times New Roman"/>
          <w:sz w:val="24"/>
          <w:szCs w:val="24"/>
        </w:rPr>
        <w:t xml:space="preserve">In addition, Court certified conflict. </w:t>
      </w:r>
    </w:p>
    <w:p w:rsidR="006B0071" w:rsidRDefault="006B0071" w:rsidP="006B0071">
      <w:pPr>
        <w:rPr>
          <w:rFonts w:ascii="Times New Roman" w:hAnsi="Times New Roman"/>
          <w:sz w:val="24"/>
          <w:szCs w:val="24"/>
        </w:rPr>
      </w:pPr>
    </w:p>
    <w:p w:rsidR="006B0071" w:rsidRDefault="006B0071" w:rsidP="006B0071">
      <w:pPr>
        <w:rPr>
          <w:rFonts w:ascii="Times New Roman" w:hAnsi="Times New Roman"/>
          <w:b/>
          <w:bCs/>
          <w:sz w:val="24"/>
          <w:szCs w:val="24"/>
        </w:rPr>
      </w:pPr>
      <w:r>
        <w:rPr>
          <w:rFonts w:ascii="Times New Roman" w:hAnsi="Times New Roman"/>
          <w:b/>
          <w:bCs/>
          <w:sz w:val="24"/>
          <w:szCs w:val="24"/>
          <w:u w:val="single"/>
        </w:rPr>
        <w:t>Conclusion/Undermining of Public Policy Protections</w:t>
      </w:r>
      <w:r>
        <w:rPr>
          <w:rFonts w:ascii="Times New Roman" w:hAnsi="Times New Roman"/>
          <w:b/>
          <w:bCs/>
          <w:sz w:val="24"/>
          <w:szCs w:val="24"/>
        </w:rPr>
        <w:t>.</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This decision may have many significant impacts.  Immediately we may observe a </w:t>
      </w:r>
      <w:r>
        <w:rPr>
          <w:rFonts w:ascii="Times New Roman" w:hAnsi="Times New Roman"/>
          <w:i/>
          <w:iCs/>
          <w:sz w:val="24"/>
          <w:szCs w:val="24"/>
        </w:rPr>
        <w:t>Keystone Kops</w:t>
      </w:r>
      <w:r>
        <w:rPr>
          <w:rFonts w:ascii="Times New Roman" w:hAnsi="Times New Roman"/>
          <w:sz w:val="24"/>
          <w:szCs w:val="24"/>
        </w:rPr>
        <w:t xml:space="preserve"> style race as attorneys run to their word processors to revise draft contract boilerplate to incorporate the trifecta of merger, non/no/anti-reliance and waiver provisions. While the Court holds that one or two of these provisions should be sufficient, from a “belt and suspenders” perspective because all three provisions found their spot with the Court is likely that all three will enter into contractual “boilerplate.” </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Of longer term significance is mounting drumbeat elevating the so-called freedom of contact and disregarding historical, dare one say ancient, public policy that contracts cannot be drafted to undermine public policy, and an implicit rejection of the courts role to protect parties from contracts of adhesion. The Court’s broad yet in depth analysis contains a fundamental unstated assumption, that parties to a contract have equal, or nearly equal, bargaining power.  This assumption simply does not stand up to scrutiny outside of the narrow context presented by the parties in these two transactions involving “high end,” whatever that term means, million dollar plus properties.    </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Concerns over the court’s analysis fall, at least in this quick initial analysis, into at least two categories: first, the general contracting environment; and, second, the role of public policy at common law and the courts role in enforce.</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Concerning the contracting environment, as counsel we have observed outside the sophisticated rarified stratosphere of commerce, the fallacy of the truism that parties have perfect freedom to contract, including the authority to negotiate contract language. In fact, it might not be overreaching to write that each reader has been steamrolled at least once this year concerning contract language, not being allowed to vary a seller’s contract terms.  </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Whatever your political perspective or the relative wealth, or lack thereof, of your clients, consider the last time you purchased a new car, did the dealer allow any change to the contract for sale?  Would the dealer even change the arbitration provision?  In another context, what negotiating authority did your firm have when clicking on the Microsoft, Dell, or Apple software “ACCEPT” button to operate your new computer?  Can you refuse, and in turn forego computer access to the internet? And do not forget that now a meeting of the minds may no longer be an element of contracting, clicking can bind you.  </w:t>
      </w:r>
      <w:hyperlink r:id="rId11" w:history="1">
        <w:r>
          <w:rPr>
            <w:rStyle w:val="Hyperlink"/>
            <w:rFonts w:ascii="Times New Roman" w:hAnsi="Times New Roman"/>
            <w:i/>
            <w:iCs/>
            <w:sz w:val="24"/>
            <w:szCs w:val="24"/>
          </w:rPr>
          <w:t>Spring Lake NC, LLC v. Holloway</w:t>
        </w:r>
        <w:r>
          <w:rPr>
            <w:rStyle w:val="Hyperlink"/>
            <w:rFonts w:ascii="Times New Roman" w:hAnsi="Times New Roman"/>
            <w:sz w:val="24"/>
            <w:szCs w:val="24"/>
          </w:rPr>
          <w:t>, 110 So. 3d 916, 918, 38 Fla. L. Weekly D 262 (Fla. 2nd DCA, Feb. 1, 2013)</w:t>
        </w:r>
      </w:hyperlink>
      <w:r>
        <w:rPr>
          <w:rFonts w:ascii="Times New Roman" w:hAnsi="Times New Roman"/>
          <w:sz w:val="24"/>
          <w:szCs w:val="24"/>
        </w:rPr>
        <w:t>. (“Our modern economy simply could not function if a "meeting of the minds" required individualized understanding of all aspects of the typical standardized contract that is now signed without any expectation that the terms will actually be negotiated between the parties”  Footnote deleted.)</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Of course, this begs the question of whether the parties actually have the opportunity to read the proposed contract, suggest a change or two, or even to consult with counsel before signing the contact?</w:t>
      </w:r>
    </w:p>
    <w:p w:rsidR="006B0071" w:rsidRDefault="006B0071" w:rsidP="006B0071">
      <w:pPr>
        <w:jc w:val="both"/>
        <w:rPr>
          <w:rFonts w:ascii="Times New Roman" w:hAnsi="Times New Roman"/>
          <w:sz w:val="24"/>
          <w:szCs w:val="24"/>
        </w:rPr>
      </w:pPr>
    </w:p>
    <w:p w:rsidR="006B0071" w:rsidRDefault="006B0071" w:rsidP="006B0071">
      <w:pPr>
        <w:jc w:val="both"/>
        <w:rPr>
          <w:rFonts w:ascii="Times New Roman" w:hAnsi="Times New Roman"/>
          <w:sz w:val="24"/>
          <w:szCs w:val="24"/>
        </w:rPr>
      </w:pPr>
      <w:r>
        <w:rPr>
          <w:rFonts w:ascii="Times New Roman" w:hAnsi="Times New Roman"/>
          <w:sz w:val="24"/>
          <w:szCs w:val="24"/>
        </w:rPr>
        <w:t xml:space="preserve">            Concerning the second concern, public policy, particularly as real estate lawyers we understand the public policy enforced by the courts to ensure a level playing field. At a prudential level, the role of the courts leveling the playing field has been seen as necessary to reinforce the </w:t>
      </w:r>
      <w:r>
        <w:rPr>
          <w:rFonts w:ascii="Times New Roman" w:hAnsi="Times New Roman"/>
          <w:sz w:val="24"/>
          <w:szCs w:val="24"/>
        </w:rPr>
        <w:lastRenderedPageBreak/>
        <w:t xml:space="preserve">public’s trust in the overall legal system, despite the perennial groans and catcalls, allowing citizens to peacefully submit disputes over to the courts and accept court decisions. If that trust erodes, then citizens may not rely on the courts and instead exercise self-help which unravels the social compact.  One decision at the heart of the courts effort to level the field, providing a drop of glue binding the social compact, is </w:t>
      </w:r>
      <w:hyperlink r:id="rId12" w:history="1">
        <w:r>
          <w:rPr>
            <w:rStyle w:val="Hyperlink"/>
            <w:rFonts w:ascii="Times New Roman" w:hAnsi="Times New Roman"/>
            <w:i/>
            <w:iCs/>
            <w:sz w:val="24"/>
            <w:szCs w:val="24"/>
          </w:rPr>
          <w:t>Johnson v. Davis</w:t>
        </w:r>
        <w:r>
          <w:rPr>
            <w:rStyle w:val="Hyperlink"/>
            <w:rFonts w:ascii="Times New Roman" w:hAnsi="Times New Roman"/>
            <w:sz w:val="24"/>
            <w:szCs w:val="24"/>
          </w:rPr>
          <w:t>, 480 So.2d 625 (Fla. 1985)</w:t>
        </w:r>
      </w:hyperlink>
      <w:r>
        <w:rPr>
          <w:rFonts w:ascii="Times New Roman" w:hAnsi="Times New Roman"/>
          <w:sz w:val="24"/>
          <w:szCs w:val="24"/>
        </w:rPr>
        <w:t xml:space="preserve">, which requires affirmative disclosure in the context of a residential real estate contact of facts known and not readily observable or known to the buyer.  In rejecting </w:t>
      </w:r>
      <w:r>
        <w:rPr>
          <w:rFonts w:ascii="Times New Roman" w:hAnsi="Times New Roman"/>
          <w:i/>
          <w:iCs/>
          <w:sz w:val="24"/>
          <w:szCs w:val="24"/>
        </w:rPr>
        <w:t>caveat emptor</w:t>
      </w:r>
      <w:r>
        <w:rPr>
          <w:rFonts w:ascii="Times New Roman" w:hAnsi="Times New Roman"/>
          <w:sz w:val="24"/>
          <w:szCs w:val="24"/>
        </w:rPr>
        <w:t xml:space="preserve"> decisions of the past: </w:t>
      </w:r>
    </w:p>
    <w:p w:rsidR="006B0071" w:rsidRDefault="006B0071" w:rsidP="006B0071">
      <w:pPr>
        <w:pStyle w:val="Quote"/>
        <w:rPr>
          <w:szCs w:val="24"/>
        </w:rPr>
      </w:pPr>
    </w:p>
    <w:p w:rsidR="006B0071" w:rsidRDefault="006B0071" w:rsidP="006B0071">
      <w:pPr>
        <w:pStyle w:val="Quote"/>
      </w:pPr>
      <w:r>
        <w:t>These unappetizing cases are not in tune with the times and do not conform with current notions of justice, equity and fair dealing. One should not be able to stand behind the impervious shield of caveat emptor and take advantage of another's ignorance. Our courts have taken great strides since the days when the judicial emphasis was on rigid rules and ancient precedents. Modern concepts of justice and fair dealing have given our courts the opportunity and latitude to change legal precepts in order to conform to society's needs. Thus, the tendency of the more recent cases has been to restrict rather than extend the doctrine of caveat emptor. The law appears to be working toward the ultimate conclusion that full disclosure of all material facts must be made whenever elementary fair conduct demands it.</w:t>
      </w:r>
    </w:p>
    <w:p w:rsidR="006B0071" w:rsidRDefault="006B0071" w:rsidP="006B0071">
      <w:pPr>
        <w:jc w:val="both"/>
        <w:rPr>
          <w:rFonts w:ascii="Times New Roman" w:hAnsi="Times New Roman"/>
          <w:sz w:val="24"/>
          <w:szCs w:val="24"/>
        </w:rPr>
      </w:pPr>
      <w:r>
        <w:rPr>
          <w:rFonts w:ascii="Times New Roman" w:hAnsi="Times New Roman"/>
          <w:i/>
          <w:iCs/>
          <w:sz w:val="24"/>
          <w:szCs w:val="24"/>
        </w:rPr>
        <w:t>Id</w:t>
      </w:r>
      <w:r>
        <w:rPr>
          <w:rFonts w:ascii="Times New Roman" w:hAnsi="Times New Roman"/>
          <w:sz w:val="24"/>
          <w:szCs w:val="24"/>
        </w:rPr>
        <w:t xml:space="preserve"> at 628.  The </w:t>
      </w:r>
      <w:r w:rsidR="0060632D">
        <w:rPr>
          <w:rFonts w:ascii="Times New Roman" w:hAnsi="Times New Roman"/>
          <w:i/>
          <w:iCs/>
          <w:sz w:val="24"/>
          <w:szCs w:val="24"/>
        </w:rPr>
        <w:t>Billington</w:t>
      </w:r>
      <w:r>
        <w:rPr>
          <w:rFonts w:ascii="Times New Roman" w:hAnsi="Times New Roman"/>
          <w:sz w:val="24"/>
          <w:szCs w:val="24"/>
        </w:rPr>
        <w:t xml:space="preserve"> analysis, can be read to harken back to </w:t>
      </w:r>
      <w:r>
        <w:rPr>
          <w:rFonts w:ascii="Times New Roman" w:hAnsi="Times New Roman"/>
          <w:i/>
          <w:iCs/>
          <w:sz w:val="24"/>
          <w:szCs w:val="24"/>
        </w:rPr>
        <w:t>caveat emptor</w:t>
      </w:r>
      <w:r>
        <w:rPr>
          <w:rFonts w:ascii="Times New Roman" w:hAnsi="Times New Roman"/>
          <w:sz w:val="24"/>
          <w:szCs w:val="24"/>
        </w:rPr>
        <w:t>, undermining the Court’s role to ensure a level playing field, unless strictly limited to million dollar sales which does not appear to be intended by the broad certified questions.</w:t>
      </w:r>
    </w:p>
    <w:p w:rsidR="006B0071" w:rsidRDefault="006B0071" w:rsidP="006B0071">
      <w:pPr>
        <w:jc w:val="both"/>
        <w:rPr>
          <w:rFonts w:ascii="Times New Roman" w:hAnsi="Times New Roman"/>
          <w:sz w:val="24"/>
          <w:szCs w:val="24"/>
        </w:rPr>
      </w:pPr>
      <w:r>
        <w:rPr>
          <w:rFonts w:ascii="Times New Roman" w:hAnsi="Times New Roman"/>
          <w:sz w:val="24"/>
          <w:szCs w:val="24"/>
        </w:rPr>
        <w:t xml:space="preserve">            </w:t>
      </w:r>
    </w:p>
    <w:p w:rsidR="006B0071" w:rsidRDefault="006B0071" w:rsidP="006B0071">
      <w:pPr>
        <w:ind w:firstLine="720"/>
        <w:jc w:val="both"/>
        <w:rPr>
          <w:rFonts w:ascii="Times New Roman" w:hAnsi="Times New Roman"/>
          <w:sz w:val="24"/>
          <w:szCs w:val="24"/>
        </w:rPr>
      </w:pPr>
      <w:r>
        <w:rPr>
          <w:rFonts w:ascii="Times New Roman" w:hAnsi="Times New Roman"/>
          <w:sz w:val="24"/>
          <w:szCs w:val="24"/>
        </w:rPr>
        <w:t xml:space="preserve">Is the </w:t>
      </w:r>
      <w:r w:rsidR="0060632D">
        <w:rPr>
          <w:rFonts w:ascii="Times New Roman" w:hAnsi="Times New Roman"/>
          <w:i/>
          <w:iCs/>
          <w:sz w:val="24"/>
          <w:szCs w:val="24"/>
        </w:rPr>
        <w:t>Billington</w:t>
      </w:r>
      <w:r>
        <w:rPr>
          <w:rFonts w:ascii="Times New Roman" w:hAnsi="Times New Roman"/>
          <w:i/>
          <w:iCs/>
          <w:sz w:val="24"/>
          <w:szCs w:val="24"/>
        </w:rPr>
        <w:t xml:space="preserve"> </w:t>
      </w:r>
      <w:r>
        <w:rPr>
          <w:rFonts w:ascii="Times New Roman" w:hAnsi="Times New Roman"/>
          <w:sz w:val="24"/>
          <w:szCs w:val="24"/>
        </w:rPr>
        <w:t xml:space="preserve">analysis just an anomaly?  The erosion of the courts’ role to enforce public policy in the face of the fiction of equal contracting authority has been eroding, recently particularly swiftly.  For example, the role of statutes of limitation, an ancient, literally biblical concept (Deuteronomy 15:1-2 [“At the end of seven years you are to make a Release….”]) recognizing the need to allow a debtor to move on without having to constantly look over his/her shoulder for a creditor’s claim was undermined last year when a lender was able to invoke a note’s provision waiving the limitations period.   </w:t>
      </w:r>
      <w:hyperlink r:id="rId13" w:history="1">
        <w:r>
          <w:rPr>
            <w:rStyle w:val="Hyperlink"/>
            <w:rFonts w:ascii="Times New Roman" w:hAnsi="Times New Roman"/>
            <w:i/>
            <w:iCs/>
            <w:sz w:val="24"/>
            <w:szCs w:val="24"/>
          </w:rPr>
          <w:t>CCM Pathfinder Palm Harbor Management v. Gendron</w:t>
        </w:r>
        <w:r>
          <w:rPr>
            <w:rStyle w:val="Hyperlink"/>
            <w:rFonts w:ascii="Times New Roman" w:hAnsi="Times New Roman"/>
            <w:sz w:val="24"/>
            <w:szCs w:val="24"/>
          </w:rPr>
          <w:t>, _____ So. 3d _____, 40 Fla. L. Weekly D 244 (Fla. 2nd DCA, January 21, 2015)</w:t>
        </w:r>
      </w:hyperlink>
      <w:r>
        <w:rPr>
          <w:rFonts w:ascii="Times New Roman" w:hAnsi="Times New Roman"/>
          <w:sz w:val="24"/>
          <w:szCs w:val="24"/>
        </w:rPr>
        <w:t xml:space="preserve">.  Similarly, just a month after </w:t>
      </w:r>
      <w:r>
        <w:rPr>
          <w:rFonts w:ascii="Times New Roman" w:hAnsi="Times New Roman"/>
          <w:i/>
          <w:iCs/>
          <w:sz w:val="24"/>
          <w:szCs w:val="24"/>
        </w:rPr>
        <w:t xml:space="preserve">CCM Pathfinder </w:t>
      </w:r>
      <w:r>
        <w:rPr>
          <w:rFonts w:ascii="Times New Roman" w:hAnsi="Times New Roman"/>
          <w:sz w:val="24"/>
          <w:szCs w:val="24"/>
        </w:rPr>
        <w:t xml:space="preserve">the head of household exemption of minimum earnings was held to be waived by a contract.  </w:t>
      </w:r>
      <w:hyperlink r:id="rId14" w:history="1">
        <w:r>
          <w:rPr>
            <w:rStyle w:val="Hyperlink"/>
            <w:rFonts w:ascii="Times New Roman" w:hAnsi="Times New Roman"/>
            <w:i/>
            <w:iCs/>
            <w:sz w:val="24"/>
            <w:szCs w:val="24"/>
          </w:rPr>
          <w:t>Hart v. Wachovia Bank</w:t>
        </w:r>
        <w:r>
          <w:rPr>
            <w:rStyle w:val="Hyperlink"/>
            <w:rFonts w:ascii="Times New Roman" w:hAnsi="Times New Roman"/>
            <w:sz w:val="24"/>
            <w:szCs w:val="24"/>
          </w:rPr>
          <w:t>, 159 So. 3d 244, 40 Fla. L. Weekly D 537 (Fla. 1st DCA, February 26, 2015)</w:t>
        </w:r>
      </w:hyperlink>
      <w:r>
        <w:rPr>
          <w:rFonts w:ascii="Times New Roman" w:hAnsi="Times New Roman"/>
          <w:sz w:val="24"/>
          <w:szCs w:val="24"/>
        </w:rPr>
        <w:t>.</w:t>
      </w:r>
    </w:p>
    <w:p w:rsidR="0060632D" w:rsidRDefault="0060632D" w:rsidP="0060632D">
      <w:pPr>
        <w:ind w:firstLine="720"/>
        <w:jc w:val="both"/>
        <w:rPr>
          <w:rFonts w:ascii="Times New Roman" w:hAnsi="Times New Roman"/>
          <w:sz w:val="24"/>
          <w:szCs w:val="24"/>
        </w:rPr>
      </w:pPr>
    </w:p>
    <w:p w:rsidR="006B0071" w:rsidRPr="0060632D" w:rsidRDefault="0060632D" w:rsidP="0060632D">
      <w:pPr>
        <w:ind w:firstLine="720"/>
        <w:jc w:val="both"/>
        <w:rPr>
          <w:rFonts w:ascii="Times New Roman" w:hAnsi="Times New Roman"/>
          <w:sz w:val="24"/>
          <w:szCs w:val="24"/>
        </w:rPr>
      </w:pPr>
      <w:r w:rsidRPr="0060632D">
        <w:rPr>
          <w:rFonts w:eastAsia="Calibri"/>
          <w:color w:val="1F497D"/>
        </w:rPr>
        <w:t> Printed by permission, ©2016 Michael J. Gelfand.</w:t>
      </w:r>
    </w:p>
    <w:p w:rsidR="006B0071" w:rsidRDefault="006B0071" w:rsidP="006B0071"/>
    <w:p w:rsidR="006B0071" w:rsidRDefault="003F79BD" w:rsidP="006B0071">
      <w:pPr>
        <w:rPr>
          <w:i/>
          <w:iCs/>
          <w:color w:val="1F497D"/>
          <w:sz w:val="32"/>
          <w:szCs w:val="32"/>
        </w:rPr>
      </w:pPr>
      <w:hyperlink r:id="rId15" w:history="1">
        <w:r w:rsidR="006B0071">
          <w:rPr>
            <w:rStyle w:val="Hyperlink"/>
            <w:rFonts w:ascii="Arial" w:hAnsi="Arial" w:cs="Arial"/>
            <w:i/>
            <w:iCs/>
            <w:sz w:val="32"/>
            <w:szCs w:val="32"/>
          </w:rPr>
          <w:t>Michael J. Gelfand</w:t>
        </w:r>
      </w:hyperlink>
    </w:p>
    <w:p w:rsidR="006B0071" w:rsidRDefault="006B0071" w:rsidP="006B0071">
      <w:pPr>
        <w:rPr>
          <w:color w:val="1F497D"/>
        </w:rPr>
      </w:pPr>
      <w:r>
        <w:rPr>
          <w:rFonts w:ascii="Arial" w:hAnsi="Arial" w:cs="Arial"/>
          <w:color w:val="1F497D"/>
          <w:sz w:val="20"/>
          <w:szCs w:val="20"/>
        </w:rPr>
        <w:t>Florida Bar Board Certified Real Estate Attorney</w:t>
      </w:r>
    </w:p>
    <w:p w:rsidR="006B0071" w:rsidRDefault="006B0071" w:rsidP="006B0071">
      <w:pPr>
        <w:rPr>
          <w:color w:val="1F497D"/>
        </w:rPr>
      </w:pPr>
      <w:r>
        <w:rPr>
          <w:rFonts w:ascii="Arial" w:hAnsi="Arial" w:cs="Arial"/>
          <w:color w:val="1F497D"/>
          <w:sz w:val="20"/>
          <w:szCs w:val="20"/>
        </w:rPr>
        <w:t>Florida Supreme Court Certified Mediator:</w:t>
      </w:r>
    </w:p>
    <w:p w:rsidR="006B0071" w:rsidRDefault="006B0071" w:rsidP="006B0071">
      <w:pPr>
        <w:rPr>
          <w:rFonts w:ascii="Arial" w:hAnsi="Arial" w:cs="Arial"/>
          <w:color w:val="1F497D"/>
          <w:sz w:val="20"/>
          <w:szCs w:val="20"/>
        </w:rPr>
      </w:pPr>
      <w:r>
        <w:rPr>
          <w:rFonts w:ascii="Arial" w:hAnsi="Arial" w:cs="Arial"/>
          <w:color w:val="1F497D"/>
          <w:sz w:val="20"/>
          <w:szCs w:val="20"/>
        </w:rPr>
        <w:t>   Civil Circuit Court &amp; Civil County Court</w:t>
      </w:r>
    </w:p>
    <w:p w:rsidR="006B0071" w:rsidRDefault="006B0071" w:rsidP="006B0071">
      <w:pPr>
        <w:rPr>
          <w:rFonts w:ascii="Arial" w:hAnsi="Arial" w:cs="Arial"/>
          <w:color w:val="1F497D"/>
          <w:sz w:val="20"/>
          <w:szCs w:val="20"/>
        </w:rPr>
      </w:pPr>
      <w:r>
        <w:rPr>
          <w:rFonts w:ascii="Arial" w:hAnsi="Arial" w:cs="Arial"/>
          <w:color w:val="1F497D"/>
          <w:sz w:val="20"/>
          <w:szCs w:val="20"/>
        </w:rPr>
        <w:t>Fellow, American College of Real Estate Attorneys</w:t>
      </w:r>
    </w:p>
    <w:p w:rsidR="00E66001" w:rsidRDefault="00E66001"/>
    <w:p w:rsidR="00733CBF" w:rsidRDefault="00733CBF" w:rsidP="00733CBF">
      <w:pPr>
        <w:spacing w:line="200" w:lineRule="exact"/>
      </w:pPr>
      <w:r w:rsidRPr="00733CBF">
        <w:rPr>
          <w:rStyle w:val="zzmpTrailerItem"/>
        </w:rPr>
        <w:lastRenderedPageBreak/>
        <w:t>ACTIVE: 8603348_1</w:t>
      </w:r>
      <w:r w:rsidRPr="00733CBF">
        <w:t xml:space="preserve"> </w:t>
      </w:r>
    </w:p>
    <w:sectPr w:rsidR="00733CBF" w:rsidSect="00DD57C8">
      <w:foot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BF" w:rsidRDefault="00733CBF" w:rsidP="00733CBF">
      <w:r>
        <w:separator/>
      </w:r>
    </w:p>
  </w:endnote>
  <w:endnote w:type="continuationSeparator" w:id="0">
    <w:p w:rsidR="00733CBF" w:rsidRDefault="00733CBF" w:rsidP="007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226413"/>
      <w:docPartObj>
        <w:docPartGallery w:val="Page Numbers (Bottom of Page)"/>
        <w:docPartUnique/>
      </w:docPartObj>
    </w:sdtPr>
    <w:sdtEndPr>
      <w:rPr>
        <w:noProof/>
      </w:rPr>
    </w:sdtEndPr>
    <w:sdtContent>
      <w:p w:rsidR="003F79BD" w:rsidRDefault="003F79B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F79BD" w:rsidRDefault="003F7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BF" w:rsidRDefault="00733CBF" w:rsidP="00733CBF">
      <w:r>
        <w:separator/>
      </w:r>
    </w:p>
  </w:footnote>
  <w:footnote w:type="continuationSeparator" w:id="0">
    <w:p w:rsidR="00733CBF" w:rsidRDefault="00733CBF" w:rsidP="00733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ID" w:val="0"/>
    <w:docVar w:name="85TrailerClientMatter" w:val="0"/>
    <w:docVar w:name="85TrailerDate" w:val="0"/>
    <w:docVar w:name="85TrailerDateField" w:val="0"/>
    <w:docVar w:name="85TrailerDraft" w:val="0"/>
    <w:docVar w:name="85TrailerTime" w:val="0"/>
    <w:docVar w:name="85TrailerType" w:val="101"/>
    <w:docVar w:name="MPDocID" w:val="ACTIVE: 8603348_1"/>
    <w:docVar w:name="MPDocIDTemplate" w:val="%l: |%n|_%v"/>
    <w:docVar w:name="MPDocIDTemplateDefault" w:val="%l: |%c/%m:|%n|_%v|_%u"/>
    <w:docVar w:name="NewDocStampType" w:val="2"/>
  </w:docVars>
  <w:rsids>
    <w:rsidRoot w:val="006B0071"/>
    <w:rsid w:val="00180401"/>
    <w:rsid w:val="003D0319"/>
    <w:rsid w:val="003F79BD"/>
    <w:rsid w:val="004C00D2"/>
    <w:rsid w:val="004D2720"/>
    <w:rsid w:val="004E0CF2"/>
    <w:rsid w:val="004E3581"/>
    <w:rsid w:val="00600C91"/>
    <w:rsid w:val="0060632D"/>
    <w:rsid w:val="0061393E"/>
    <w:rsid w:val="006B0071"/>
    <w:rsid w:val="006F6752"/>
    <w:rsid w:val="00733CBF"/>
    <w:rsid w:val="00747E77"/>
    <w:rsid w:val="00811203"/>
    <w:rsid w:val="00820369"/>
    <w:rsid w:val="00907155"/>
    <w:rsid w:val="009203C4"/>
    <w:rsid w:val="009D755D"/>
    <w:rsid w:val="00AF1DDC"/>
    <w:rsid w:val="00B1784A"/>
    <w:rsid w:val="00D424B6"/>
    <w:rsid w:val="00D8087A"/>
    <w:rsid w:val="00D84C57"/>
    <w:rsid w:val="00DC0957"/>
    <w:rsid w:val="00DD57C8"/>
    <w:rsid w:val="00E273C2"/>
    <w:rsid w:val="00E66001"/>
    <w:rsid w:val="00F5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6D4CD-5527-4364-8916-A049E93B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071"/>
    <w:pPr>
      <w:spacing w:after="0" w:line="240" w:lineRule="auto"/>
    </w:pPr>
    <w:rPr>
      <w:rFonts w:ascii="Calibri" w:eastAsiaTheme="minorHAns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0401"/>
    <w:pPr>
      <w:widowControl w:val="0"/>
      <w:spacing w:after="240"/>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811203"/>
    <w:rPr>
      <w:rFonts w:ascii="Times New Roman" w:hAnsi="Times New Roman" w:cs="Times New Roman"/>
      <w:sz w:val="24"/>
      <w:szCs w:val="24"/>
      <w:lang w:eastAsia="en-US"/>
    </w:rPr>
  </w:style>
  <w:style w:type="paragraph" w:customStyle="1" w:styleId="BodyTextContinued">
    <w:name w:val="Body Text Continued"/>
    <w:basedOn w:val="BodyText"/>
    <w:next w:val="BodyText"/>
    <w:rsid w:val="00180401"/>
    <w:pPr>
      <w:ind w:firstLine="0"/>
    </w:pPr>
    <w:rPr>
      <w:szCs w:val="20"/>
    </w:rPr>
  </w:style>
  <w:style w:type="paragraph" w:styleId="Quote">
    <w:name w:val="Quote"/>
    <w:basedOn w:val="Normal"/>
    <w:next w:val="BodyTextContinued"/>
    <w:link w:val="QuoteChar"/>
    <w:uiPriority w:val="29"/>
    <w:qFormat/>
    <w:rsid w:val="00180401"/>
    <w:pPr>
      <w:spacing w:after="240"/>
      <w:ind w:left="1440" w:right="1440"/>
    </w:pPr>
    <w:rPr>
      <w:rFonts w:ascii="Times New Roman" w:eastAsia="Times New Roman" w:hAnsi="Times New Roman"/>
      <w:sz w:val="24"/>
      <w:szCs w:val="20"/>
    </w:rPr>
  </w:style>
  <w:style w:type="character" w:customStyle="1" w:styleId="QuoteChar">
    <w:name w:val="Quote Char"/>
    <w:basedOn w:val="DefaultParagraphFont"/>
    <w:link w:val="Quote"/>
    <w:uiPriority w:val="29"/>
    <w:rsid w:val="00811203"/>
    <w:rPr>
      <w:rFonts w:ascii="Times New Roman" w:hAnsi="Times New Roman" w:cs="Times New Roman"/>
      <w:sz w:val="24"/>
      <w:szCs w:val="20"/>
      <w:lang w:eastAsia="en-US"/>
    </w:rPr>
  </w:style>
  <w:style w:type="paragraph" w:styleId="Header">
    <w:name w:val="header"/>
    <w:basedOn w:val="Normal"/>
    <w:link w:val="HeaderChar"/>
    <w:rsid w:val="00180401"/>
    <w:pPr>
      <w:tabs>
        <w:tab w:val="center" w:pos="4680"/>
        <w:tab w:val="right" w:pos="9360"/>
      </w:tabs>
    </w:pPr>
    <w:rPr>
      <w:rFonts w:ascii="Times New Roman" w:eastAsia="Times New Roman" w:hAnsi="Times New Roman"/>
      <w:sz w:val="24"/>
      <w:szCs w:val="24"/>
    </w:rPr>
  </w:style>
  <w:style w:type="character" w:customStyle="1" w:styleId="HeaderChar">
    <w:name w:val="Header Char"/>
    <w:basedOn w:val="DefaultParagraphFont"/>
    <w:link w:val="Header"/>
    <w:rsid w:val="00811203"/>
    <w:rPr>
      <w:rFonts w:ascii="Times New Roman" w:hAnsi="Times New Roman" w:cs="Times New Roman"/>
      <w:sz w:val="24"/>
      <w:szCs w:val="24"/>
      <w:lang w:eastAsia="en-US"/>
    </w:rPr>
  </w:style>
  <w:style w:type="paragraph" w:styleId="Footer">
    <w:name w:val="footer"/>
    <w:basedOn w:val="Normal"/>
    <w:link w:val="FooterChar"/>
    <w:uiPriority w:val="99"/>
    <w:rsid w:val="00180401"/>
    <w:pPr>
      <w:tabs>
        <w:tab w:val="center" w:pos="4680"/>
        <w:tab w:val="right" w:pos="9360"/>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811203"/>
    <w:rPr>
      <w:rFonts w:ascii="Times New Roman" w:hAnsi="Times New Roman" w:cs="Times New Roman"/>
      <w:sz w:val="24"/>
      <w:szCs w:val="24"/>
      <w:lang w:eastAsia="en-US"/>
    </w:rPr>
  </w:style>
  <w:style w:type="character" w:styleId="PageNumber">
    <w:name w:val="page number"/>
    <w:basedOn w:val="DefaultParagraphFont"/>
    <w:rsid w:val="00180401"/>
  </w:style>
  <w:style w:type="character" w:styleId="Hyperlink">
    <w:name w:val="Hyperlink"/>
    <w:basedOn w:val="DefaultParagraphFont"/>
    <w:uiPriority w:val="99"/>
    <w:semiHidden/>
    <w:unhideWhenUsed/>
    <w:rsid w:val="006B0071"/>
    <w:rPr>
      <w:color w:val="0000FF"/>
      <w:u w:val="single"/>
    </w:rPr>
  </w:style>
  <w:style w:type="character" w:styleId="FollowedHyperlink">
    <w:name w:val="FollowedHyperlink"/>
    <w:basedOn w:val="DefaultParagraphFont"/>
    <w:uiPriority w:val="99"/>
    <w:semiHidden/>
    <w:unhideWhenUsed/>
    <w:rsid w:val="0061393E"/>
    <w:rPr>
      <w:color w:val="800080" w:themeColor="followedHyperlink"/>
      <w:u w:val="single"/>
    </w:rPr>
  </w:style>
  <w:style w:type="character" w:customStyle="1" w:styleId="zzmpTrailerItem">
    <w:name w:val="zzmpTrailerItem"/>
    <w:basedOn w:val="DefaultParagraphFont"/>
    <w:rsid w:val="00733CBF"/>
    <w:rPr>
      <w:rFonts w:ascii="Calibri" w:hAnsi="Calibri"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mmYQBGFqgA6aFl" TargetMode="External"/><Relationship Id="rId13" Type="http://schemas.openxmlformats.org/officeDocument/2006/relationships/hyperlink" Target="https://protect-us.mimecast.com/s/GWGkBQi2Q8XYu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otect-us.mimecast.com/s/ZpJlB3hkxb5qCM" TargetMode="External"/><Relationship Id="rId12" Type="http://schemas.openxmlformats.org/officeDocument/2006/relationships/hyperlink" Target="https://protect-us.mimecast.com/s/pVWOBgh8AkM1s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rotect-us.mimecast.com/s/ZpJlB3hkxb5qCM" TargetMode="External"/><Relationship Id="rId11" Type="http://schemas.openxmlformats.org/officeDocument/2006/relationships/hyperlink" Target="https://protect-us.mimecast.com/s/LL2gBluRkwLKfL" TargetMode="External"/><Relationship Id="rId5" Type="http://schemas.openxmlformats.org/officeDocument/2006/relationships/endnotes" Target="endnotes.xml"/><Relationship Id="rId15" Type="http://schemas.openxmlformats.org/officeDocument/2006/relationships/hyperlink" Target="https://protect-us.mimecast.com/s/K2W5B9fGvOMbCg" TargetMode="External"/><Relationship Id="rId10" Type="http://schemas.openxmlformats.org/officeDocument/2006/relationships/hyperlink" Target="https://protect-us.mimecast.com/s/pVWOBgh8AkM1so" TargetMode="External"/><Relationship Id="rId4" Type="http://schemas.openxmlformats.org/officeDocument/2006/relationships/footnotes" Target="footnotes.xml"/><Relationship Id="rId9" Type="http://schemas.openxmlformats.org/officeDocument/2006/relationships/hyperlink" Target="https://protect-us.mimecast.com/s/kJMDBpfAaJMnc1" TargetMode="External"/><Relationship Id="rId14" Type="http://schemas.openxmlformats.org/officeDocument/2006/relationships/hyperlink" Target="https://protect-us.mimecast.com/s/Y1J9BAhm87Er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Becker &amp; Poliakoff</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&amp; Poliakoff</dc:creator>
  <cp:keywords/>
  <dc:description/>
  <cp:lastModifiedBy>Becker &amp; Poliakoff</cp:lastModifiedBy>
  <cp:revision>3</cp:revision>
  <cp:lastPrinted>2016-06-06T15:27:00Z</cp:lastPrinted>
  <dcterms:created xsi:type="dcterms:W3CDTF">2016-06-05T17:18:00Z</dcterms:created>
  <dcterms:modified xsi:type="dcterms:W3CDTF">2016-06-06T15:27:00Z</dcterms:modified>
</cp:coreProperties>
</file>