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Default="00F9535D" w:rsidP="00146E4E">
      <w:pPr>
        <w:pStyle w:val="BlockText"/>
        <w:jc w:val="center"/>
        <w:rPr>
          <w:b/>
          <w:sz w:val="32"/>
          <w:szCs w:val="32"/>
        </w:rPr>
      </w:pPr>
      <w:r w:rsidRPr="00DD0357">
        <w:rPr>
          <w:b/>
          <w:sz w:val="32"/>
          <w:szCs w:val="32"/>
        </w:rPr>
        <w:t>The Florida Bar: Real Property, Probate and Trust Law Section</w:t>
      </w:r>
    </w:p>
    <w:p w:rsidR="009A10B6" w:rsidRPr="00DD0357" w:rsidRDefault="00F9535D" w:rsidP="00832A42">
      <w:pPr>
        <w:pStyle w:val="BlockText"/>
        <w:jc w:val="center"/>
        <w:rPr>
          <w:b/>
          <w:sz w:val="32"/>
          <w:szCs w:val="32"/>
        </w:rPr>
      </w:pPr>
      <w:r w:rsidRPr="00DD0357">
        <w:rPr>
          <w:b/>
          <w:sz w:val="32"/>
          <w:szCs w:val="32"/>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6F4CE9" w:rsidRPr="00541BCF" w:rsidRDefault="001476D7" w:rsidP="00541BCF">
      <w:pPr>
        <w:pStyle w:val="BlockText"/>
        <w:jc w:val="center"/>
      </w:pPr>
      <w:r>
        <w:t>Month</w:t>
      </w:r>
      <w:r w:rsidR="00431F8E">
        <w:t>s of February and March</w:t>
      </w:r>
      <w:r w:rsidR="00146910">
        <w:t xml:space="preserve"> </w:t>
      </w:r>
      <w:r w:rsidR="009324C3">
        <w:t>2016</w:t>
      </w:r>
    </w:p>
    <w:p w:rsidR="00CC601F" w:rsidRDefault="00CC601F" w:rsidP="007D14A8">
      <w:pPr>
        <w:pStyle w:val="BlockText"/>
        <w:rPr>
          <w:b/>
          <w:u w:val="single"/>
        </w:rPr>
      </w:pPr>
    </w:p>
    <w:p w:rsidR="005F2CFE" w:rsidRPr="007A76DB" w:rsidRDefault="009324C3" w:rsidP="005F2CFE">
      <w:pPr>
        <w:pStyle w:val="BlockText"/>
        <w:rPr>
          <w:b/>
          <w:sz w:val="28"/>
          <w:szCs w:val="28"/>
          <w:u w:val="single"/>
        </w:rPr>
      </w:pPr>
      <w:r>
        <w:rPr>
          <w:b/>
          <w:sz w:val="28"/>
          <w:szCs w:val="28"/>
          <w:u w:val="single"/>
        </w:rPr>
        <w:t>Reminder: We have discontinued reporting on</w:t>
      </w:r>
      <w:r w:rsidR="005F2CFE" w:rsidRPr="007A76DB">
        <w:rPr>
          <w:b/>
          <w:sz w:val="28"/>
          <w:szCs w:val="28"/>
          <w:u w:val="single"/>
        </w:rPr>
        <w:t xml:space="preserve"> </w:t>
      </w:r>
      <w:r w:rsidR="005F2CFE" w:rsidRPr="005F2CFE">
        <w:rPr>
          <w:b/>
          <w:i/>
          <w:sz w:val="28"/>
          <w:szCs w:val="28"/>
          <w:u w:val="single"/>
        </w:rPr>
        <w:t>Department of Health</w:t>
      </w:r>
      <w:r w:rsidR="005F2CFE" w:rsidRPr="007A76DB">
        <w:rPr>
          <w:b/>
          <w:sz w:val="28"/>
          <w:szCs w:val="28"/>
          <w:u w:val="single"/>
        </w:rPr>
        <w:t xml:space="preserve">, </w:t>
      </w:r>
      <w:r w:rsidR="005F2CFE" w:rsidRPr="005F2CFE">
        <w:rPr>
          <w:b/>
          <w:i/>
          <w:sz w:val="28"/>
          <w:szCs w:val="28"/>
          <w:u w:val="single"/>
        </w:rPr>
        <w:t xml:space="preserve">Department of Environmental Regulation </w:t>
      </w:r>
      <w:r w:rsidR="005F2CFE" w:rsidRPr="007A76DB">
        <w:rPr>
          <w:b/>
          <w:sz w:val="28"/>
          <w:szCs w:val="28"/>
          <w:u w:val="single"/>
        </w:rPr>
        <w:t xml:space="preserve">and </w:t>
      </w:r>
      <w:r w:rsidR="005F2CFE" w:rsidRPr="005F2CFE">
        <w:rPr>
          <w:b/>
          <w:i/>
          <w:sz w:val="28"/>
          <w:szCs w:val="28"/>
          <w:u w:val="single"/>
        </w:rPr>
        <w:t>Department of Financial Services</w:t>
      </w:r>
      <w:r w:rsidR="005F2CFE" w:rsidRPr="007A76DB">
        <w:rPr>
          <w:b/>
          <w:sz w:val="28"/>
          <w:szCs w:val="28"/>
          <w:u w:val="single"/>
        </w:rPr>
        <w:t xml:space="preserve"> (except for Workers’ Compensation Division)</w:t>
      </w:r>
      <w:r w:rsidR="005F2CFE">
        <w:rPr>
          <w:b/>
          <w:sz w:val="28"/>
          <w:szCs w:val="28"/>
          <w:u w:val="single"/>
        </w:rPr>
        <w:t xml:space="preserve">, as well as the following areas under DBPR: </w:t>
      </w:r>
      <w:r w:rsidR="00D51B8C" w:rsidRPr="00D51B8C">
        <w:rPr>
          <w:b/>
          <w:i/>
          <w:sz w:val="28"/>
          <w:szCs w:val="28"/>
          <w:u w:val="single"/>
        </w:rPr>
        <w:t>Division of Restaurants</w:t>
      </w:r>
      <w:r w:rsidR="00D51B8C">
        <w:rPr>
          <w:b/>
          <w:sz w:val="28"/>
          <w:szCs w:val="28"/>
          <w:u w:val="single"/>
        </w:rPr>
        <w:t xml:space="preserve">, </w:t>
      </w:r>
      <w:r w:rsidR="005F2CFE" w:rsidRPr="005F2CFE">
        <w:rPr>
          <w:b/>
          <w:i/>
          <w:sz w:val="28"/>
          <w:szCs w:val="28"/>
          <w:u w:val="single"/>
        </w:rPr>
        <w:t>Landscape Architecture, Geology, Home Inspectors and Asbestos.</w:t>
      </w:r>
    </w:p>
    <w:p w:rsidR="005F2CFE" w:rsidRDefault="005F2CFE" w:rsidP="005F2CFE">
      <w:pPr>
        <w:pStyle w:val="BlockText"/>
      </w:pPr>
      <w:r>
        <w:tab/>
      </w:r>
    </w:p>
    <w:p w:rsidR="005F2CFE" w:rsidRDefault="005F2CFE" w:rsidP="007D14A8">
      <w:pPr>
        <w:pStyle w:val="BlockText"/>
        <w:rPr>
          <w:b/>
          <w:u w:val="single"/>
        </w:rPr>
      </w:pPr>
    </w:p>
    <w:p w:rsidR="007F16BD" w:rsidRDefault="00DD0357" w:rsidP="007D14A8">
      <w:pPr>
        <w:pStyle w:val="BlockText"/>
        <w:rPr>
          <w:b/>
          <w:u w:val="single"/>
        </w:rPr>
      </w:pPr>
      <w:r>
        <w:rPr>
          <w:b/>
          <w:u w:val="single"/>
        </w:rPr>
        <w:t>STATE AND FEDERAL APPELLATE DECISIONS</w:t>
      </w:r>
      <w:r w:rsidR="00D9771C" w:rsidRPr="00D9771C">
        <w:rPr>
          <w:b/>
          <w:u w:val="single"/>
        </w:rPr>
        <w:t>:</w:t>
      </w:r>
    </w:p>
    <w:p w:rsidR="00C97707" w:rsidRDefault="00C97707" w:rsidP="007D14A8">
      <w:pPr>
        <w:pStyle w:val="BlockText"/>
        <w:rPr>
          <w:b/>
          <w:u w:val="single"/>
        </w:rPr>
      </w:pPr>
    </w:p>
    <w:p w:rsidR="001D277E" w:rsidRDefault="001D277E" w:rsidP="001D277E">
      <w:pPr>
        <w:contextualSpacing/>
        <w:rPr>
          <w:rFonts w:cs="Times New Roman"/>
        </w:rPr>
      </w:pPr>
      <w:r>
        <w:rPr>
          <w:rFonts w:cs="Times New Roman"/>
          <w:i/>
        </w:rPr>
        <w:t>Gray v Mark Hall Homes</w:t>
      </w:r>
      <w:r>
        <w:rPr>
          <w:rFonts w:cs="Times New Roman"/>
        </w:rPr>
        <w:t>, 2016 WL 459436 (Fla. 2</w:t>
      </w:r>
      <w:r w:rsidRPr="00E83D0C">
        <w:rPr>
          <w:rFonts w:cs="Times New Roman"/>
          <w:vertAlign w:val="superscript"/>
        </w:rPr>
        <w:t>nd</w:t>
      </w:r>
      <w:r>
        <w:rPr>
          <w:rFonts w:cs="Times New Roman"/>
        </w:rPr>
        <w:t xml:space="preserve"> DCA 2016)</w:t>
      </w:r>
    </w:p>
    <w:p w:rsidR="001D277E" w:rsidRDefault="001D277E" w:rsidP="001D277E">
      <w:pPr>
        <w:contextualSpacing/>
        <w:rPr>
          <w:rFonts w:cs="Times New Roman"/>
        </w:rPr>
      </w:pPr>
    </w:p>
    <w:p w:rsidR="001D277E" w:rsidRDefault="001D277E" w:rsidP="001D277E">
      <w:pPr>
        <w:ind w:firstLine="720"/>
        <w:contextualSpacing/>
        <w:rPr>
          <w:rFonts w:cs="Times New Roman"/>
        </w:rPr>
      </w:pPr>
      <w:r>
        <w:rPr>
          <w:rFonts w:cs="Times New Roman"/>
        </w:rPr>
        <w:t xml:space="preserve">This case applies the </w:t>
      </w:r>
      <w:r w:rsidRPr="00831EC2">
        <w:rPr>
          <w:rFonts w:cs="Times New Roman"/>
          <w:u w:val="single"/>
        </w:rPr>
        <w:t>Grossman</w:t>
      </w:r>
      <w:r>
        <w:rPr>
          <w:rFonts w:cs="Times New Roman"/>
        </w:rPr>
        <w:t xml:space="preserve"> measure of damages for loss of value.  A homeowner sued her contractor for construction defects in her new residence.  At trial the homeowner presented the testimony of a general contractor, realtor, and home inspector, none of which were qualified to testify as experts, but each of which gave lay opinion testimony with no objection by the contractor.  The testimony of these three witnesses was sufficient to establish that the residence should be bulldozed because the cost to repair would not justify the result.  The jury awarded the homeowner the $168,000 she contracted to pay for the residence, but the trial court directed a verdict for the contractor and limited the damages to the $16,000 paid by the homeowner for repair of a balcony.</w:t>
      </w:r>
    </w:p>
    <w:p w:rsidR="001D277E" w:rsidRDefault="001D277E" w:rsidP="001D277E">
      <w:pPr>
        <w:ind w:firstLine="720"/>
        <w:contextualSpacing/>
        <w:rPr>
          <w:rFonts w:cs="Times New Roman"/>
        </w:rPr>
      </w:pPr>
    </w:p>
    <w:p w:rsidR="001D277E" w:rsidRDefault="001D277E" w:rsidP="001D277E">
      <w:pPr>
        <w:ind w:firstLine="720"/>
        <w:contextualSpacing/>
        <w:rPr>
          <w:rFonts w:cs="Times New Roman"/>
        </w:rPr>
      </w:pPr>
      <w:r>
        <w:rPr>
          <w:rFonts w:cs="Times New Roman"/>
        </w:rPr>
        <w:t xml:space="preserve">On appeal, the Second District Court of Appeal cited </w:t>
      </w:r>
      <w:r>
        <w:rPr>
          <w:rFonts w:cs="Times New Roman"/>
          <w:i/>
        </w:rPr>
        <w:t>Grossman Holdings Ltd. v. Hourihan</w:t>
      </w:r>
      <w:r>
        <w:rPr>
          <w:rFonts w:cs="Times New Roman"/>
        </w:rPr>
        <w:t>, 414 So.2d 1037 (Fla. 1982), and its adoption of the Restatement (First) of Contracts’ rule that, in a case where the cost of repairs would constitute economic waste, the measure of damages is “the difference between the value that the product contracted for would have had and the value of the performance that has been received.”  The Court held that the lay opinion of the three witnesses was sufficient evidence for a complete loss of value and reversed with instructions to reinstate the jury’s verdict.  The contractor argued that the evidence was gratuitous lay opinion and therefore insufficient, but the Court held the argument was waived when the contractor failed to object.</w:t>
      </w:r>
    </w:p>
    <w:p w:rsidR="001D277E" w:rsidRDefault="001D277E" w:rsidP="001D277E">
      <w:pPr>
        <w:contextualSpacing/>
        <w:rPr>
          <w:rFonts w:cs="Times New Roman"/>
        </w:rPr>
      </w:pPr>
    </w:p>
    <w:p w:rsidR="001D277E" w:rsidRPr="003677A9" w:rsidRDefault="001D277E" w:rsidP="001D277E">
      <w:pPr>
        <w:contextualSpacing/>
        <w:rPr>
          <w:rFonts w:cs="Times New Roman"/>
        </w:rPr>
      </w:pPr>
      <w:r>
        <w:rPr>
          <w:rFonts w:cs="Times New Roman"/>
          <w:b/>
        </w:rPr>
        <w:t xml:space="preserve">Editor’s note: </w:t>
      </w:r>
      <w:r>
        <w:rPr>
          <w:rFonts w:cs="Times New Roman"/>
        </w:rPr>
        <w:t xml:space="preserve"> There is no discussion in the opinion concerning proof of the value of the residence that the homeowner contracted for.  It appears the Court assumed the contract price is the same as the contracted-for value.  </w:t>
      </w:r>
    </w:p>
    <w:p w:rsidR="001D277E" w:rsidRDefault="001D277E" w:rsidP="001D277E">
      <w:pPr>
        <w:contextualSpacing/>
        <w:rPr>
          <w:rFonts w:cs="Times New Roman"/>
        </w:rPr>
      </w:pPr>
    </w:p>
    <w:p w:rsidR="001D277E" w:rsidRDefault="001D277E" w:rsidP="001D277E">
      <w:pPr>
        <w:contextualSpacing/>
        <w:rPr>
          <w:rFonts w:cs="Times New Roman"/>
        </w:rPr>
      </w:pPr>
      <w:r>
        <w:rPr>
          <w:rFonts w:cs="Times New Roman"/>
          <w:i/>
        </w:rPr>
        <w:t>Brock v Garner Window &amp; Door Sales, Inc.</w:t>
      </w:r>
      <w:r>
        <w:rPr>
          <w:rFonts w:cs="Times New Roman"/>
        </w:rPr>
        <w:t>, 2016 WL 830452 (Fla. 5</w:t>
      </w:r>
      <w:r w:rsidRPr="00E83D0C">
        <w:rPr>
          <w:rFonts w:cs="Times New Roman"/>
          <w:vertAlign w:val="superscript"/>
        </w:rPr>
        <w:t>th</w:t>
      </w:r>
      <w:r>
        <w:rPr>
          <w:rFonts w:cs="Times New Roman"/>
        </w:rPr>
        <w:t xml:space="preserve"> DCA 2016)</w:t>
      </w:r>
    </w:p>
    <w:p w:rsidR="001D277E" w:rsidRDefault="001D277E" w:rsidP="001D277E">
      <w:pPr>
        <w:contextualSpacing/>
        <w:rPr>
          <w:rFonts w:cs="Times New Roman"/>
        </w:rPr>
      </w:pPr>
    </w:p>
    <w:p w:rsidR="001D277E" w:rsidRDefault="001D277E" w:rsidP="001D277E">
      <w:pPr>
        <w:ind w:firstLine="720"/>
        <w:contextualSpacing/>
        <w:rPr>
          <w:rFonts w:cs="Times New Roman"/>
        </w:rPr>
      </w:pPr>
      <w:r>
        <w:rPr>
          <w:rFonts w:cs="Times New Roman"/>
        </w:rPr>
        <w:t xml:space="preserve">Does the four-year statute of limitations for construction of improvements to real property benefit unlicensed contractors or only those who are practicing in compliance with state licensing law?  Two judges from the Fifth District Court of Appeal interpreted section 95.11(3)(c), Fla. Stat., to apply whether the contractor is licensed or not while one judge penned a compelling dissent.  The case turned on application of the rules of statutory interpretation.  Section 95.11(3)(c) provides that the four-year limitations period begins on the latter of four dates, one of which is the “date of completion or termination of the contract between the . . . </w:t>
      </w:r>
      <w:r w:rsidRPr="00DC766D">
        <w:rPr>
          <w:rFonts w:cs="Times New Roman"/>
          <w:b/>
        </w:rPr>
        <w:t>licensed contractor</w:t>
      </w:r>
      <w:r>
        <w:rPr>
          <w:rFonts w:cs="Times New Roman"/>
        </w:rPr>
        <w:t xml:space="preserve"> and his or her employer.”   (Emphasis added).  The two-judge majority held that this language does not limit the type of actions the statute applies to.</w:t>
      </w:r>
    </w:p>
    <w:p w:rsidR="001D277E" w:rsidRDefault="001D277E" w:rsidP="001D277E">
      <w:pPr>
        <w:contextualSpacing/>
        <w:rPr>
          <w:rFonts w:cs="Times New Roman"/>
        </w:rPr>
      </w:pPr>
    </w:p>
    <w:p w:rsidR="00133FBD" w:rsidRDefault="001D277E" w:rsidP="001D277E">
      <w:pPr>
        <w:pStyle w:val="BlockText"/>
        <w:rPr>
          <w:b/>
          <w:u w:val="single"/>
        </w:rPr>
      </w:pPr>
      <w:r>
        <w:rPr>
          <w:rFonts w:cs="Times New Roman"/>
        </w:rPr>
        <w:t>All three judges also held that section 489.128, which prevents an unlicensed contractor from enforcing a contract, does not prevent an unlicensed contractor from defending against an action to enforce a contract by the owner by asserting a statute of limitations def</w:t>
      </w:r>
      <w:r w:rsidR="003D2853">
        <w:rPr>
          <w:rFonts w:cs="Times New Roman"/>
        </w:rPr>
        <w:t>ense.</w:t>
      </w:r>
    </w:p>
    <w:p w:rsidR="001D277E" w:rsidRPr="00B972A0" w:rsidRDefault="001D277E" w:rsidP="00133FBD">
      <w:pPr>
        <w:pStyle w:val="BlockText"/>
        <w:rPr>
          <w:b/>
          <w:u w:val="single"/>
        </w:rPr>
      </w:pPr>
    </w:p>
    <w:p w:rsidR="00437958" w:rsidRDefault="00EB61E2" w:rsidP="00133FBD">
      <w:pPr>
        <w:pStyle w:val="BlockText"/>
        <w:rPr>
          <w:u w:val="single"/>
        </w:rPr>
      </w:pPr>
      <w:r w:rsidRPr="00797252">
        <w:rPr>
          <w:b/>
          <w:u w:val="single"/>
        </w:rPr>
        <w:t>DOAH</w:t>
      </w:r>
      <w:r w:rsidR="00062BAB">
        <w:rPr>
          <w:b/>
          <w:u w:val="single"/>
        </w:rPr>
        <w:t xml:space="preserve"> ORDERS</w:t>
      </w:r>
      <w:r w:rsidR="00DD0357">
        <w:rPr>
          <w:b/>
          <w:u w:val="single"/>
        </w:rPr>
        <w:t xml:space="preserve"> </w:t>
      </w:r>
      <w:r w:rsidR="00DD0357">
        <w:rPr>
          <w:u w:val="single"/>
        </w:rPr>
        <w:t>(if any)</w:t>
      </w:r>
      <w:r w:rsidR="00D9771C" w:rsidRPr="00DD0357">
        <w:rPr>
          <w:u w:val="single"/>
        </w:rPr>
        <w:t>:</w:t>
      </w:r>
    </w:p>
    <w:p w:rsidR="00863EC6" w:rsidRDefault="00863EC6" w:rsidP="00133FBD">
      <w:pPr>
        <w:pStyle w:val="BlockText"/>
        <w:rPr>
          <w:u w:val="single"/>
        </w:rPr>
      </w:pPr>
    </w:p>
    <w:p w:rsidR="001D277E" w:rsidRDefault="00863EC6" w:rsidP="00133FBD">
      <w:pPr>
        <w:pStyle w:val="BlockText"/>
      </w:pPr>
      <w:r w:rsidRPr="001D277E">
        <w:rPr>
          <w:i/>
        </w:rPr>
        <w:t>D</w:t>
      </w:r>
      <w:r w:rsidR="009F5553" w:rsidRPr="001D277E">
        <w:rPr>
          <w:i/>
        </w:rPr>
        <w:t xml:space="preserve">epartment of </w:t>
      </w:r>
      <w:r w:rsidRPr="001D277E">
        <w:rPr>
          <w:i/>
        </w:rPr>
        <w:t>B</w:t>
      </w:r>
      <w:r w:rsidR="009F5553" w:rsidRPr="001D277E">
        <w:rPr>
          <w:i/>
        </w:rPr>
        <w:t xml:space="preserve">usiness and </w:t>
      </w:r>
      <w:r w:rsidRPr="001D277E">
        <w:rPr>
          <w:i/>
        </w:rPr>
        <w:t>P</w:t>
      </w:r>
      <w:r w:rsidR="009F5553" w:rsidRPr="001D277E">
        <w:rPr>
          <w:i/>
        </w:rPr>
        <w:t xml:space="preserve">rofessional </w:t>
      </w:r>
      <w:r w:rsidRPr="001D277E">
        <w:rPr>
          <w:i/>
        </w:rPr>
        <w:t>R</w:t>
      </w:r>
      <w:r w:rsidR="009F5553" w:rsidRPr="001D277E">
        <w:rPr>
          <w:i/>
        </w:rPr>
        <w:t>egulation</w:t>
      </w:r>
      <w:r w:rsidRPr="001D277E">
        <w:rPr>
          <w:i/>
        </w:rPr>
        <w:t>, C</w:t>
      </w:r>
      <w:r w:rsidR="009F5553" w:rsidRPr="001D277E">
        <w:rPr>
          <w:i/>
        </w:rPr>
        <w:t xml:space="preserve">onstruction Industry </w:t>
      </w:r>
      <w:r w:rsidRPr="001D277E">
        <w:rPr>
          <w:i/>
        </w:rPr>
        <w:t>L</w:t>
      </w:r>
      <w:r w:rsidR="009F5553" w:rsidRPr="001D277E">
        <w:rPr>
          <w:i/>
        </w:rPr>
        <w:t xml:space="preserve">icensing </w:t>
      </w:r>
      <w:r w:rsidRPr="001D277E">
        <w:rPr>
          <w:i/>
        </w:rPr>
        <w:t>B</w:t>
      </w:r>
      <w:r w:rsidR="009F5553" w:rsidRPr="001D277E">
        <w:rPr>
          <w:i/>
        </w:rPr>
        <w:t>oard</w:t>
      </w:r>
      <w:r w:rsidRPr="001D277E">
        <w:rPr>
          <w:i/>
        </w:rPr>
        <w:t xml:space="preserve"> v. Requejo</w:t>
      </w:r>
      <w:r w:rsidRPr="001D277E">
        <w:t>, Case No. 15-7339PL:</w:t>
      </w:r>
      <w:r>
        <w:t xml:space="preserve"> </w:t>
      </w:r>
    </w:p>
    <w:p w:rsidR="001D277E" w:rsidRDefault="001D277E" w:rsidP="00133FBD">
      <w:pPr>
        <w:pStyle w:val="BlockText"/>
      </w:pPr>
    </w:p>
    <w:p w:rsidR="00FC1955" w:rsidRDefault="00863EC6" w:rsidP="003D2853">
      <w:pPr>
        <w:pStyle w:val="BlockText"/>
        <w:ind w:firstLine="720"/>
      </w:pPr>
      <w:r>
        <w:t>Recommended Order entered on March 17, 2016, finding that respondent assisted an unlicensed person in the unlicensed practice of contracting by applying for a permit to perform construction work under contact with the owner and the unlicensed person</w:t>
      </w:r>
      <w:r w:rsidR="00FC1955">
        <w:t xml:space="preserve">, and recommending six (6) months suspension of license, probation as determined by the board, a $7,000 fine and restitution of $3,500. </w:t>
      </w:r>
    </w:p>
    <w:p w:rsidR="001D277E" w:rsidRDefault="001D277E" w:rsidP="001D277E">
      <w:pPr>
        <w:pStyle w:val="BlockText"/>
      </w:pPr>
    </w:p>
    <w:p w:rsidR="00863EC6" w:rsidRPr="00863EC6" w:rsidRDefault="003D2853" w:rsidP="00133FBD">
      <w:pPr>
        <w:pStyle w:val="BlockText"/>
      </w:pPr>
      <w:r w:rsidRPr="003D2853">
        <w:rPr>
          <w:b/>
          <w:u w:val="single"/>
        </w:rPr>
        <w:t>Editor’s Note</w:t>
      </w:r>
      <w:r w:rsidR="00FC1955" w:rsidRPr="003D2853">
        <w:rPr>
          <w:b/>
          <w:u w:val="single"/>
        </w:rPr>
        <w:t>:</w:t>
      </w:r>
      <w:r w:rsidR="00FC1955">
        <w:t xml:space="preserve"> While the licensee did not appear at the final hearing in this case, the recommended order is a good indication of the types of sanctions that can be expected in such cases, making it critical that the contract bear the name of the licensee or the business entity qualified a licensee at the time the contract is entered into</w:t>
      </w:r>
      <w:r w:rsidR="00863EC6">
        <w:t>.</w:t>
      </w:r>
    </w:p>
    <w:p w:rsidR="004E60B2" w:rsidRPr="004E60B2" w:rsidRDefault="004E60B2" w:rsidP="00133FBD">
      <w:pPr>
        <w:pStyle w:val="BlockText"/>
      </w:pPr>
    </w:p>
    <w:p w:rsidR="00B26EF6" w:rsidRDefault="00B26EF6" w:rsidP="00D72E5C">
      <w:pPr>
        <w:pStyle w:val="BlockText"/>
        <w:rPr>
          <w:b/>
          <w:u w:val="single"/>
        </w:rPr>
      </w:pPr>
      <w:r w:rsidRPr="00B26EF6">
        <w:rPr>
          <w:b/>
          <w:u w:val="single"/>
        </w:rPr>
        <w:t>AGENCY REGULATIONS:</w:t>
      </w:r>
      <w:r w:rsidR="00146910">
        <w:rPr>
          <w:b/>
          <w:u w:val="single"/>
        </w:rPr>
        <w:t xml:space="preserve"> </w:t>
      </w:r>
    </w:p>
    <w:p w:rsidR="00146910" w:rsidRDefault="00146910" w:rsidP="00D72E5C">
      <w:pPr>
        <w:pStyle w:val="BlockText"/>
        <w:rPr>
          <w:b/>
          <w:u w:val="single"/>
        </w:rPr>
      </w:pPr>
    </w:p>
    <w:p w:rsidR="004E142A" w:rsidRDefault="00DE52F2" w:rsidP="00DE52F2">
      <w:pPr>
        <w:pStyle w:val="BlockText"/>
        <w:rPr>
          <w:b/>
          <w:u w:val="single"/>
        </w:rPr>
      </w:pPr>
      <w:r w:rsidRPr="007A76DB">
        <w:rPr>
          <w:b/>
          <w:u w:val="single"/>
        </w:rPr>
        <w:t>A.</w:t>
      </w:r>
      <w:r w:rsidRPr="007A76DB">
        <w:rPr>
          <w:u w:val="single"/>
        </w:rPr>
        <w:t xml:space="preserve"> </w:t>
      </w:r>
      <w:r w:rsidR="004E142A" w:rsidRPr="007A76DB">
        <w:rPr>
          <w:b/>
          <w:u w:val="single"/>
        </w:rPr>
        <w:t>Department of Business and Professional Regulation</w:t>
      </w:r>
      <w:r w:rsidR="007A76DB" w:rsidRPr="007A76DB">
        <w:rPr>
          <w:b/>
          <w:u w:val="single"/>
        </w:rPr>
        <w:t>:</w:t>
      </w:r>
      <w:r w:rsidR="00483127">
        <w:rPr>
          <w:b/>
          <w:u w:val="single"/>
        </w:rPr>
        <w:t xml:space="preserve"> </w:t>
      </w:r>
    </w:p>
    <w:p w:rsidR="00483127" w:rsidRPr="00483127" w:rsidRDefault="00483127" w:rsidP="00DE52F2">
      <w:pPr>
        <w:pStyle w:val="BlockText"/>
      </w:pPr>
      <w:r>
        <w:tab/>
      </w:r>
    </w:p>
    <w:p w:rsidR="004E142A" w:rsidRDefault="00483127" w:rsidP="00483127">
      <w:pPr>
        <w:pStyle w:val="BlockText"/>
      </w:pPr>
      <w:r w:rsidRPr="00483127">
        <w:rPr>
          <w:b/>
          <w:u w:val="single"/>
        </w:rPr>
        <w:t>Editor’s Note</w:t>
      </w:r>
      <w:r>
        <w:t>: Each agency has been requested to review all existing rules to identify any that can be repealed as redundant, provided for by statute or unnecessary.</w:t>
      </w:r>
      <w:r w:rsidR="00062BAB">
        <w:t xml:space="preserve"> For that reason many of the rule changes reported herein are for the purpose of being REPEALED.</w:t>
      </w:r>
    </w:p>
    <w:p w:rsidR="00483127" w:rsidRDefault="00483127" w:rsidP="00483127">
      <w:pPr>
        <w:pStyle w:val="BlockText"/>
      </w:pPr>
    </w:p>
    <w:p w:rsidR="002A7577" w:rsidRPr="00B36BD2" w:rsidRDefault="004E142A" w:rsidP="0008109E">
      <w:pPr>
        <w:pStyle w:val="BlockText"/>
        <w:numPr>
          <w:ilvl w:val="0"/>
          <w:numId w:val="11"/>
        </w:numPr>
        <w:rPr>
          <w:b/>
        </w:rPr>
      </w:pPr>
      <w:r w:rsidRPr="00897F26">
        <w:rPr>
          <w:b/>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4A46B4" w:rsidRPr="004A46B4" w:rsidRDefault="00146910" w:rsidP="00897F26">
      <w:pPr>
        <w:pStyle w:val="BlockText"/>
        <w:ind w:left="1440"/>
        <w:rPr>
          <w:b/>
        </w:rPr>
      </w:pPr>
      <w:r>
        <w:rPr>
          <w:b/>
        </w:rPr>
        <w:t>(a)</w:t>
      </w:r>
      <w:r w:rsidR="00897F26">
        <w:t xml:space="preserve"> </w:t>
      </w:r>
      <w:r w:rsidR="00FE4A4B">
        <w:rPr>
          <w:b/>
          <w:u w:val="single"/>
        </w:rPr>
        <w:t>Rule Changes</w:t>
      </w:r>
      <w:r w:rsidR="004E142A">
        <w:t xml:space="preserve"> (if any)</w:t>
      </w:r>
      <w:r w:rsidR="00B754FE">
        <w:t>:</w:t>
      </w:r>
    </w:p>
    <w:p w:rsidR="004A46B4" w:rsidRDefault="004A46B4" w:rsidP="004A46B4">
      <w:pPr>
        <w:pStyle w:val="BlockText"/>
        <w:ind w:left="1800"/>
      </w:pPr>
    </w:p>
    <w:p w:rsidR="00B972A0" w:rsidRDefault="001D0770" w:rsidP="002A2F20">
      <w:pPr>
        <w:pStyle w:val="BlockText"/>
        <w:ind w:left="1890"/>
      </w:pPr>
      <w:r>
        <w:rPr>
          <w:b/>
        </w:rPr>
        <w:t>Rule 61G4-12.011(2)</w:t>
      </w:r>
      <w:r>
        <w:t xml:space="preserve">, </w:t>
      </w:r>
      <w:r w:rsidR="00806FA9">
        <w:t xml:space="preserve">regarding the </w:t>
      </w:r>
      <w:r>
        <w:t>items of work that are not exempted from licensure under section 489.103(9) [“casual, minor, or inco</w:t>
      </w:r>
      <w:r w:rsidR="00FD4519">
        <w:t>nsequential], is to be clarified</w:t>
      </w:r>
      <w:r>
        <w:t>, but the preliminary text of this rule change is not yet available.</w:t>
      </w:r>
    </w:p>
    <w:p w:rsidR="00FD4519" w:rsidRDefault="00FD4519" w:rsidP="002A2F20">
      <w:pPr>
        <w:pStyle w:val="BlockText"/>
        <w:ind w:left="1890"/>
      </w:pPr>
    </w:p>
    <w:p w:rsidR="00806FA9" w:rsidRDefault="00FE4A4B" w:rsidP="002A2F20">
      <w:pPr>
        <w:pStyle w:val="BlockText"/>
        <w:ind w:left="1890"/>
      </w:pPr>
      <w:r>
        <w:rPr>
          <w:b/>
        </w:rPr>
        <w:t>Rule 61G4-15.001</w:t>
      </w:r>
      <w:r>
        <w:t xml:space="preserve">, </w:t>
      </w:r>
      <w:r w:rsidR="00806FA9">
        <w:t xml:space="preserve">regarding </w:t>
      </w:r>
      <w:r>
        <w:t>qualifications for work experience and verification, has been amended by the board, but have been objected to the Joint Administrative Procedures Committee (“JAPC”)</w:t>
      </w:r>
      <w:r w:rsidR="00FD4519">
        <w:t xml:space="preserve"> by letter dated December 15, 2015</w:t>
      </w:r>
      <w:r>
        <w:t>, and</w:t>
      </w:r>
      <w:r w:rsidR="00FD4519">
        <w:t xml:space="preserve"> the rule changes are not</w:t>
      </w:r>
      <w:r>
        <w:t xml:space="preserve"> effective until these objections have been addressed</w:t>
      </w:r>
      <w:r w:rsidR="00FD4519">
        <w:t xml:space="preserve"> (perhaps at the bo</w:t>
      </w:r>
      <w:r w:rsidR="00431F8E">
        <w:t>ard’s April</w:t>
      </w:r>
      <w:r>
        <w:t xml:space="preserve"> meeting).</w:t>
      </w:r>
    </w:p>
    <w:p w:rsidR="00FE4A4B" w:rsidRDefault="00FE4A4B" w:rsidP="00FE4A4B">
      <w:pPr>
        <w:pStyle w:val="ListParagraph"/>
      </w:pPr>
    </w:p>
    <w:p w:rsidR="00FE4A4B" w:rsidRDefault="00DD0357" w:rsidP="002A2F20">
      <w:pPr>
        <w:pStyle w:val="BlockText"/>
        <w:ind w:left="1890"/>
      </w:pPr>
      <w:r>
        <w:rPr>
          <w:b/>
        </w:rPr>
        <w:t>Rule 61G4-15.032(1)(a)</w:t>
      </w:r>
      <w:r w:rsidR="00FE4A4B">
        <w:t>, regarding</w:t>
      </w:r>
      <w:r>
        <w:t xml:space="preserve"> Certification of Swimming Pool Specialty Contractors, is being amended to clarify that the scope of work under these licenses does not limit the scope of work that can otherwise be performed by </w:t>
      </w:r>
      <w:r w:rsidR="00674E68">
        <w:t>Division II pool and spa contractors.</w:t>
      </w:r>
      <w:r w:rsidR="00FD4519">
        <w:t xml:space="preserve"> Notice of rule adoption by the board has not yet been published.</w:t>
      </w:r>
    </w:p>
    <w:p w:rsidR="00F21C36" w:rsidRPr="001776E6" w:rsidRDefault="00F21C36" w:rsidP="00F21C36">
      <w:pPr>
        <w:pStyle w:val="BlockText"/>
        <w:tabs>
          <w:tab w:val="left" w:pos="1440"/>
          <w:tab w:val="left" w:pos="1980"/>
        </w:tabs>
        <w:rPr>
          <w:b/>
        </w:rPr>
      </w:pPr>
    </w:p>
    <w:p w:rsidR="00312017" w:rsidRDefault="00146910" w:rsidP="00312017">
      <w:pPr>
        <w:pStyle w:val="BlockText"/>
        <w:ind w:left="1890" w:hanging="450"/>
      </w:pPr>
      <w:r w:rsidRPr="00146910">
        <w:rPr>
          <w:b/>
        </w:rPr>
        <w:t>(b)</w:t>
      </w:r>
      <w:r>
        <w:t xml:space="preserve"> </w:t>
      </w:r>
      <w:r w:rsidR="00CC064D">
        <w:t xml:space="preserve"> </w:t>
      </w:r>
      <w:r w:rsidR="00A750A9" w:rsidRPr="00A750A9">
        <w:rPr>
          <w:b/>
          <w:u w:val="single"/>
        </w:rPr>
        <w:t>P</w:t>
      </w:r>
      <w:r w:rsidR="0032443B" w:rsidRPr="00A750A9">
        <w:rPr>
          <w:b/>
          <w:u w:val="single"/>
        </w:rPr>
        <w:t>etitions for Declaratory Statement</w:t>
      </w:r>
      <w:r w:rsidR="00A750A9">
        <w:t xml:space="preserve"> (if</w:t>
      </w:r>
      <w:r w:rsidR="00CC064D">
        <w:t xml:space="preserve"> </w:t>
      </w:r>
      <w:r w:rsidR="0032443B">
        <w:t>any):</w:t>
      </w:r>
    </w:p>
    <w:p w:rsidR="000E0782" w:rsidRDefault="000E0782" w:rsidP="00312017">
      <w:pPr>
        <w:pStyle w:val="BlockText"/>
        <w:ind w:left="1890" w:hanging="450"/>
      </w:pPr>
    </w:p>
    <w:p w:rsidR="000E0782" w:rsidRDefault="000E0782" w:rsidP="00312017">
      <w:pPr>
        <w:pStyle w:val="BlockText"/>
        <w:ind w:left="1890" w:hanging="450"/>
      </w:pPr>
      <w:r>
        <w:tab/>
      </w:r>
      <w:r w:rsidRPr="000E0782">
        <w:rPr>
          <w:b/>
        </w:rPr>
        <w:t>John Senninger</w:t>
      </w:r>
      <w:r>
        <w:t xml:space="preserve"> – Petition filed on June 23, 2015, seeking a determination of whether the installation of a conveyor system requires a license. The board’s order, entered on October 28, 2015, declines to answer the petition due to the petitioner’s lack of standing, is not substantially affected and does not relate to a particular set of circumstances.</w:t>
      </w:r>
    </w:p>
    <w:p w:rsidR="000E0782" w:rsidRDefault="000E0782" w:rsidP="00312017">
      <w:pPr>
        <w:pStyle w:val="BlockText"/>
        <w:ind w:left="1890" w:hanging="450"/>
      </w:pPr>
    </w:p>
    <w:p w:rsidR="000E0782" w:rsidRDefault="000E0782" w:rsidP="00312017">
      <w:pPr>
        <w:pStyle w:val="BlockText"/>
        <w:ind w:left="1890" w:hanging="450"/>
      </w:pPr>
      <w:r>
        <w:tab/>
      </w:r>
      <w:r w:rsidRPr="00435681">
        <w:rPr>
          <w:b/>
        </w:rPr>
        <w:t>Mark Hickinbotham</w:t>
      </w:r>
      <w:r>
        <w:t xml:space="preserve"> – Petition filed on September 21, 2015, seeking a determination of whether the owner or the contactor is responsible for determining the proper licensure status of contractors and subcontractor, was denied by order entered in February 4, 2016, </w:t>
      </w:r>
      <w:r w:rsidR="00435681">
        <w:t>for failure to cite applicable statutes, rules or orders, and because it sought to determine the conduct of another person.</w:t>
      </w:r>
    </w:p>
    <w:p w:rsidR="00435681" w:rsidRDefault="00435681" w:rsidP="00312017">
      <w:pPr>
        <w:pStyle w:val="BlockText"/>
        <w:ind w:left="1890" w:hanging="450"/>
      </w:pPr>
    </w:p>
    <w:p w:rsidR="00435681" w:rsidRDefault="00435681" w:rsidP="00435681">
      <w:pPr>
        <w:pStyle w:val="BlockText"/>
        <w:ind w:left="1890" w:hanging="450"/>
      </w:pPr>
      <w:r>
        <w:tab/>
      </w:r>
      <w:r w:rsidRPr="00435681">
        <w:rPr>
          <w:b/>
        </w:rPr>
        <w:t>Mark Hickinbotham</w:t>
      </w:r>
      <w:r>
        <w:t xml:space="preserve"> – Petition filed on October 9, 2015, seeking a determination of the type of license required for the installation of temporary sewerage piping onsite, was denied by order entered in February 4, 2016, because the question is answered by the statutes.</w:t>
      </w:r>
    </w:p>
    <w:p w:rsidR="00435681" w:rsidRDefault="00435681" w:rsidP="00435681">
      <w:pPr>
        <w:pStyle w:val="BlockText"/>
        <w:ind w:left="1890" w:hanging="450"/>
      </w:pPr>
    </w:p>
    <w:p w:rsidR="00435681" w:rsidRDefault="00435681" w:rsidP="00435681">
      <w:pPr>
        <w:pStyle w:val="BlockText"/>
        <w:ind w:left="1890" w:hanging="450"/>
      </w:pPr>
      <w:r>
        <w:tab/>
      </w:r>
      <w:r w:rsidRPr="00435681">
        <w:rPr>
          <w:b/>
        </w:rPr>
        <w:t>Mark Hickinbotham</w:t>
      </w:r>
      <w:r>
        <w:t xml:space="preserve"> – Petition filed on October 12, 2015, seeking a determination of the type of license required to install various plumbing appliances, was denied by order entered in February 4, 2016, because the question is answered by the statutes.</w:t>
      </w:r>
    </w:p>
    <w:p w:rsidR="00142044" w:rsidRPr="00FD4519" w:rsidRDefault="00142044" w:rsidP="00FD4519">
      <w:pPr>
        <w:rPr>
          <w:b/>
        </w:rPr>
      </w:pPr>
    </w:p>
    <w:p w:rsidR="00BE470E" w:rsidRPr="00BE470E" w:rsidRDefault="00BE470E" w:rsidP="00312017">
      <w:pPr>
        <w:pStyle w:val="BlockText"/>
        <w:ind w:left="1890"/>
        <w:rPr>
          <w:b/>
        </w:rPr>
      </w:pPr>
      <w:r>
        <w:rPr>
          <w:b/>
        </w:rPr>
        <w:t>Michael Jones</w:t>
      </w:r>
      <w:r>
        <w:t xml:space="preserve"> – Petition filed on October 7, 2015, seeks a determination of what licensing requirements are to perform athletic filed construction.</w:t>
      </w:r>
      <w:r w:rsidR="00432932">
        <w:t xml:space="preserve"> No order yet.</w:t>
      </w:r>
    </w:p>
    <w:p w:rsidR="00BE470E" w:rsidRDefault="00BE470E" w:rsidP="00BE470E">
      <w:pPr>
        <w:pStyle w:val="ListParagraph"/>
        <w:rPr>
          <w:b/>
        </w:rPr>
      </w:pPr>
    </w:p>
    <w:p w:rsidR="003370E3" w:rsidRDefault="003370E3" w:rsidP="00312017">
      <w:pPr>
        <w:pStyle w:val="BlockText"/>
        <w:ind w:left="1890"/>
        <w:rPr>
          <w:b/>
        </w:rPr>
      </w:pPr>
      <w:r>
        <w:rPr>
          <w:b/>
        </w:rPr>
        <w:t>Donnie S. Herron</w:t>
      </w:r>
      <w:r>
        <w:t xml:space="preserve"> – Petition filed on October 13, 2015, seeking a determination of how much sheathing a licensed Roofing Contractor is allowed to replace (by percentage).</w:t>
      </w:r>
      <w:r w:rsidR="00432932">
        <w:t xml:space="preserve"> No order yet.</w:t>
      </w:r>
    </w:p>
    <w:p w:rsidR="003370E3" w:rsidRDefault="003370E3" w:rsidP="003370E3">
      <w:pPr>
        <w:pStyle w:val="ListParagraph"/>
        <w:rPr>
          <w:b/>
        </w:rPr>
      </w:pPr>
    </w:p>
    <w:p w:rsidR="00432932" w:rsidRDefault="003370E3" w:rsidP="00432932">
      <w:pPr>
        <w:pStyle w:val="BlockText"/>
        <w:ind w:left="1890"/>
        <w:rPr>
          <w:b/>
        </w:rPr>
      </w:pPr>
      <w:r w:rsidRPr="003370E3">
        <w:rPr>
          <w:b/>
        </w:rPr>
        <w:t>Frank Russo</w:t>
      </w:r>
      <w:r>
        <w:t xml:space="preserve"> – Petition filed on October 15, 2015, seeking a determination of whether a General or Building Contactor can complete a swimming pool surface with marcite or other coating, waterline and step re-tile, detect pool leaks with or without repairs, perform new plumbing or re-plumbing, set new or change-out pool equipment, or perform deck renovation.</w:t>
      </w:r>
      <w:r w:rsidR="00FD4519">
        <w:t xml:space="preserve"> This petition was</w:t>
      </w:r>
      <w:r w:rsidR="00312017">
        <w:t xml:space="preserve"> heard at </w:t>
      </w:r>
      <w:r w:rsidR="00D22FC6">
        <w:t xml:space="preserve">the board’s </w:t>
      </w:r>
      <w:r w:rsidR="00FD4519">
        <w:t xml:space="preserve">January </w:t>
      </w:r>
      <w:r w:rsidR="00312017" w:rsidRPr="00FD4519">
        <w:t>meeting</w:t>
      </w:r>
      <w:r w:rsidR="00FD4519">
        <w:t xml:space="preserve">, </w:t>
      </w:r>
      <w:r w:rsidR="004445D6">
        <w:t>and an order issued on March 31, 2016, denying the petition for lack of reference to a particular set of circumstances and because it seeks to determine the conduct of another person.</w:t>
      </w:r>
    </w:p>
    <w:p w:rsidR="0071068B" w:rsidRDefault="0071068B" w:rsidP="00312017">
      <w:pPr>
        <w:pStyle w:val="BlockText"/>
        <w:ind w:left="1890"/>
      </w:pPr>
    </w:p>
    <w:p w:rsidR="0071068B" w:rsidRDefault="0071068B" w:rsidP="00312017">
      <w:pPr>
        <w:pStyle w:val="BlockText"/>
        <w:ind w:left="1890"/>
      </w:pPr>
      <w:r w:rsidRPr="0071068B">
        <w:rPr>
          <w:b/>
        </w:rPr>
        <w:t>Seth G. Simmons</w:t>
      </w:r>
      <w:r w:rsidR="00432932">
        <w:rPr>
          <w:b/>
        </w:rPr>
        <w:t>/SGS Contracting Services</w:t>
      </w:r>
      <w:r>
        <w:t xml:space="preserve"> – Petition filed on November 6, 2015, seeking a determination of type of licensure required for installation of a pre-engineered and pre-fabricated PVC or fiberglass ductwork for an odor control system at a wastewater treatment facility.</w:t>
      </w:r>
      <w:r w:rsidR="00431F8E">
        <w:t xml:space="preserve"> A</w:t>
      </w:r>
      <w:r w:rsidR="00432932">
        <w:t xml:space="preserve">t the board’s February </w:t>
      </w:r>
      <w:r w:rsidR="00431F8E">
        <w:t>12</w:t>
      </w:r>
      <w:r w:rsidR="00431F8E" w:rsidRPr="00431F8E">
        <w:rPr>
          <w:vertAlign w:val="superscript"/>
        </w:rPr>
        <w:t>th</w:t>
      </w:r>
      <w:r w:rsidR="00431F8E">
        <w:t xml:space="preserve"> </w:t>
      </w:r>
      <w:r w:rsidR="00432932">
        <w:t>meeting</w:t>
      </w:r>
      <w:r w:rsidR="00431F8E">
        <w:t xml:space="preserve"> the board declined to answer this petition based on a lack of specific circumstances</w:t>
      </w:r>
      <w:r w:rsidR="00432932">
        <w:t>.</w:t>
      </w:r>
    </w:p>
    <w:p w:rsidR="00D22FC6" w:rsidRDefault="00D22FC6" w:rsidP="000E0782">
      <w:pPr>
        <w:pStyle w:val="BlockText"/>
      </w:pPr>
    </w:p>
    <w:p w:rsidR="00D22FC6" w:rsidRDefault="00D22FC6" w:rsidP="00D22FC6">
      <w:pPr>
        <w:pStyle w:val="BlockText"/>
        <w:ind w:left="1890"/>
      </w:pPr>
      <w:r w:rsidRPr="00D22FC6">
        <w:rPr>
          <w:b/>
        </w:rPr>
        <w:t>David England/Campbellsville Industries, Inc</w:t>
      </w:r>
      <w:r>
        <w:t>. – Petition filed on November 30, 2015, seeking a determination of whether a “Specialty Contractor” category of “Steeple/Cupola Installer” can be created. T</w:t>
      </w:r>
      <w:r w:rsidR="00432932">
        <w:t xml:space="preserve">his petition </w:t>
      </w:r>
      <w:r>
        <w:t xml:space="preserve">heard at the board’s </w:t>
      </w:r>
      <w:r w:rsidR="00432932">
        <w:t xml:space="preserve">January </w:t>
      </w:r>
      <w:r w:rsidRPr="00432932">
        <w:t>meeting</w:t>
      </w:r>
      <w:r w:rsidR="000E0782">
        <w:t xml:space="preserve">, and an order was entered on March 31, 2016, denying the petition </w:t>
      </w:r>
      <w:r w:rsidR="00435681">
        <w:t xml:space="preserve">for lack of standing and </w:t>
      </w:r>
      <w:r w:rsidR="000E0782">
        <w:t>because it is not the proper mechanism to initiate rulemaking.</w:t>
      </w:r>
    </w:p>
    <w:p w:rsidR="00D22FC6" w:rsidRDefault="00D22FC6" w:rsidP="00D22FC6">
      <w:pPr>
        <w:pStyle w:val="BlockText"/>
        <w:ind w:left="1890"/>
      </w:pPr>
    </w:p>
    <w:p w:rsidR="00432932" w:rsidRDefault="00D22FC6" w:rsidP="00482BC2">
      <w:pPr>
        <w:pStyle w:val="BlockText"/>
        <w:ind w:left="1890"/>
      </w:pPr>
      <w:r w:rsidRPr="00D22FC6">
        <w:rPr>
          <w:b/>
        </w:rPr>
        <w:t>John R. Banks/Banks Brothers Construction</w:t>
      </w:r>
      <w:r>
        <w:t xml:space="preserve"> – Petition filed on December 21, 2015, seeking a determination of whether there is a license category for construction of tenant improvements</w:t>
      </w:r>
      <w:r w:rsidR="00432932">
        <w:t xml:space="preserve">. </w:t>
      </w:r>
      <w:r w:rsidR="00943BAA">
        <w:t xml:space="preserve">This petition is based on the board’s previous denial of a CGC license to the petitioner based on lack of work experience in the required work activities (which are based on structural improvements). </w:t>
      </w:r>
      <w:r w:rsidR="00431F8E">
        <w:t>At its February 12</w:t>
      </w:r>
      <w:r w:rsidR="00431F8E" w:rsidRPr="00431F8E">
        <w:rPr>
          <w:vertAlign w:val="superscript"/>
        </w:rPr>
        <w:t>th</w:t>
      </w:r>
      <w:r w:rsidR="00431F8E">
        <w:t xml:space="preserve"> meeting the board declined to answer this petition based on insufficient information and lack of signature on the petition.</w:t>
      </w:r>
    </w:p>
    <w:p w:rsidR="00482BC2" w:rsidRDefault="00482BC2" w:rsidP="00482BC2">
      <w:pPr>
        <w:pStyle w:val="BlockText"/>
        <w:ind w:left="1890"/>
      </w:pPr>
    </w:p>
    <w:p w:rsidR="00A14268" w:rsidRDefault="00432932" w:rsidP="00A14268">
      <w:pPr>
        <w:pStyle w:val="BlockText"/>
        <w:ind w:left="1890"/>
      </w:pPr>
      <w:r w:rsidRPr="00432932">
        <w:rPr>
          <w:b/>
        </w:rPr>
        <w:t xml:space="preserve">Christopher Wright </w:t>
      </w:r>
      <w:r>
        <w:t>– Petition filed on December 30, 2015, seeking a clarification of the requirements for a Solar contractor licensure by endorsement</w:t>
      </w:r>
      <w:r w:rsidR="00943BAA">
        <w:t>, as well as the scope of such license</w:t>
      </w:r>
      <w:r>
        <w:t>.</w:t>
      </w:r>
      <w:r w:rsidR="00482BC2">
        <w:t xml:space="preserve"> At its February 12</w:t>
      </w:r>
      <w:r w:rsidR="00482BC2" w:rsidRPr="00431F8E">
        <w:rPr>
          <w:vertAlign w:val="superscript"/>
        </w:rPr>
        <w:t>th</w:t>
      </w:r>
      <w:r w:rsidR="00482BC2">
        <w:t xml:space="preserve"> meeting the board declined to answer this petition because it is addre</w:t>
      </w:r>
      <w:r w:rsidR="00435681">
        <w:t>ss in section 489.113(9), F. S.</w:t>
      </w:r>
    </w:p>
    <w:p w:rsidR="00432932" w:rsidRDefault="00432932" w:rsidP="00133FBD">
      <w:pPr>
        <w:pStyle w:val="BlockText"/>
        <w:ind w:left="1890"/>
      </w:pPr>
      <w:r w:rsidRPr="00432932">
        <w:rPr>
          <w:b/>
          <w:u w:val="single"/>
        </w:rPr>
        <w:t>Editor’s Note</w:t>
      </w:r>
      <w:r w:rsidRPr="00432932">
        <w:rPr>
          <w:u w:val="single"/>
        </w:rPr>
        <w:t>:</w:t>
      </w:r>
      <w:r>
        <w:t xml:space="preserve"> Licensure by “endorsement” is no</w:t>
      </w:r>
      <w:r w:rsidR="00435681">
        <w:t>t</w:t>
      </w:r>
      <w:r>
        <w:t xml:space="preserve"> possible due to the stringent statutory requirement </w:t>
      </w:r>
      <w:r w:rsidR="00435681">
        <w:t>that each state’s examination be</w:t>
      </w:r>
      <w:r>
        <w:t xml:space="preserve"> substantially the same; however, NO STATE (including Florida) will allow it’s examinations to be reviewed due to </w:t>
      </w:r>
      <w:r w:rsidR="00435681">
        <w:t xml:space="preserve">need for </w:t>
      </w:r>
      <w:r>
        <w:t>confidentiality.</w:t>
      </w:r>
    </w:p>
    <w:p w:rsidR="00435681" w:rsidRDefault="00435681" w:rsidP="00133FBD">
      <w:pPr>
        <w:pStyle w:val="BlockText"/>
        <w:ind w:left="1890"/>
      </w:pPr>
    </w:p>
    <w:p w:rsidR="00435681" w:rsidRDefault="00435681" w:rsidP="00133FBD">
      <w:pPr>
        <w:pStyle w:val="BlockText"/>
        <w:ind w:left="1890"/>
      </w:pPr>
      <w:r w:rsidRPr="00435681">
        <w:rPr>
          <w:b/>
        </w:rPr>
        <w:t>Dave Lowell</w:t>
      </w:r>
      <w:r>
        <w:t xml:space="preserve"> – Petition filed on January 28, 2016, seeking a determination of whether a Marine Specialty contractor’s license includes the wiring of the boat lift motors and power supply.</w:t>
      </w:r>
    </w:p>
    <w:p w:rsidR="00A14268" w:rsidRDefault="00A14268" w:rsidP="00133FBD">
      <w:pPr>
        <w:pStyle w:val="BlockText"/>
        <w:ind w:left="1890"/>
      </w:pPr>
    </w:p>
    <w:p w:rsidR="00435681" w:rsidRDefault="00435681" w:rsidP="00133FBD">
      <w:pPr>
        <w:pStyle w:val="BlockText"/>
        <w:ind w:left="1890"/>
      </w:pPr>
      <w:r w:rsidRPr="00A14268">
        <w:rPr>
          <w:b/>
          <w:u w:val="single"/>
        </w:rPr>
        <w:t>Editor’s Note</w:t>
      </w:r>
      <w:r w:rsidRPr="00A14268">
        <w:rPr>
          <w:u w:val="single"/>
        </w:rPr>
        <w:t>:</w:t>
      </w:r>
      <w:r>
        <w:t xml:space="preserve"> In the next few months it appears that the board may consider rule changes to address other electrical issues, such as </w:t>
      </w:r>
      <w:r w:rsidR="00A14268">
        <w:t>replacement of pool lights, pool heaters and pool pumps by pool contractors. This petition is yet another example of how the board may apply section 489.134, which provides that a part II (Electrical or Alarm contractor) license is not required for work perform within the scope of a part I contractor’s license.</w:t>
      </w:r>
    </w:p>
    <w:p w:rsidR="00A14268" w:rsidRDefault="00A14268" w:rsidP="00133FBD">
      <w:pPr>
        <w:pStyle w:val="BlockText"/>
        <w:ind w:left="1890"/>
      </w:pPr>
    </w:p>
    <w:p w:rsidR="00A14268" w:rsidRDefault="00A14268" w:rsidP="00133FBD">
      <w:pPr>
        <w:pStyle w:val="BlockText"/>
        <w:ind w:left="1890"/>
      </w:pPr>
      <w:r w:rsidRPr="00A14268">
        <w:rPr>
          <w:b/>
        </w:rPr>
        <w:t>City of Port St. Lucie</w:t>
      </w:r>
      <w:r>
        <w:t xml:space="preserve"> – Petition filed on February 5, 2016, seeking a determination of whether section 489.113(2) would apply to residential properties when a local construction licensing ordinance requires licensure, has been WITHDRAWN.</w:t>
      </w:r>
    </w:p>
    <w:p w:rsidR="00432932" w:rsidRDefault="00432932" w:rsidP="00133FBD">
      <w:pPr>
        <w:pStyle w:val="BlockText"/>
        <w:ind w:left="1890"/>
      </w:pPr>
    </w:p>
    <w:p w:rsidR="00A14268" w:rsidRDefault="00A14268" w:rsidP="00133FBD">
      <w:pPr>
        <w:pStyle w:val="BlockText"/>
        <w:ind w:left="1890"/>
      </w:pPr>
      <w:r w:rsidRPr="00A14268">
        <w:rPr>
          <w:b/>
        </w:rPr>
        <w:t>Gunster/Roger W. Feicht, Esq.</w:t>
      </w:r>
      <w:r>
        <w:t xml:space="preserve"> – Petition filed on February 22, 2016, seeking a determination of whether there is a reporting deadline, </w:t>
      </w:r>
      <w:r w:rsidR="003D2853">
        <w:t>statute</w:t>
      </w:r>
      <w:r>
        <w:t xml:space="preserve"> of limitations or other time limitation to bar or otherwise limit a complaint based on the conduct of a contractor occurring in 2007, 2008 and 2009.</w:t>
      </w:r>
    </w:p>
    <w:p w:rsidR="00A14268" w:rsidRDefault="00A14268" w:rsidP="00A14268">
      <w:pPr>
        <w:pStyle w:val="BlockText"/>
        <w:ind w:left="1890"/>
      </w:pPr>
      <w:r w:rsidRPr="00A14268">
        <w:rPr>
          <w:b/>
          <w:u w:val="single"/>
        </w:rPr>
        <w:t>Editor’s Note:</w:t>
      </w:r>
      <w:r>
        <w:t xml:space="preserve"> There is no such deadline or bar.</w:t>
      </w:r>
    </w:p>
    <w:p w:rsidR="003D2853" w:rsidRDefault="003D2853" w:rsidP="00A14268">
      <w:pPr>
        <w:pStyle w:val="BlockText"/>
        <w:ind w:left="1890"/>
      </w:pPr>
    </w:p>
    <w:p w:rsidR="00124F94" w:rsidRPr="00124F94" w:rsidRDefault="00124F94" w:rsidP="00A14268">
      <w:pPr>
        <w:pStyle w:val="BlockText"/>
        <w:ind w:left="1890"/>
      </w:pPr>
      <w:r>
        <w:rPr>
          <w:b/>
        </w:rPr>
        <w:t xml:space="preserve">Charles Deathridge/Climbworks </w:t>
      </w:r>
      <w:r>
        <w:t>- Petition filed on February 8, 2016, by an “outdoor adventure company,” seeking a determination as to whether a license is required for the installation of ground anchors, utility poles and backfilling (such as for zip lines and aerial adventures.</w:t>
      </w:r>
    </w:p>
    <w:p w:rsidR="00124F94" w:rsidRDefault="00124F94" w:rsidP="00A14268">
      <w:pPr>
        <w:pStyle w:val="BlockText"/>
        <w:ind w:left="1890"/>
        <w:rPr>
          <w:b/>
        </w:rPr>
      </w:pPr>
    </w:p>
    <w:p w:rsidR="00A14268" w:rsidRDefault="00A14268" w:rsidP="00A14268">
      <w:pPr>
        <w:pStyle w:val="BlockText"/>
        <w:ind w:left="1890"/>
      </w:pPr>
      <w:r w:rsidRPr="00A14268">
        <w:rPr>
          <w:b/>
        </w:rPr>
        <w:t>Edgar L. Laney, Jr./Laney Company</w:t>
      </w:r>
      <w:r>
        <w:t xml:space="preserve"> – Petition filed on March 17, 2016, seeking a determination of whether a Certified Underground Utility contractor is authorized to install water and sewer services to a modular home.</w:t>
      </w:r>
      <w:r w:rsidR="00124F94">
        <w:t xml:space="preserve"> </w:t>
      </w:r>
      <w:r w:rsidR="00124F94" w:rsidRPr="00124F94">
        <w:rPr>
          <w:b/>
        </w:rPr>
        <w:t>Note:</w:t>
      </w:r>
      <w:r w:rsidR="00124F94">
        <w:t xml:space="preserve"> this petition indicates that St. Johns County denied petitioner a plumbing permit, so it’s likely this petition will be denied based on prior conduct, pending dispute and seeking a determination of the conduct of another person.</w:t>
      </w:r>
    </w:p>
    <w:p w:rsidR="00124F94" w:rsidRDefault="00124F94" w:rsidP="00A14268">
      <w:pPr>
        <w:pStyle w:val="BlockText"/>
        <w:ind w:left="1890"/>
      </w:pPr>
    </w:p>
    <w:p w:rsidR="00A14268" w:rsidRDefault="00124F94" w:rsidP="003642F6">
      <w:pPr>
        <w:pStyle w:val="BlockText"/>
        <w:ind w:left="1890"/>
      </w:pPr>
      <w:r w:rsidRPr="003642F6">
        <w:rPr>
          <w:b/>
        </w:rPr>
        <w:t>Richard Eric Smith</w:t>
      </w:r>
      <w:r w:rsidRPr="003642F6">
        <w:rPr>
          <w:u w:val="single"/>
        </w:rPr>
        <w:t xml:space="preserve"> </w:t>
      </w:r>
      <w:r>
        <w:t>– Petition filed on March 25, 2016, seeking a determination of the licensure requirements for the installation of pre-engineered or integrated equipment.</w:t>
      </w:r>
    </w:p>
    <w:p w:rsidR="00A14268" w:rsidRPr="00133FBD" w:rsidRDefault="00A14268" w:rsidP="00A14268">
      <w:pPr>
        <w:pStyle w:val="BlockText"/>
        <w:ind w:left="1890"/>
      </w:pPr>
    </w:p>
    <w:p w:rsidR="008C30E6" w:rsidRPr="009B4801" w:rsidRDefault="00146910" w:rsidP="00146910">
      <w:pPr>
        <w:pStyle w:val="BlockText"/>
        <w:ind w:left="1440"/>
        <w:rPr>
          <w:b/>
        </w:rPr>
      </w:pPr>
      <w:r w:rsidRPr="00146910">
        <w:rPr>
          <w:b/>
        </w:rPr>
        <w:t>(</w:t>
      </w:r>
      <w:r w:rsidR="00CC064D">
        <w:rPr>
          <w:b/>
        </w:rPr>
        <w:t>c</w:t>
      </w:r>
      <w:r w:rsidRPr="00146910">
        <w:rPr>
          <w:b/>
        </w:rPr>
        <w:t>)</w:t>
      </w:r>
      <w:r>
        <w:t xml:space="preserve"> </w:t>
      </w:r>
      <w:r w:rsidR="00A750A9">
        <w:rPr>
          <w:b/>
        </w:rPr>
        <w:t xml:space="preserve">   </w:t>
      </w:r>
      <w:r w:rsidR="00A750A9" w:rsidRPr="00A750A9">
        <w:rPr>
          <w:b/>
          <w:u w:val="single"/>
        </w:rPr>
        <w:t>P</w:t>
      </w:r>
      <w:r w:rsidR="002558FB" w:rsidRPr="00A750A9">
        <w:rPr>
          <w:b/>
          <w:u w:val="single"/>
        </w:rPr>
        <w:t>etition</w:t>
      </w:r>
      <w:r w:rsidR="009F7BC1" w:rsidRPr="00A750A9">
        <w:rPr>
          <w:b/>
          <w:u w:val="single"/>
        </w:rPr>
        <w:t>s</w:t>
      </w:r>
      <w:r w:rsidR="004E142A" w:rsidRPr="00A750A9">
        <w:rPr>
          <w:b/>
          <w:u w:val="single"/>
        </w:rPr>
        <w:t xml:space="preserve"> for Va</w:t>
      </w:r>
      <w:r w:rsidR="0092555A" w:rsidRPr="00A750A9">
        <w:rPr>
          <w:b/>
          <w:u w:val="single"/>
        </w:rPr>
        <w:t>riance or Waiver</w:t>
      </w:r>
      <w:r w:rsidR="00BB6D12">
        <w:t xml:space="preserve"> (if any</w:t>
      </w:r>
      <w:r w:rsidR="00BB6D12" w:rsidRPr="009B4801">
        <w:t>):</w:t>
      </w:r>
      <w:r w:rsidR="00530BF1" w:rsidRPr="009B4801">
        <w:t xml:space="preserve"> </w:t>
      </w:r>
    </w:p>
    <w:p w:rsidR="003370E3" w:rsidRPr="009B4801" w:rsidRDefault="003370E3" w:rsidP="003370E3">
      <w:pPr>
        <w:pStyle w:val="BlockText"/>
        <w:ind w:left="1800"/>
        <w:rPr>
          <w:b/>
        </w:rPr>
      </w:pPr>
    </w:p>
    <w:p w:rsidR="003370E3" w:rsidRDefault="003642F6" w:rsidP="002A2F20">
      <w:pPr>
        <w:pStyle w:val="BlockText"/>
        <w:ind w:left="1890"/>
      </w:pPr>
      <w:r w:rsidRPr="003642F6">
        <w:rPr>
          <w:b/>
        </w:rPr>
        <w:t>Corrie Tomek Forman</w:t>
      </w:r>
      <w:r w:rsidR="003370E3" w:rsidRPr="009B4801">
        <w:rPr>
          <w:b/>
        </w:rPr>
        <w:t xml:space="preserve"> –</w:t>
      </w:r>
      <w:r>
        <w:t xml:space="preserve"> Petition filed on September 1</w:t>
      </w:r>
      <w:r w:rsidR="003370E3">
        <w:t>, 2015, seeking a waiver of the rule limiting examination results to four (4) years</w:t>
      </w:r>
      <w:r w:rsidR="00201FC1">
        <w:t>.</w:t>
      </w:r>
      <w:r>
        <w:t xml:space="preserve"> No order yet entered.</w:t>
      </w:r>
    </w:p>
    <w:p w:rsidR="003642F6" w:rsidRDefault="003642F6" w:rsidP="002A2F20">
      <w:pPr>
        <w:pStyle w:val="BlockText"/>
        <w:ind w:left="1890"/>
      </w:pPr>
    </w:p>
    <w:p w:rsidR="003642F6" w:rsidRDefault="003642F6" w:rsidP="002A2F20">
      <w:pPr>
        <w:pStyle w:val="BlockText"/>
        <w:ind w:left="1890"/>
      </w:pPr>
      <w:r w:rsidRPr="003642F6">
        <w:rPr>
          <w:b/>
        </w:rPr>
        <w:t>Kent M. Kolovich</w:t>
      </w:r>
      <w:r>
        <w:t xml:space="preserve"> – Petiton filed on September 15, 2015, seeking a waiver of the rule limiting examination results to four (4) years. By order of the board entered on February 4, 2016, the petition was denied for failure to demonstrate a substantial hardship.</w:t>
      </w:r>
    </w:p>
    <w:p w:rsidR="003642F6" w:rsidRDefault="003642F6" w:rsidP="002A2F20">
      <w:pPr>
        <w:pStyle w:val="BlockText"/>
        <w:ind w:left="1890"/>
      </w:pPr>
    </w:p>
    <w:p w:rsidR="003642F6" w:rsidRDefault="003642F6" w:rsidP="003642F6">
      <w:pPr>
        <w:pStyle w:val="BlockText"/>
        <w:ind w:left="1890"/>
      </w:pPr>
      <w:r w:rsidRPr="003642F6">
        <w:rPr>
          <w:b/>
        </w:rPr>
        <w:t>Jose Manuel Ojeda, Jr.</w:t>
      </w:r>
      <w:r>
        <w:t xml:space="preserve"> – Petit</w:t>
      </w:r>
      <w:r w:rsidR="003D2853">
        <w:t>i</w:t>
      </w:r>
      <w:r>
        <w:t>on filed on October 1, 2015, seeking a waiver of the rule limiting examination results to four (4) years. By order of the board entered on February 4, 2016, the petition was denied for failure to demonstrate a substantial hardship.</w:t>
      </w:r>
    </w:p>
    <w:p w:rsidR="003642F6" w:rsidRDefault="003642F6" w:rsidP="002A2F20">
      <w:pPr>
        <w:pStyle w:val="BlockText"/>
        <w:ind w:left="1890"/>
      </w:pPr>
    </w:p>
    <w:p w:rsidR="003642F6" w:rsidRDefault="003642F6" w:rsidP="003642F6">
      <w:pPr>
        <w:pStyle w:val="BlockText"/>
        <w:ind w:left="1890"/>
      </w:pPr>
      <w:r w:rsidRPr="003642F6">
        <w:rPr>
          <w:b/>
        </w:rPr>
        <w:t>Steve Winiarczyk</w:t>
      </w:r>
      <w:r>
        <w:t xml:space="preserve"> – Petiton filed on October 23, 2015, seeking a waiver of the rule limiting examination results to four (4) years. By order of the board entered on March 31, 2016, the petition was denied for failure to demonstrate a substantial hardship.</w:t>
      </w:r>
    </w:p>
    <w:p w:rsidR="003642F6" w:rsidRDefault="003642F6" w:rsidP="003642F6">
      <w:pPr>
        <w:pStyle w:val="BlockText"/>
        <w:ind w:left="1890"/>
      </w:pPr>
    </w:p>
    <w:p w:rsidR="003642F6" w:rsidRDefault="003642F6" w:rsidP="003642F6">
      <w:pPr>
        <w:pStyle w:val="BlockText"/>
        <w:ind w:left="1890"/>
      </w:pPr>
      <w:r>
        <w:rPr>
          <w:b/>
        </w:rPr>
        <w:t>Brooks Michael Myers</w:t>
      </w:r>
      <w:r>
        <w:t xml:space="preserve"> – Petiton filed on October 30, 2015, seeking a waiver of the rule limiting examination results to four (4) years. By order of the board entered on March 31, 2016, the petition was denied for failure to demonstrate a substantial hardship.</w:t>
      </w:r>
    </w:p>
    <w:p w:rsidR="009B4801" w:rsidRDefault="009B4801" w:rsidP="003642F6">
      <w:pPr>
        <w:pStyle w:val="BlockText"/>
      </w:pPr>
    </w:p>
    <w:p w:rsidR="003370E3" w:rsidRDefault="00943BAA" w:rsidP="002A2F20">
      <w:pPr>
        <w:pStyle w:val="BlockText"/>
        <w:ind w:left="1890"/>
      </w:pPr>
      <w:r>
        <w:rPr>
          <w:b/>
        </w:rPr>
        <w:t>Joseph Harper</w:t>
      </w:r>
      <w:r>
        <w:t>– Petition filed on January 14, 2016</w:t>
      </w:r>
      <w:r w:rsidR="009B4801">
        <w:t xml:space="preserve">, seeking a </w:t>
      </w:r>
      <w:r w:rsidR="00201FC1">
        <w:t>waiver of the rule limiting examination results to four (4) years.</w:t>
      </w:r>
      <w:r w:rsidR="003642F6">
        <w:t xml:space="preserve"> No order yet entered.</w:t>
      </w:r>
    </w:p>
    <w:p w:rsidR="003642F6" w:rsidRDefault="003642F6" w:rsidP="002A2F20">
      <w:pPr>
        <w:pStyle w:val="BlockText"/>
        <w:ind w:left="1890"/>
      </w:pPr>
    </w:p>
    <w:p w:rsidR="003642F6" w:rsidRDefault="003642F6" w:rsidP="002A2F20">
      <w:pPr>
        <w:pStyle w:val="BlockText"/>
        <w:ind w:left="1890"/>
      </w:pPr>
      <w:r w:rsidRPr="003642F6">
        <w:rPr>
          <w:b/>
        </w:rPr>
        <w:t>Ryan Zurheide</w:t>
      </w:r>
      <w:r>
        <w:t xml:space="preserve"> - Petition filed on March 16, 2016, seeking a waiver of the rule limiting examination results to four (4) years.</w:t>
      </w:r>
    </w:p>
    <w:p w:rsidR="008C30E6" w:rsidRDefault="00300A3A" w:rsidP="00201FC1">
      <w:pPr>
        <w:pStyle w:val="BlockText"/>
      </w:pPr>
      <w:r>
        <w:t xml:space="preserve"> </w:t>
      </w:r>
    </w:p>
    <w:p w:rsidR="00E05588" w:rsidRDefault="004E142A" w:rsidP="00E05588">
      <w:pPr>
        <w:pStyle w:val="BlockText"/>
        <w:numPr>
          <w:ilvl w:val="0"/>
          <w:numId w:val="11"/>
        </w:numPr>
      </w:pPr>
      <w:r w:rsidRPr="00897F26">
        <w:rPr>
          <w:b/>
          <w:u w:val="single"/>
        </w:rPr>
        <w:t>Electrical Contracting Licensing Board</w:t>
      </w:r>
      <w:r>
        <w:t xml:space="preserve"> (includes both electricians and alarm contractors) – Chapter </w:t>
      </w:r>
      <w:r w:rsidR="00EF30B1">
        <w:t>489, Part II, FS and 61G6, FAC</w:t>
      </w:r>
      <w:r w:rsidR="00BD45AE">
        <w:t xml:space="preserve">: </w:t>
      </w:r>
      <w:r w:rsidR="004813C0">
        <w:t>This board is scheduled to meet on March 9-11, 2016, at Floriday’s Resort in Orlando.</w:t>
      </w:r>
    </w:p>
    <w:p w:rsidR="00F2420F" w:rsidRDefault="00F2420F" w:rsidP="00F2420F">
      <w:pPr>
        <w:pStyle w:val="BlockText"/>
        <w:ind w:left="1080"/>
      </w:pPr>
    </w:p>
    <w:p w:rsidR="002A2F20" w:rsidRPr="004813C0" w:rsidRDefault="00CC064D" w:rsidP="00482BC2">
      <w:pPr>
        <w:pStyle w:val="BlockText"/>
        <w:numPr>
          <w:ilvl w:val="0"/>
          <w:numId w:val="21"/>
        </w:numPr>
        <w:tabs>
          <w:tab w:val="left" w:pos="1800"/>
          <w:tab w:val="left" w:pos="1890"/>
        </w:tabs>
        <w:ind w:left="1440" w:firstLine="0"/>
        <w:rPr>
          <w:b/>
        </w:rPr>
      </w:pPr>
      <w:r>
        <w:t xml:space="preserve">  </w:t>
      </w:r>
      <w:r w:rsidR="00A750A9" w:rsidRPr="004813C0">
        <w:rPr>
          <w:b/>
          <w:u w:val="single"/>
        </w:rPr>
        <w:t>Rules</w:t>
      </w:r>
      <w:r w:rsidR="00FE4A4B" w:rsidRPr="004813C0">
        <w:rPr>
          <w:b/>
          <w:u w:val="single"/>
        </w:rPr>
        <w:t xml:space="preserve"> Changes</w:t>
      </w:r>
      <w:r w:rsidR="00BD45AE">
        <w:t xml:space="preserve"> (if any):</w:t>
      </w:r>
      <w:r w:rsidR="006F3FB3">
        <w:t xml:space="preserve"> Rule 61G6-8.001, regarding fees, is proposed to be amended to reduce fees for initial examination by $11.25, and for re-examination by $7.50.</w:t>
      </w:r>
      <w:r w:rsidR="002A2F20">
        <w:tab/>
      </w:r>
    </w:p>
    <w:p w:rsidR="005510CD" w:rsidRDefault="005510CD" w:rsidP="005510CD">
      <w:pPr>
        <w:pStyle w:val="BlockText"/>
        <w:ind w:left="2160" w:hanging="720"/>
      </w:pPr>
    </w:p>
    <w:p w:rsidR="00A110DD" w:rsidRDefault="00A750A9" w:rsidP="00A750A9">
      <w:pPr>
        <w:pStyle w:val="BlockText"/>
        <w:numPr>
          <w:ilvl w:val="0"/>
          <w:numId w:val="21"/>
        </w:numPr>
        <w:tabs>
          <w:tab w:val="left" w:pos="1800"/>
        </w:tabs>
        <w:ind w:firstLine="720"/>
      </w:pPr>
      <w:r>
        <w:t xml:space="preserve">  </w:t>
      </w:r>
      <w:r w:rsidRPr="00A750A9">
        <w:rPr>
          <w:b/>
          <w:u w:val="single"/>
        </w:rPr>
        <w:t>P</w:t>
      </w:r>
      <w:r w:rsidR="004E142A" w:rsidRPr="00A750A9">
        <w:rPr>
          <w:b/>
          <w:u w:val="single"/>
        </w:rPr>
        <w:t xml:space="preserve">etitions for </w:t>
      </w:r>
      <w:r w:rsidR="00CC064D" w:rsidRPr="00A750A9">
        <w:rPr>
          <w:b/>
          <w:u w:val="single"/>
        </w:rPr>
        <w:t xml:space="preserve">Declaratory </w:t>
      </w:r>
      <w:r w:rsidR="00DB4628" w:rsidRPr="00A750A9">
        <w:rPr>
          <w:b/>
          <w:u w:val="single"/>
        </w:rPr>
        <w:t xml:space="preserve">Statement </w:t>
      </w:r>
      <w:r w:rsidR="00400FFE">
        <w:t>(if</w:t>
      </w:r>
      <w:r w:rsidR="00CC064D">
        <w:t xml:space="preserve"> </w:t>
      </w:r>
      <w:r w:rsidR="00DB4628">
        <w:t>any):</w:t>
      </w:r>
      <w:r w:rsidR="00360AA3">
        <w:t xml:space="preserve"> </w:t>
      </w:r>
      <w:r w:rsidR="004813C0">
        <w:t>None noticed.</w:t>
      </w:r>
    </w:p>
    <w:p w:rsidR="00360D91" w:rsidRDefault="00360D91" w:rsidP="00E71158">
      <w:pPr>
        <w:pStyle w:val="BlockText"/>
      </w:pPr>
    </w:p>
    <w:p w:rsidR="00360D91" w:rsidRDefault="00A750A9" w:rsidP="00146910">
      <w:pPr>
        <w:pStyle w:val="BlockText"/>
        <w:numPr>
          <w:ilvl w:val="0"/>
          <w:numId w:val="21"/>
        </w:numPr>
        <w:ind w:left="1800"/>
      </w:pPr>
      <w:r>
        <w:rPr>
          <w:b/>
        </w:rPr>
        <w:t xml:space="preserve">  </w:t>
      </w:r>
      <w:r w:rsidRPr="00A750A9">
        <w:rPr>
          <w:b/>
          <w:u w:val="single"/>
        </w:rPr>
        <w:t>P</w:t>
      </w:r>
      <w:r w:rsidR="004E142A" w:rsidRPr="00A750A9">
        <w:rPr>
          <w:b/>
          <w:u w:val="single"/>
        </w:rPr>
        <w:t xml:space="preserve">etitions for </w:t>
      </w:r>
      <w:r w:rsidR="009E2A70" w:rsidRPr="00A750A9">
        <w:rPr>
          <w:b/>
          <w:u w:val="single"/>
        </w:rPr>
        <w:t>Va</w:t>
      </w:r>
      <w:r w:rsidR="00CB169A" w:rsidRPr="00A750A9">
        <w:rPr>
          <w:b/>
          <w:u w:val="single"/>
        </w:rPr>
        <w:t>riance or Waiver</w:t>
      </w:r>
      <w:r w:rsidR="00CB169A">
        <w:t xml:space="preserve"> </w:t>
      </w:r>
      <w:r w:rsidR="00DB4628">
        <w:t>(if any</w:t>
      </w:r>
      <w:r w:rsidR="006960B4">
        <w:t xml:space="preserve">): </w:t>
      </w:r>
    </w:p>
    <w:p w:rsidR="00360D91" w:rsidRDefault="00360D91" w:rsidP="00530BF1">
      <w:pPr>
        <w:pStyle w:val="BlockText"/>
        <w:ind w:left="1800" w:hanging="360"/>
      </w:pPr>
    </w:p>
    <w:p w:rsidR="005510CD" w:rsidRDefault="004813C0" w:rsidP="0019337F">
      <w:pPr>
        <w:pStyle w:val="BlockText"/>
        <w:ind w:left="1890"/>
      </w:pPr>
      <w:r w:rsidRPr="004813C0">
        <w:rPr>
          <w:b/>
        </w:rPr>
        <w:t>David Gray</w:t>
      </w:r>
      <w:r w:rsidR="00303F39">
        <w:rPr>
          <w:b/>
        </w:rPr>
        <w:t>/Gray Brothers Electric, LLC</w:t>
      </w:r>
      <w:r>
        <w:t xml:space="preserve"> - Petition filed on August 31</w:t>
      </w:r>
      <w:r w:rsidR="00360D91">
        <w:t xml:space="preserve">, 2015, seeking a </w:t>
      </w:r>
      <w:r w:rsidR="00303F39">
        <w:t xml:space="preserve">waiver of </w:t>
      </w:r>
      <w:r>
        <w:t>Rule 61G6-6.001</w:t>
      </w:r>
      <w:r w:rsidR="00303F39">
        <w:t>, which specifies the</w:t>
      </w:r>
      <w:r>
        <w:t xml:space="preserve"> examination re</w:t>
      </w:r>
      <w:r w:rsidR="00303F39">
        <w:t>quirements for Business Law, and seeking a determination that the exam administrated by the City of Ocala is similar.</w:t>
      </w:r>
      <w:r w:rsidR="00802164">
        <w:t xml:space="preserve"> No order yet entered.</w:t>
      </w:r>
    </w:p>
    <w:p w:rsidR="00802164" w:rsidRDefault="00802164" w:rsidP="0019337F">
      <w:pPr>
        <w:pStyle w:val="BlockText"/>
        <w:ind w:left="1890"/>
      </w:pPr>
    </w:p>
    <w:p w:rsidR="00802164" w:rsidRDefault="00802164" w:rsidP="0019337F">
      <w:pPr>
        <w:pStyle w:val="BlockText"/>
        <w:ind w:left="1890"/>
      </w:pPr>
      <w:r w:rsidRPr="00802164">
        <w:rPr>
          <w:b/>
        </w:rPr>
        <w:t>Danny M. Hicks</w:t>
      </w:r>
      <w:r>
        <w:t xml:space="preserve"> – Petition filed on January 11, 2016, seeking a waiver of the rule that examination scores are valid only for a period of two (2) years.</w:t>
      </w:r>
    </w:p>
    <w:p w:rsidR="00802164" w:rsidRDefault="00802164" w:rsidP="0019337F">
      <w:pPr>
        <w:pStyle w:val="BlockText"/>
        <w:ind w:left="1890"/>
      </w:pPr>
    </w:p>
    <w:p w:rsidR="00802164" w:rsidRDefault="00802164" w:rsidP="00802164">
      <w:pPr>
        <w:pStyle w:val="BlockText"/>
        <w:ind w:left="1890"/>
      </w:pPr>
      <w:r>
        <w:rPr>
          <w:b/>
        </w:rPr>
        <w:t>Don Green</w:t>
      </w:r>
      <w:r>
        <w:t xml:space="preserve"> – Petition filed on February 15, 2016, seeking a waiver of the rule that examination scores are valid only for a period of two (2) years.</w:t>
      </w:r>
    </w:p>
    <w:p w:rsidR="00802164" w:rsidRDefault="00802164" w:rsidP="0019337F">
      <w:pPr>
        <w:pStyle w:val="BlockText"/>
        <w:ind w:left="1890"/>
      </w:pPr>
    </w:p>
    <w:p w:rsidR="00802164" w:rsidRDefault="00802164" w:rsidP="00802164">
      <w:pPr>
        <w:pStyle w:val="BlockText"/>
        <w:ind w:left="1890"/>
      </w:pPr>
      <w:r>
        <w:rPr>
          <w:b/>
        </w:rPr>
        <w:t>Robert Aldridge Cole</w:t>
      </w:r>
      <w:r>
        <w:t xml:space="preserve"> – Petition filed on February 29, 2016, seeking a waiver of the rule that examination scores are valid only for a period of two (2) years.</w:t>
      </w:r>
    </w:p>
    <w:p w:rsidR="00802164" w:rsidRDefault="00802164" w:rsidP="00802164">
      <w:pPr>
        <w:pStyle w:val="BlockText"/>
        <w:ind w:left="1890"/>
      </w:pPr>
    </w:p>
    <w:p w:rsidR="00802164" w:rsidRDefault="00802164" w:rsidP="00802164">
      <w:pPr>
        <w:pStyle w:val="BlockText"/>
        <w:ind w:left="1890"/>
      </w:pPr>
      <w:r>
        <w:rPr>
          <w:b/>
        </w:rPr>
        <w:t>Benjamin Tucci</w:t>
      </w:r>
      <w:r>
        <w:t xml:space="preserve"> – Petition filed on March 8, 2016, seeking a waiver of the rule that examination scores are valid only for a period of two (2) years.</w:t>
      </w:r>
    </w:p>
    <w:p w:rsidR="00802164" w:rsidRDefault="00802164" w:rsidP="00802164">
      <w:pPr>
        <w:pStyle w:val="BlockText"/>
        <w:ind w:left="1890"/>
      </w:pPr>
    </w:p>
    <w:p w:rsidR="00802164" w:rsidRDefault="00802164" w:rsidP="0019337F">
      <w:pPr>
        <w:pStyle w:val="BlockText"/>
        <w:ind w:left="1890"/>
      </w:pPr>
      <w:r w:rsidRPr="00802164">
        <w:rPr>
          <w:b/>
        </w:rPr>
        <w:t>Eric A. Neilinger</w:t>
      </w:r>
      <w:r w:rsidR="00595D13">
        <w:t xml:space="preserve"> – Petition filed on M</w:t>
      </w:r>
      <w:r>
        <w:t>arch 11, 2016, seeking a determination of whether under petitioner’s electrical license he can service, test and certify as operational, and replace low voltage fixtures, and whether that work can be performed by an condominium association’s maintenance employees.</w:t>
      </w:r>
    </w:p>
    <w:p w:rsidR="00595D13" w:rsidRDefault="00595D13" w:rsidP="0019337F">
      <w:pPr>
        <w:pStyle w:val="BlockText"/>
        <w:ind w:left="1890"/>
      </w:pPr>
    </w:p>
    <w:p w:rsidR="00595D13" w:rsidRDefault="00595D13" w:rsidP="00595D13">
      <w:pPr>
        <w:pStyle w:val="BlockText"/>
        <w:ind w:left="1890"/>
      </w:pPr>
      <w:r>
        <w:rPr>
          <w:b/>
        </w:rPr>
        <w:t>Travis J. Bilskie</w:t>
      </w:r>
      <w:r>
        <w:t xml:space="preserve"> – Petition filed on April 1, 2016, seeking a waiver of the rule that examination scores are valid only for a period of two (2) years.</w:t>
      </w:r>
    </w:p>
    <w:p w:rsidR="00802164" w:rsidRPr="00F917FF" w:rsidRDefault="00802164" w:rsidP="00595D13">
      <w:pPr>
        <w:pStyle w:val="BlockText"/>
      </w:pPr>
    </w:p>
    <w:p w:rsidR="004E142A" w:rsidRDefault="004E142A" w:rsidP="007B2FC8">
      <w:pPr>
        <w:pStyle w:val="BlockText"/>
        <w:numPr>
          <w:ilvl w:val="0"/>
          <w:numId w:val="11"/>
        </w:numPr>
      </w:pPr>
      <w:r w:rsidRPr="006D1C4E">
        <w:rPr>
          <w:b/>
          <w:u w:val="single"/>
        </w:rPr>
        <w:t>Board of Architecture and Interior Design</w:t>
      </w:r>
      <w:r>
        <w:t xml:space="preserve"> – Chapter 481, Part I, FS and 61G1 FAC: </w:t>
      </w:r>
    </w:p>
    <w:p w:rsidR="004E142A" w:rsidRDefault="004E142A" w:rsidP="004E142A">
      <w:pPr>
        <w:pStyle w:val="BlockText"/>
        <w:ind w:left="1080"/>
      </w:pPr>
    </w:p>
    <w:p w:rsidR="00AC4FD0" w:rsidRDefault="00A750A9" w:rsidP="00CC064D">
      <w:pPr>
        <w:pStyle w:val="BlockText"/>
        <w:numPr>
          <w:ilvl w:val="1"/>
          <w:numId w:val="11"/>
        </w:numPr>
        <w:tabs>
          <w:tab w:val="left" w:pos="1710"/>
        </w:tabs>
        <w:ind w:hanging="540"/>
      </w:pPr>
      <w:r>
        <w:rPr>
          <w:b/>
          <w:u w:val="single"/>
        </w:rPr>
        <w:t>Rules</w:t>
      </w:r>
      <w:r w:rsidR="00FE4A4B">
        <w:rPr>
          <w:b/>
          <w:u w:val="single"/>
        </w:rPr>
        <w:t xml:space="preserve"> Changes</w:t>
      </w:r>
      <w:r w:rsidR="00297D0C">
        <w:t xml:space="preserve"> (if any)</w:t>
      </w:r>
      <w:r w:rsidR="000B1E71">
        <w:t xml:space="preserve">: </w:t>
      </w:r>
      <w:r w:rsidR="0019337F">
        <w:t>None noticed.</w:t>
      </w:r>
    </w:p>
    <w:p w:rsidR="009D0597" w:rsidRDefault="009D0597" w:rsidP="009D0597">
      <w:pPr>
        <w:pStyle w:val="BlockText"/>
        <w:tabs>
          <w:tab w:val="left" w:pos="1710"/>
        </w:tabs>
        <w:ind w:left="1800"/>
      </w:pPr>
    </w:p>
    <w:p w:rsidR="00CC064D" w:rsidRDefault="00A750A9" w:rsidP="00A750A9">
      <w:pPr>
        <w:pStyle w:val="BlockText"/>
        <w:numPr>
          <w:ilvl w:val="1"/>
          <w:numId w:val="11"/>
        </w:numPr>
        <w:ind w:hanging="540"/>
      </w:pPr>
      <w:r w:rsidRPr="00FE4A4B">
        <w:rPr>
          <w:b/>
          <w:u w:val="single"/>
        </w:rPr>
        <w:t>P</w:t>
      </w:r>
      <w:r w:rsidR="004E142A" w:rsidRPr="00FE4A4B">
        <w:rPr>
          <w:b/>
          <w:u w:val="single"/>
        </w:rPr>
        <w:t xml:space="preserve">etitions for Declaratory </w:t>
      </w:r>
      <w:r w:rsidR="004E142A" w:rsidRPr="00A750A9">
        <w:rPr>
          <w:b/>
          <w:u w:val="single"/>
        </w:rPr>
        <w:t>Statement</w:t>
      </w:r>
      <w:r>
        <w:t xml:space="preserve"> (if any):</w:t>
      </w:r>
      <w:r w:rsidR="0019337F">
        <w:t xml:space="preserve"> None noticed.</w:t>
      </w:r>
    </w:p>
    <w:p w:rsidR="00CC064D" w:rsidRDefault="00CC064D" w:rsidP="00CC064D">
      <w:pPr>
        <w:pStyle w:val="ListParagraph"/>
        <w:rPr>
          <w:u w:val="single"/>
        </w:rPr>
      </w:pPr>
    </w:p>
    <w:p w:rsidR="009D0597" w:rsidRDefault="00A750A9" w:rsidP="00CC064D">
      <w:pPr>
        <w:pStyle w:val="BlockText"/>
        <w:numPr>
          <w:ilvl w:val="1"/>
          <w:numId w:val="11"/>
        </w:numPr>
        <w:ind w:hanging="540"/>
      </w:pPr>
      <w:r w:rsidRPr="00A750A9">
        <w:rPr>
          <w:b/>
          <w:u w:val="single"/>
        </w:rPr>
        <w:t>P</w:t>
      </w:r>
      <w:r w:rsidR="004E142A" w:rsidRPr="00A750A9">
        <w:rPr>
          <w:b/>
          <w:u w:val="single"/>
        </w:rPr>
        <w:t>etitions f</w:t>
      </w:r>
      <w:r w:rsidR="00273404" w:rsidRPr="00A750A9">
        <w:rPr>
          <w:b/>
          <w:u w:val="single"/>
        </w:rPr>
        <w:t>or Variance or Waiver</w:t>
      </w:r>
      <w:r w:rsidR="00273404">
        <w:t xml:space="preserve"> (if any):</w:t>
      </w:r>
      <w:r w:rsidR="0019337F">
        <w:t xml:space="preserve"> None noticed.</w:t>
      </w:r>
    </w:p>
    <w:p w:rsidR="004E2A5D" w:rsidRDefault="004E2A5D" w:rsidP="00AC4FD0">
      <w:pPr>
        <w:pStyle w:val="BlockText"/>
      </w:pPr>
    </w:p>
    <w:p w:rsidR="004E142A" w:rsidRDefault="004E142A" w:rsidP="00FA53DC">
      <w:pPr>
        <w:pStyle w:val="BlockText"/>
        <w:numPr>
          <w:ilvl w:val="0"/>
          <w:numId w:val="11"/>
        </w:numPr>
      </w:pPr>
      <w:r w:rsidRPr="00E519F0">
        <w:rPr>
          <w:b/>
          <w:u w:val="single"/>
        </w:rPr>
        <w:t>Board of Professional Engineers</w:t>
      </w:r>
      <w:r>
        <w:t xml:space="preserve"> – Chapter 471, FS and 61G15 FAC: </w:t>
      </w:r>
    </w:p>
    <w:p w:rsidR="004E142A" w:rsidRDefault="004E142A" w:rsidP="004E142A">
      <w:pPr>
        <w:pStyle w:val="BlockText"/>
      </w:pPr>
    </w:p>
    <w:p w:rsidR="00010953" w:rsidRDefault="00FA53DC" w:rsidP="00FA53DC">
      <w:pPr>
        <w:pStyle w:val="BlockText"/>
        <w:ind w:left="1800" w:hanging="360"/>
      </w:pPr>
      <w:r>
        <w:rPr>
          <w:b/>
        </w:rPr>
        <w:t xml:space="preserve">(a) </w:t>
      </w:r>
      <w:r w:rsidR="00CC064D">
        <w:t xml:space="preserve">   </w:t>
      </w:r>
      <w:r w:rsidR="00FE4A4B" w:rsidRPr="00FE4A4B">
        <w:rPr>
          <w:b/>
          <w:u w:val="single"/>
        </w:rPr>
        <w:t>Rules Changes</w:t>
      </w:r>
      <w:r w:rsidR="00FE4A4B">
        <w:rPr>
          <w:b/>
        </w:rPr>
        <w:t xml:space="preserve"> </w:t>
      </w:r>
      <w:r w:rsidR="00434B55">
        <w:t>(if any):</w:t>
      </w:r>
      <w:r w:rsidR="00DD5289">
        <w:t xml:space="preserve"> </w:t>
      </w:r>
    </w:p>
    <w:p w:rsidR="004E572B" w:rsidRDefault="004E572B" w:rsidP="00466AD0">
      <w:pPr>
        <w:pStyle w:val="BlockText"/>
      </w:pPr>
    </w:p>
    <w:p w:rsidR="00824AEC" w:rsidRDefault="00414DE9" w:rsidP="00133FBD">
      <w:pPr>
        <w:pStyle w:val="BlockText"/>
        <w:ind w:left="1980"/>
      </w:pPr>
      <w:r>
        <w:rPr>
          <w:b/>
        </w:rPr>
        <w:t>Rule</w:t>
      </w:r>
      <w:r w:rsidR="00824AEC" w:rsidRPr="00824AEC">
        <w:rPr>
          <w:b/>
        </w:rPr>
        <w:t xml:space="preserve"> 61</w:t>
      </w:r>
      <w:r w:rsidR="00802164">
        <w:rPr>
          <w:b/>
        </w:rPr>
        <w:t>G15-18.011</w:t>
      </w:r>
      <w:r w:rsidR="00824AEC">
        <w:t xml:space="preserve">, regarding </w:t>
      </w:r>
      <w:r w:rsidR="00802164">
        <w:t xml:space="preserve">definitions, to incorporate changes to the Florida Building Code by reference. </w:t>
      </w:r>
    </w:p>
    <w:p w:rsidR="00802164" w:rsidRDefault="00802164" w:rsidP="00133FBD">
      <w:pPr>
        <w:pStyle w:val="BlockText"/>
        <w:ind w:left="1980"/>
      </w:pPr>
    </w:p>
    <w:p w:rsidR="00802164" w:rsidRDefault="00802164" w:rsidP="00133FBD">
      <w:pPr>
        <w:pStyle w:val="BlockText"/>
        <w:ind w:left="1980"/>
      </w:pPr>
      <w:r w:rsidRPr="004B0BF0">
        <w:rPr>
          <w:b/>
        </w:rPr>
        <w:t>Rule 61G15-19.001 and 19.004</w:t>
      </w:r>
      <w:r>
        <w:t>, regarding grounds for disciplinary proceedings to clarify that renewal of a license without completion of statutorily required continuing education is a violation, and to create a penalty guideline for such violation.</w:t>
      </w:r>
    </w:p>
    <w:p w:rsidR="00802164" w:rsidRDefault="00802164" w:rsidP="00133FBD">
      <w:pPr>
        <w:pStyle w:val="BlockText"/>
        <w:ind w:left="1980"/>
      </w:pPr>
    </w:p>
    <w:p w:rsidR="00802164" w:rsidRDefault="00802164" w:rsidP="004B0BF0">
      <w:pPr>
        <w:pStyle w:val="BlockText"/>
        <w:ind w:left="1980"/>
      </w:pPr>
      <w:r w:rsidRPr="004B0BF0">
        <w:rPr>
          <w:b/>
        </w:rPr>
        <w:t>Rule 61G</w:t>
      </w:r>
      <w:r w:rsidR="004B0BF0" w:rsidRPr="004B0BF0">
        <w:rPr>
          <w:b/>
        </w:rPr>
        <w:t>15-35.003</w:t>
      </w:r>
      <w:r w:rsidR="004B0BF0">
        <w:t>, regarding qualification program for Special Inspectors of Threshold Buildings, to update the required certifications by referencing the list in a different rule.</w:t>
      </w:r>
    </w:p>
    <w:p w:rsidR="0019337F" w:rsidRDefault="0019337F" w:rsidP="00CC064D">
      <w:pPr>
        <w:pStyle w:val="BlockText"/>
        <w:tabs>
          <w:tab w:val="left" w:pos="1620"/>
        </w:tabs>
        <w:ind w:left="1980" w:hanging="540"/>
        <w:rPr>
          <w:b/>
        </w:rPr>
      </w:pPr>
    </w:p>
    <w:p w:rsidR="00E3126D" w:rsidRDefault="0019337F" w:rsidP="00CC064D">
      <w:pPr>
        <w:pStyle w:val="BlockText"/>
        <w:tabs>
          <w:tab w:val="left" w:pos="1620"/>
        </w:tabs>
        <w:ind w:left="1980" w:hanging="540"/>
      </w:pPr>
      <w:r>
        <w:rPr>
          <w:b/>
        </w:rPr>
        <w:t xml:space="preserve"> </w:t>
      </w:r>
      <w:r w:rsidR="007F7B3F">
        <w:rPr>
          <w:b/>
        </w:rPr>
        <w:t xml:space="preserve">(b) </w:t>
      </w:r>
      <w:r w:rsidR="00CC064D">
        <w:rPr>
          <w:b/>
        </w:rPr>
        <w:t xml:space="preserve"> </w:t>
      </w:r>
      <w:r w:rsidR="009E2A70" w:rsidRPr="00A750A9">
        <w:rPr>
          <w:b/>
          <w:u w:val="single"/>
        </w:rPr>
        <w:t xml:space="preserve">Petitions for </w:t>
      </w:r>
      <w:r w:rsidR="00052694" w:rsidRPr="00A750A9">
        <w:rPr>
          <w:b/>
          <w:u w:val="single"/>
        </w:rPr>
        <w:t>Declaratory Statement</w:t>
      </w:r>
      <w:r w:rsidR="00003119">
        <w:t xml:space="preserve"> (if any</w:t>
      </w:r>
      <w:r w:rsidR="00A750A9">
        <w:t>):</w:t>
      </w:r>
      <w:r w:rsidR="004B0BF0">
        <w:t xml:space="preserve"> Mr. and Mrs. Tom Shoquist, seeking a determination of whether one-site inspections to determine the percentage of work completed and compliance with drawings and specifications on a new, permitted construction project, is required to be performed by a licensed engineer or </w:t>
      </w:r>
      <w:r w:rsidR="006F3FB3">
        <w:t>architect</w:t>
      </w:r>
      <w:r w:rsidR="004B0BF0">
        <w:t>.</w:t>
      </w:r>
    </w:p>
    <w:p w:rsidR="000B0D3F" w:rsidRDefault="000B0D3F" w:rsidP="000B0D3F">
      <w:pPr>
        <w:pStyle w:val="BlockText"/>
        <w:ind w:left="1800"/>
      </w:pPr>
    </w:p>
    <w:p w:rsidR="00CC1B0F" w:rsidRDefault="007F7B3F" w:rsidP="00CC064D">
      <w:pPr>
        <w:pStyle w:val="BlockText"/>
        <w:ind w:left="2250" w:hanging="810"/>
      </w:pPr>
      <w:r>
        <w:rPr>
          <w:b/>
        </w:rPr>
        <w:t>(c)</w:t>
      </w:r>
      <w:r w:rsidR="00CC064D">
        <w:t xml:space="preserve">  </w:t>
      </w:r>
      <w:r w:rsidR="00A750A9">
        <w:t xml:space="preserve">  </w:t>
      </w:r>
      <w:r w:rsidR="000B0D3F" w:rsidRPr="00A750A9">
        <w:rPr>
          <w:b/>
          <w:u w:val="single"/>
        </w:rPr>
        <w:t>Petitions for Variance or Waiver</w:t>
      </w:r>
      <w:r w:rsidR="000B0D3F">
        <w:t xml:space="preserve"> (i</w:t>
      </w:r>
      <w:r w:rsidR="00B73DBD">
        <w:t>f any):</w:t>
      </w:r>
      <w:r w:rsidR="00034306">
        <w:t xml:space="preserve"> </w:t>
      </w:r>
      <w:r w:rsidR="00B01391">
        <w:t>Nothing noticed.</w:t>
      </w:r>
    </w:p>
    <w:p w:rsidR="000B0D3F" w:rsidRDefault="000B0D3F" w:rsidP="000B0D3F">
      <w:pPr>
        <w:pStyle w:val="BlockText"/>
      </w:pPr>
    </w:p>
    <w:p w:rsidR="004E142A" w:rsidRDefault="004E142A" w:rsidP="00FA53DC">
      <w:pPr>
        <w:pStyle w:val="BlockText"/>
        <w:numPr>
          <w:ilvl w:val="0"/>
          <w:numId w:val="11"/>
        </w:numPr>
      </w:pPr>
      <w:r w:rsidRPr="00E519F0">
        <w:rPr>
          <w:b/>
          <w:u w:val="single"/>
        </w:rPr>
        <w:t>Building Code Administrators and Inspectors</w:t>
      </w:r>
      <w:r w:rsidRPr="00E519F0">
        <w:rPr>
          <w:b/>
        </w:rPr>
        <w:t xml:space="preserve"> Board</w:t>
      </w:r>
      <w:r>
        <w:t xml:space="preserve"> – Chapt</w:t>
      </w:r>
      <w:r w:rsidR="00E3126D">
        <w:t>er 468, Part XII and 61G19 FAC:</w:t>
      </w:r>
    </w:p>
    <w:p w:rsidR="004E142A" w:rsidRDefault="004E142A" w:rsidP="004E142A">
      <w:pPr>
        <w:pStyle w:val="BlockText"/>
        <w:ind w:left="1440"/>
      </w:pPr>
    </w:p>
    <w:p w:rsidR="003E1169" w:rsidRDefault="007B0198" w:rsidP="00FA53DC">
      <w:pPr>
        <w:pStyle w:val="BlockText"/>
        <w:numPr>
          <w:ilvl w:val="1"/>
          <w:numId w:val="11"/>
        </w:numPr>
        <w:ind w:left="1800"/>
      </w:pPr>
      <w:r>
        <w:t xml:space="preserve">  </w:t>
      </w:r>
      <w:r w:rsidR="00212AD9">
        <w:rPr>
          <w:b/>
          <w:u w:val="single"/>
        </w:rPr>
        <w:t>Rul</w:t>
      </w:r>
      <w:r w:rsidR="00FE4A4B">
        <w:rPr>
          <w:b/>
          <w:u w:val="single"/>
        </w:rPr>
        <w:t>e Changes</w:t>
      </w:r>
      <w:r w:rsidR="00212AD9">
        <w:rPr>
          <w:b/>
          <w:u w:val="single"/>
        </w:rPr>
        <w:t>:</w:t>
      </w:r>
      <w:r w:rsidR="00212AD9">
        <w:rPr>
          <w:b/>
        </w:rPr>
        <w:t xml:space="preserve"> </w:t>
      </w:r>
      <w:r w:rsidR="00E1125C">
        <w:t>(if</w:t>
      </w:r>
      <w:r w:rsidR="00E519F0">
        <w:t xml:space="preserve"> </w:t>
      </w:r>
      <w:r w:rsidR="00E1125C">
        <w:t>any):</w:t>
      </w:r>
      <w:r w:rsidR="003E1169">
        <w:t xml:space="preserve"> </w:t>
      </w:r>
      <w:r w:rsidR="00B77A8C">
        <w:t>None noticed.</w:t>
      </w:r>
    </w:p>
    <w:p w:rsidR="004E142A" w:rsidRDefault="004E142A" w:rsidP="004E142A">
      <w:pPr>
        <w:pStyle w:val="BlockText"/>
      </w:pPr>
    </w:p>
    <w:p w:rsidR="00835EE6" w:rsidRDefault="00835EE6" w:rsidP="00FA53DC">
      <w:pPr>
        <w:pStyle w:val="BlockText"/>
        <w:numPr>
          <w:ilvl w:val="1"/>
          <w:numId w:val="11"/>
        </w:numPr>
        <w:ind w:left="1800"/>
      </w:pPr>
      <w:r>
        <w:t xml:space="preserve">  </w:t>
      </w:r>
      <w:r w:rsidR="004E142A" w:rsidRPr="005E2FA8">
        <w:rPr>
          <w:b/>
          <w:u w:val="single"/>
        </w:rPr>
        <w:t>Petitions for Declaratory Statement</w:t>
      </w:r>
      <w:r w:rsidR="004E142A">
        <w:t xml:space="preserve"> (if any</w:t>
      </w:r>
      <w:r w:rsidR="00B73DBD">
        <w:t xml:space="preserve">): </w:t>
      </w:r>
      <w:r w:rsidR="00B01391">
        <w:t>None noticed.</w:t>
      </w:r>
    </w:p>
    <w:p w:rsidR="001A1C5D" w:rsidRDefault="001A1C5D" w:rsidP="00B01391">
      <w:pPr>
        <w:pStyle w:val="BlockText"/>
        <w:tabs>
          <w:tab w:val="left" w:pos="1710"/>
        </w:tabs>
      </w:pPr>
    </w:p>
    <w:p w:rsidR="00AF72E8" w:rsidRDefault="004E142A" w:rsidP="00F942BF">
      <w:pPr>
        <w:pStyle w:val="BlockText"/>
        <w:numPr>
          <w:ilvl w:val="1"/>
          <w:numId w:val="11"/>
        </w:numPr>
        <w:ind w:left="1890" w:hanging="450"/>
      </w:pPr>
      <w:r w:rsidRPr="006F3FB3">
        <w:rPr>
          <w:b/>
          <w:u w:val="single"/>
        </w:rPr>
        <w:t>Petitions for Variance or Waiver</w:t>
      </w:r>
      <w:r w:rsidR="005D7FBD">
        <w:t xml:space="preserve"> (if any):</w:t>
      </w:r>
      <w:r w:rsidR="00B77A8C">
        <w:t xml:space="preserve"> None noticed.</w:t>
      </w:r>
    </w:p>
    <w:p w:rsidR="000B70C4" w:rsidRPr="003134D3" w:rsidRDefault="000B70C4" w:rsidP="000B70C4">
      <w:pPr>
        <w:pStyle w:val="BlockText"/>
        <w:tabs>
          <w:tab w:val="left" w:pos="1710"/>
        </w:tabs>
      </w:pPr>
    </w:p>
    <w:p w:rsidR="00F73B56" w:rsidRDefault="004E142A" w:rsidP="00FA53DC">
      <w:pPr>
        <w:pStyle w:val="BlockText"/>
        <w:numPr>
          <w:ilvl w:val="0"/>
          <w:numId w:val="11"/>
        </w:numPr>
      </w:pPr>
      <w:r w:rsidRPr="00FE4DEA">
        <w:rPr>
          <w:b/>
          <w:u w:val="single"/>
        </w:rPr>
        <w:t>Florida Building Commission</w:t>
      </w:r>
      <w:r>
        <w:rPr>
          <w:rStyle w:val="FootnoteReference"/>
          <w:u w:val="single"/>
        </w:rPr>
        <w:footnoteReference w:id="1"/>
      </w:r>
      <w:r>
        <w:t xml:space="preserve"> – Chapter 553, Part IV and Chapter 61G20, FAC): </w:t>
      </w:r>
    </w:p>
    <w:p w:rsidR="00595D13" w:rsidRDefault="00595D13" w:rsidP="00595D13">
      <w:pPr>
        <w:pStyle w:val="BlockText"/>
        <w:ind w:left="1080"/>
      </w:pPr>
    </w:p>
    <w:p w:rsidR="00C1101B" w:rsidRDefault="00C1101B" w:rsidP="00C1101B">
      <w:pPr>
        <w:pStyle w:val="BlockText"/>
        <w:ind w:left="1080"/>
      </w:pPr>
      <w:r>
        <w:rPr>
          <w:b/>
          <w:u w:val="single"/>
        </w:rPr>
        <w:t>Note</w:t>
      </w:r>
      <w:r w:rsidRPr="00C1101B">
        <w:t>:</w:t>
      </w:r>
      <w:r w:rsidR="00595D13">
        <w:t xml:space="preserve"> T</w:t>
      </w:r>
      <w:r>
        <w:t>he</w:t>
      </w:r>
      <w:r w:rsidR="00595D13">
        <w:t xml:space="preserve"> current</w:t>
      </w:r>
      <w:r>
        <w:t xml:space="preserve"> Florida Building</w:t>
      </w:r>
      <w:r w:rsidR="00595D13">
        <w:t xml:space="preserve"> Code is</w:t>
      </w:r>
      <w:r>
        <w:t xml:space="preserve"> the 5</w:t>
      </w:r>
      <w:r w:rsidRPr="00C1101B">
        <w:rPr>
          <w:vertAlign w:val="superscript"/>
        </w:rPr>
        <w:t>th</w:t>
      </w:r>
      <w:r>
        <w:t xml:space="preserve"> edition (2014).</w:t>
      </w:r>
    </w:p>
    <w:p w:rsidR="00B0622F" w:rsidRPr="00FE4DEA" w:rsidRDefault="00B0622F" w:rsidP="00E041E8">
      <w:pPr>
        <w:pStyle w:val="BlockText"/>
      </w:pPr>
    </w:p>
    <w:p w:rsidR="00E041E8" w:rsidRDefault="005E2FA8" w:rsidP="00FA53DC">
      <w:pPr>
        <w:pStyle w:val="BlockText"/>
        <w:numPr>
          <w:ilvl w:val="1"/>
          <w:numId w:val="11"/>
        </w:numPr>
        <w:ind w:hanging="540"/>
      </w:pPr>
      <w:r w:rsidRPr="005E2FA8">
        <w:rPr>
          <w:b/>
          <w:u w:val="single"/>
        </w:rPr>
        <w:t>Rule</w:t>
      </w:r>
      <w:r w:rsidR="00FE4A4B">
        <w:rPr>
          <w:b/>
          <w:u w:val="single"/>
        </w:rPr>
        <w:t xml:space="preserve"> Changes</w:t>
      </w:r>
      <w:r>
        <w:rPr>
          <w:b/>
        </w:rPr>
        <w:t xml:space="preserve"> </w:t>
      </w:r>
      <w:r w:rsidR="00E1125C">
        <w:t>(if any):</w:t>
      </w:r>
      <w:r w:rsidR="00AB69C6">
        <w:t xml:space="preserve"> </w:t>
      </w:r>
      <w:r w:rsidR="006F3FB3">
        <w:t>The commission has announced a series of meetings of its various Technical Advisory Committees (TACs) for the purpose of taking public input on changes to the 6</w:t>
      </w:r>
      <w:r w:rsidR="006F3FB3" w:rsidRPr="006F3FB3">
        <w:rPr>
          <w:vertAlign w:val="superscript"/>
        </w:rPr>
        <w:t>th</w:t>
      </w:r>
      <w:r w:rsidR="006F3FB3">
        <w:t xml:space="preserve"> edition (2017) of the Florida Building Code to be held between April 1 and April 15 at the Gainesville Hilton.</w:t>
      </w:r>
    </w:p>
    <w:p w:rsidR="00E041E8" w:rsidRDefault="00E041E8" w:rsidP="00B77A8C">
      <w:pPr>
        <w:pStyle w:val="BlockText"/>
      </w:pPr>
    </w:p>
    <w:p w:rsidR="007C1C60" w:rsidRPr="005E2FA8" w:rsidRDefault="00E1125C" w:rsidP="00FA53DC">
      <w:pPr>
        <w:pStyle w:val="BlockText"/>
        <w:numPr>
          <w:ilvl w:val="1"/>
          <w:numId w:val="11"/>
        </w:numPr>
        <w:ind w:hanging="540"/>
        <w:rPr>
          <w:b/>
          <w:u w:val="single"/>
        </w:rPr>
      </w:pPr>
      <w:r w:rsidRPr="005E2FA8">
        <w:rPr>
          <w:b/>
          <w:u w:val="single"/>
        </w:rPr>
        <w:t>Petition</w:t>
      </w:r>
      <w:r w:rsidR="00C05096" w:rsidRPr="005E2FA8">
        <w:rPr>
          <w:b/>
          <w:u w:val="single"/>
        </w:rPr>
        <w:t>(</w:t>
      </w:r>
      <w:r w:rsidRPr="005E2FA8">
        <w:rPr>
          <w:b/>
          <w:u w:val="single"/>
        </w:rPr>
        <w:t>s</w:t>
      </w:r>
      <w:r w:rsidR="00C05096" w:rsidRPr="005E2FA8">
        <w:rPr>
          <w:b/>
          <w:u w:val="single"/>
        </w:rPr>
        <w:t>)</w:t>
      </w:r>
      <w:r w:rsidRPr="005E2FA8">
        <w:rPr>
          <w:b/>
          <w:u w:val="single"/>
        </w:rPr>
        <w:t xml:space="preserve"> for </w:t>
      </w:r>
      <w:r w:rsidR="005E2FA8" w:rsidRPr="005E2FA8">
        <w:rPr>
          <w:b/>
          <w:u w:val="single"/>
        </w:rPr>
        <w:t>Declaratory Statement</w:t>
      </w:r>
      <w:r w:rsidR="005E2FA8">
        <w:rPr>
          <w:b/>
        </w:rPr>
        <w:t xml:space="preserve"> </w:t>
      </w:r>
      <w:r w:rsidR="005E2FA8">
        <w:t>(if any):</w:t>
      </w:r>
    </w:p>
    <w:p w:rsidR="00C1101B" w:rsidRDefault="00C1101B" w:rsidP="00B77A8C">
      <w:pPr>
        <w:pStyle w:val="BlockText"/>
      </w:pPr>
    </w:p>
    <w:p w:rsidR="00C1101B" w:rsidRDefault="00C1101B" w:rsidP="005D7FBD">
      <w:pPr>
        <w:pStyle w:val="BlockText"/>
        <w:ind w:left="1980"/>
      </w:pPr>
      <w:r w:rsidRPr="00C1101B">
        <w:rPr>
          <w:b/>
        </w:rPr>
        <w:t>Stan Weaver &amp; Co</w:t>
      </w:r>
      <w:r>
        <w:t>. – Petition seeks the agency’s opinion regarding the applicability of Section C403.2.6, Florida Building Code, Energy Conservation, to an air handling unit with a wrap-around heat pipe for dehumidification</w:t>
      </w:r>
      <w:r w:rsidR="00B77A8C">
        <w:t>, is still pending but was scheduled to be heard by the commission on January 27</w:t>
      </w:r>
      <w:r w:rsidR="00B77A8C" w:rsidRPr="00B77A8C">
        <w:rPr>
          <w:vertAlign w:val="superscript"/>
        </w:rPr>
        <w:t>th</w:t>
      </w:r>
      <w:r w:rsidR="00B77A8C">
        <w:t>.</w:t>
      </w:r>
      <w:r w:rsidR="00D86118">
        <w:t xml:space="preserve"> No order has yet been published.</w:t>
      </w:r>
    </w:p>
    <w:p w:rsidR="00595D13" w:rsidRDefault="00595D13" w:rsidP="005D7FBD">
      <w:pPr>
        <w:pStyle w:val="BlockText"/>
        <w:ind w:left="1980"/>
      </w:pPr>
    </w:p>
    <w:p w:rsidR="0032220C" w:rsidRDefault="00C1101B" w:rsidP="002978B7">
      <w:pPr>
        <w:pStyle w:val="BlockText"/>
        <w:ind w:left="1980"/>
      </w:pPr>
      <w:r w:rsidRPr="00C1101B">
        <w:rPr>
          <w:b/>
        </w:rPr>
        <w:t>Broward County Board of Rules and Appeals</w:t>
      </w:r>
      <w:r>
        <w:t xml:space="preserve"> – Petition seeks the agency’s opinion regarding the applicability of Sectio</w:t>
      </w:r>
      <w:r w:rsidR="002978B7">
        <w:t>n 301.15, Florida Building Code</w:t>
      </w:r>
      <w:r>
        <w:t xml:space="preserve">, Mechanical, as it applies to equipment other than air conditioning equipment, such as refrigeration units, fuel dispensers, water pumps and generators. </w:t>
      </w:r>
      <w:r w:rsidR="00D86118">
        <w:t>No order has yet been published.</w:t>
      </w:r>
    </w:p>
    <w:p w:rsidR="00E84B84" w:rsidRDefault="00E84B84" w:rsidP="002978B7">
      <w:pPr>
        <w:pStyle w:val="BlockText"/>
        <w:ind w:left="1980"/>
      </w:pPr>
    </w:p>
    <w:p w:rsidR="00CE31AB" w:rsidRDefault="000B0D3F" w:rsidP="00FA53DC">
      <w:pPr>
        <w:pStyle w:val="BlockText"/>
        <w:numPr>
          <w:ilvl w:val="1"/>
          <w:numId w:val="11"/>
        </w:numPr>
        <w:ind w:hanging="540"/>
      </w:pPr>
      <w:r w:rsidRPr="005E2FA8">
        <w:rPr>
          <w:b/>
          <w:u w:val="single"/>
        </w:rPr>
        <w:t>Petitions for Variance or Waiver</w:t>
      </w:r>
      <w:r>
        <w:t xml:space="preserve"> (if any</w:t>
      </w:r>
      <w:r w:rsidR="005E2FA8">
        <w:t xml:space="preserve">): </w:t>
      </w:r>
      <w:r w:rsidR="002C5242">
        <w:t>None noticed.</w:t>
      </w:r>
    </w:p>
    <w:p w:rsidR="00CE31AB" w:rsidRDefault="00CE31AB" w:rsidP="00CE31AB">
      <w:pPr>
        <w:pStyle w:val="BlockText"/>
        <w:ind w:left="1800"/>
      </w:pPr>
    </w:p>
    <w:p w:rsidR="00681534" w:rsidRDefault="005E2FA8" w:rsidP="00FA53DC">
      <w:pPr>
        <w:pStyle w:val="BlockText"/>
        <w:numPr>
          <w:ilvl w:val="1"/>
          <w:numId w:val="11"/>
        </w:numPr>
        <w:ind w:hanging="540"/>
      </w:pPr>
      <w:r w:rsidRPr="005E2FA8">
        <w:rPr>
          <w:b/>
          <w:u w:val="single"/>
        </w:rPr>
        <w:t xml:space="preserve">Petitions for </w:t>
      </w:r>
      <w:r>
        <w:rPr>
          <w:b/>
          <w:u w:val="single"/>
        </w:rPr>
        <w:t>I</w:t>
      </w:r>
      <w:r w:rsidR="00452CC3" w:rsidRPr="005E2FA8">
        <w:rPr>
          <w:b/>
          <w:u w:val="single"/>
        </w:rPr>
        <w:t>nterpretation</w:t>
      </w:r>
      <w:r>
        <w:rPr>
          <w:b/>
          <w:u w:val="single"/>
        </w:rPr>
        <w:t xml:space="preserve"> of B</w:t>
      </w:r>
      <w:r w:rsidR="008F17A7" w:rsidRPr="005E2FA8">
        <w:rPr>
          <w:b/>
          <w:u w:val="single"/>
        </w:rPr>
        <w:t>uilding</w:t>
      </w:r>
      <w:r w:rsidR="008F17A7" w:rsidRPr="005E2FA8">
        <w:rPr>
          <w:b/>
        </w:rPr>
        <w:t xml:space="preserve"> </w:t>
      </w:r>
      <w:r w:rsidRPr="005E2FA8">
        <w:rPr>
          <w:b/>
        </w:rPr>
        <w:t>C</w:t>
      </w:r>
      <w:r w:rsidR="008F17A7" w:rsidRPr="005E2FA8">
        <w:rPr>
          <w:b/>
        </w:rPr>
        <w:t>ode</w:t>
      </w:r>
      <w:r>
        <w:t xml:space="preserve"> (i</w:t>
      </w:r>
      <w:r w:rsidR="008F17A7" w:rsidRPr="005E2FA8">
        <w:t>f</w:t>
      </w:r>
      <w:r w:rsidR="008F17A7">
        <w:t xml:space="preserve"> any):</w:t>
      </w:r>
      <w:r w:rsidR="002C5242">
        <w:t xml:space="preserve"> None noticed.</w:t>
      </w:r>
    </w:p>
    <w:p w:rsidR="00D86118" w:rsidRDefault="00D86118" w:rsidP="00D86118">
      <w:pPr>
        <w:pStyle w:val="ListParagraph"/>
      </w:pPr>
    </w:p>
    <w:p w:rsidR="00D86118" w:rsidRDefault="00D86118" w:rsidP="00D86118">
      <w:pPr>
        <w:pStyle w:val="BlockText"/>
      </w:pPr>
    </w:p>
    <w:p w:rsidR="00996855" w:rsidRPr="00996855" w:rsidRDefault="00996855" w:rsidP="00681534">
      <w:pPr>
        <w:pStyle w:val="BlockText"/>
        <w:rPr>
          <w:b/>
        </w:rPr>
      </w:pPr>
    </w:p>
    <w:p w:rsidR="005E2FA8" w:rsidRPr="002978B7" w:rsidRDefault="005E2FA8" w:rsidP="005E2FA8">
      <w:pPr>
        <w:pStyle w:val="BlockText"/>
        <w:numPr>
          <w:ilvl w:val="0"/>
          <w:numId w:val="24"/>
        </w:numPr>
      </w:pPr>
      <w:r>
        <w:rPr>
          <w:b/>
          <w:u w:val="single"/>
        </w:rPr>
        <w:t>Department of Financial Services:</w:t>
      </w:r>
    </w:p>
    <w:p w:rsidR="002978B7" w:rsidRPr="002978B7" w:rsidRDefault="002978B7" w:rsidP="002978B7">
      <w:pPr>
        <w:pStyle w:val="BlockText"/>
        <w:ind w:left="720"/>
      </w:pPr>
    </w:p>
    <w:p w:rsidR="002978B7" w:rsidRDefault="002978B7" w:rsidP="002978B7">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5E2FA8" w:rsidRDefault="005E2FA8" w:rsidP="0073295B">
      <w:pPr>
        <w:pStyle w:val="BlockText"/>
        <w:rPr>
          <w:b/>
          <w:u w:val="single"/>
        </w:rPr>
      </w:pPr>
    </w:p>
    <w:p w:rsidR="005E2FA8" w:rsidRDefault="003C2DE3" w:rsidP="00BC18F8">
      <w:pPr>
        <w:pStyle w:val="BlockText"/>
        <w:ind w:firstLine="720"/>
      </w:pPr>
      <w:r w:rsidRPr="00B7181B">
        <w:rPr>
          <w:b/>
          <w:u w:val="single"/>
        </w:rPr>
        <w:t>Division of Workers’ Compensation</w:t>
      </w:r>
      <w:r w:rsidR="004E142A">
        <w:t xml:space="preserve"> – Chapter 440 and 6</w:t>
      </w:r>
      <w:r w:rsidR="00BD42D8">
        <w:t>9L FAC:</w:t>
      </w:r>
      <w:r w:rsidR="0032124B">
        <w:t xml:space="preserve"> </w:t>
      </w:r>
    </w:p>
    <w:p w:rsidR="005E2FA8" w:rsidRDefault="005E2FA8" w:rsidP="005E2FA8">
      <w:pPr>
        <w:pStyle w:val="BlockText"/>
        <w:ind w:left="720"/>
      </w:pPr>
    </w:p>
    <w:p w:rsidR="00DD6729" w:rsidRDefault="00BC18F8" w:rsidP="00BC18F8">
      <w:pPr>
        <w:pStyle w:val="BlockText"/>
        <w:ind w:left="720" w:firstLine="720"/>
      </w:pPr>
      <w:r w:rsidRPr="00BC18F8">
        <w:rPr>
          <w:b/>
        </w:rPr>
        <w:t>(a)</w:t>
      </w:r>
      <w:r>
        <w:t xml:space="preserve"> </w:t>
      </w:r>
      <w:r w:rsidR="005E2FA8" w:rsidRPr="00BC18F8">
        <w:rPr>
          <w:b/>
        </w:rPr>
        <w:t>R</w:t>
      </w:r>
      <w:r w:rsidR="00FE4A4B" w:rsidRPr="00BC18F8">
        <w:rPr>
          <w:b/>
        </w:rPr>
        <w:t>ule Changes</w:t>
      </w:r>
      <w:r w:rsidR="005E2FA8">
        <w:t xml:space="preserve"> </w:t>
      </w:r>
      <w:r w:rsidR="0032124B">
        <w:t>(if any):</w:t>
      </w:r>
      <w:r w:rsidR="009D3EF7">
        <w:t xml:space="preserve"> </w:t>
      </w:r>
      <w:r w:rsidR="002C5242">
        <w:t>None noticed.</w:t>
      </w:r>
    </w:p>
    <w:p w:rsidR="00BC18F8" w:rsidRDefault="00BC18F8" w:rsidP="00BC18F8">
      <w:pPr>
        <w:pStyle w:val="BlockText"/>
        <w:ind w:left="1800"/>
      </w:pPr>
    </w:p>
    <w:p w:rsidR="00BC18F8" w:rsidRDefault="00BC18F8" w:rsidP="00BC18F8">
      <w:pPr>
        <w:pStyle w:val="BlockText"/>
        <w:numPr>
          <w:ilvl w:val="0"/>
          <w:numId w:val="41"/>
        </w:numPr>
      </w:pPr>
      <w:r w:rsidRPr="00BC18F8">
        <w:rPr>
          <w:b/>
        </w:rPr>
        <w:t xml:space="preserve">Petitions for Declaratory Statement </w:t>
      </w:r>
      <w:r>
        <w:t>(if any):</w:t>
      </w:r>
    </w:p>
    <w:p w:rsidR="00BC18F8" w:rsidRDefault="00BC18F8" w:rsidP="00BC18F8">
      <w:pPr>
        <w:pStyle w:val="BlockText"/>
      </w:pPr>
      <w:r>
        <w:t xml:space="preserve"> </w:t>
      </w:r>
      <w:r>
        <w:tab/>
      </w:r>
      <w:r>
        <w:tab/>
      </w:r>
    </w:p>
    <w:p w:rsidR="00BC18F8" w:rsidRDefault="00BC18F8" w:rsidP="00BC18F8">
      <w:pPr>
        <w:pStyle w:val="BlockText"/>
        <w:ind w:left="1800"/>
      </w:pPr>
      <w:r w:rsidRPr="00BC18F8">
        <w:rPr>
          <w:b/>
        </w:rPr>
        <w:t>KNN Trucking</w:t>
      </w:r>
      <w:r>
        <w:t xml:space="preserve"> – requesting a change in classification code for purposes of calculating a penalty assessment made in connection with a stop-work order. A final order was entered on April 6</w:t>
      </w:r>
      <w:r w:rsidRPr="00BC18F8">
        <w:rPr>
          <w:vertAlign w:val="superscript"/>
        </w:rPr>
        <w:t>th</w:t>
      </w:r>
      <w:r>
        <w:t>, denying the petition because it was based on prior actions and is related is pending litigation; however, the order suggested that a Petition for Waiver from the existing rule might be appropriate.</w:t>
      </w:r>
    </w:p>
    <w:p w:rsidR="00BC18F8" w:rsidRDefault="00BC18F8" w:rsidP="00BC18F8">
      <w:pPr>
        <w:pStyle w:val="BlockText"/>
        <w:ind w:left="1800"/>
      </w:pPr>
    </w:p>
    <w:p w:rsidR="00BC18F8" w:rsidRDefault="00BC18F8" w:rsidP="00A94142">
      <w:pPr>
        <w:pStyle w:val="BlockText"/>
        <w:ind w:left="1800"/>
      </w:pPr>
      <w:r w:rsidRPr="00A94142">
        <w:rPr>
          <w:b/>
        </w:rPr>
        <w:t>Circus Arts Conservatory, Inc</w:t>
      </w:r>
      <w:r>
        <w:t>. – seeking a determination if contracted performers meet the statutory definition of “employee,” or cons</w:t>
      </w:r>
      <w:r w:rsidR="00A94142">
        <w:t>titute independent contractors.</w:t>
      </w:r>
    </w:p>
    <w:p w:rsidR="00A94142" w:rsidRDefault="00A94142" w:rsidP="00A94142">
      <w:pPr>
        <w:pStyle w:val="BlockText"/>
        <w:ind w:left="1800"/>
      </w:pPr>
    </w:p>
    <w:p w:rsidR="00A94142" w:rsidRPr="00BC18F8" w:rsidRDefault="00A94142" w:rsidP="00A94142">
      <w:pPr>
        <w:pStyle w:val="BlockText"/>
        <w:numPr>
          <w:ilvl w:val="0"/>
          <w:numId w:val="41"/>
        </w:numPr>
      </w:pPr>
      <w:r>
        <w:rPr>
          <w:b/>
        </w:rPr>
        <w:t xml:space="preserve">Petitions for Variance or Waiver </w:t>
      </w:r>
      <w:r>
        <w:t>(if any): None noticed.</w:t>
      </w:r>
    </w:p>
    <w:p w:rsidR="0073295B" w:rsidRDefault="0073295B" w:rsidP="002978B7">
      <w:pPr>
        <w:pStyle w:val="BlockText"/>
        <w:ind w:left="1440" w:firstLine="720"/>
      </w:pPr>
    </w:p>
    <w:p w:rsidR="004271D8" w:rsidRDefault="004271D8" w:rsidP="005C76EE">
      <w:pPr>
        <w:pStyle w:val="BlockText"/>
        <w:rPr>
          <w:b/>
          <w:u w:val="single"/>
        </w:rPr>
      </w:pPr>
    </w:p>
    <w:p w:rsidR="00701D5A" w:rsidRDefault="00CF37B7" w:rsidP="00701D5A">
      <w:pPr>
        <w:pStyle w:val="BlockText"/>
        <w:rPr>
          <w:b/>
        </w:rPr>
      </w:pPr>
      <w:r w:rsidRPr="00CD02EB">
        <w:rPr>
          <w:b/>
          <w:u w:val="single"/>
        </w:rPr>
        <w:t>Legislative Action:</w:t>
      </w:r>
      <w:r w:rsidR="00156092">
        <w:t xml:space="preserve"> </w:t>
      </w:r>
      <w:r w:rsidR="00CC4315">
        <w:t xml:space="preserve"> </w:t>
      </w:r>
      <w:r w:rsidR="00DE458D">
        <w:rPr>
          <w:b/>
        </w:rPr>
        <w:t xml:space="preserve">The following construction-related bills filed for consideration during the </w:t>
      </w:r>
      <w:r w:rsidR="00DE458D" w:rsidRPr="00701D5A">
        <w:rPr>
          <w:b/>
        </w:rPr>
        <w:t>2016 Regular Legislative Se</w:t>
      </w:r>
      <w:r w:rsidR="005E2FA8" w:rsidRPr="00701D5A">
        <w:rPr>
          <w:b/>
        </w:rPr>
        <w:t xml:space="preserve">ssion, </w:t>
      </w:r>
      <w:r w:rsidR="00701D5A" w:rsidRPr="00701D5A">
        <w:rPr>
          <w:b/>
        </w:rPr>
        <w:t>WERE PASSED AND SIGNED BY THE GOVERNOR:</w:t>
      </w:r>
      <w:r w:rsidR="00701D5A">
        <w:rPr>
          <w:b/>
        </w:rPr>
        <w:t xml:space="preserve"> </w:t>
      </w:r>
    </w:p>
    <w:p w:rsidR="00701D5A" w:rsidRDefault="00701D5A" w:rsidP="00701D5A">
      <w:pPr>
        <w:pStyle w:val="BlockText"/>
        <w:rPr>
          <w:b/>
        </w:rPr>
      </w:pPr>
    </w:p>
    <w:p w:rsidR="00701D5A" w:rsidRPr="0077169A" w:rsidRDefault="00701D5A" w:rsidP="00701D5A">
      <w:pPr>
        <w:jc w:val="center"/>
        <w:rPr>
          <w:rFonts w:cs="Times New Roman"/>
          <w:b/>
          <w:i/>
          <w:sz w:val="20"/>
          <w:szCs w:val="20"/>
          <w:u w:val="single"/>
        </w:rPr>
      </w:pPr>
    </w:p>
    <w:p w:rsidR="00701D5A" w:rsidRDefault="00701D5A" w:rsidP="00701D5A">
      <w:pPr>
        <w:rPr>
          <w:rFonts w:cs="Times New Roman"/>
          <w:u w:val="single"/>
        </w:rPr>
      </w:pPr>
      <w:r w:rsidRPr="00CE37EC">
        <w:rPr>
          <w:rFonts w:cs="Times New Roman"/>
          <w:b/>
          <w:u w:val="single"/>
        </w:rPr>
        <w:t>Bill No.</w:t>
      </w:r>
      <w:r w:rsidRPr="00CE37EC">
        <w:rPr>
          <w:rFonts w:cs="Times New Roman"/>
          <w:b/>
          <w:u w:val="single"/>
        </w:rPr>
        <w:tab/>
        <w:t xml:space="preserve"> </w:t>
      </w:r>
      <w:r w:rsidR="002B1F21">
        <w:rPr>
          <w:rFonts w:cs="Times New Roman"/>
          <w:b/>
          <w:u w:val="single"/>
        </w:rPr>
        <w:t xml:space="preserve">       </w:t>
      </w:r>
      <w:r w:rsidRPr="00CE37EC">
        <w:rPr>
          <w:rFonts w:cs="Times New Roman"/>
          <w:b/>
          <w:u w:val="single"/>
        </w:rPr>
        <w:t>Subject</w:t>
      </w:r>
      <w:r w:rsidR="002B1F21">
        <w:rPr>
          <w:rFonts w:cs="Times New Roman"/>
          <w:b/>
          <w:u w:val="single"/>
        </w:rPr>
        <w:t xml:space="preserve">/Title                    </w:t>
      </w:r>
      <w:r>
        <w:rPr>
          <w:rFonts w:cs="Times New Roman"/>
          <w:b/>
          <w:u w:val="single"/>
        </w:rPr>
        <w:t>LOF*</w:t>
      </w:r>
      <w:r w:rsidRPr="00CE37EC">
        <w:rPr>
          <w:rFonts w:cs="Times New Roman"/>
          <w:b/>
          <w:u w:val="single"/>
        </w:rPr>
        <w:tab/>
      </w:r>
      <w:r w:rsidR="002B1F21">
        <w:rPr>
          <w:rFonts w:cs="Times New Roman"/>
          <w:b/>
          <w:u w:val="single"/>
        </w:rPr>
        <w:t xml:space="preserve"> Effective                  </w:t>
      </w:r>
      <w:r>
        <w:rPr>
          <w:rFonts w:cs="Times New Roman"/>
          <w:b/>
          <w:u w:val="single"/>
        </w:rPr>
        <w:t>Notes</w:t>
      </w:r>
      <w:r>
        <w:rPr>
          <w:rFonts w:cs="Times New Roman"/>
          <w:u w:val="single"/>
        </w:rPr>
        <w:t>________</w:t>
      </w:r>
    </w:p>
    <w:p w:rsidR="00701D5A" w:rsidRDefault="00701D5A" w:rsidP="00701D5A">
      <w:pPr>
        <w:rPr>
          <w:rFonts w:cs="Times New Roman"/>
        </w:rPr>
      </w:pPr>
      <w:r w:rsidRPr="00CE37EC">
        <w:rPr>
          <w:rFonts w:cs="Times New Roman"/>
        </w:rPr>
        <w:t>86</w:t>
      </w:r>
      <w:r w:rsidRPr="00CE37EC">
        <w:rPr>
          <w:rFonts w:cs="Times New Roman"/>
        </w:rPr>
        <w:tab/>
      </w:r>
      <w:r w:rsidRPr="00CE37EC">
        <w:rPr>
          <w:rFonts w:cs="Times New Roman"/>
        </w:rPr>
        <w:tab/>
        <w:t>Scrutinized Companies</w:t>
      </w:r>
      <w:r>
        <w:rPr>
          <w:rFonts w:cs="Times New Roman"/>
        </w:rPr>
        <w:tab/>
        <w:t xml:space="preserve">2016-36   </w:t>
      </w:r>
      <w:r w:rsidRPr="00CE37EC">
        <w:rPr>
          <w:rFonts w:cs="Times New Roman"/>
        </w:rPr>
        <w:tab/>
      </w:r>
      <w:r>
        <w:rPr>
          <w:rFonts w:cs="Times New Roman"/>
        </w:rPr>
        <w:t>Mar. 10, ‘16</w:t>
      </w:r>
      <w:r w:rsidRPr="00CE37EC">
        <w:rPr>
          <w:rFonts w:cs="Times New Roman"/>
        </w:rPr>
        <w:tab/>
      </w:r>
      <w:r>
        <w:rPr>
          <w:rFonts w:cs="Times New Roman"/>
        </w:rPr>
        <w:t>Boycotts of Israel</w:t>
      </w:r>
    </w:p>
    <w:p w:rsidR="00701D5A" w:rsidRDefault="00701D5A" w:rsidP="00701D5A">
      <w:pPr>
        <w:rPr>
          <w:rFonts w:cs="Times New Roman"/>
        </w:rPr>
      </w:pPr>
    </w:p>
    <w:p w:rsidR="00701D5A" w:rsidRDefault="00701D5A" w:rsidP="00701D5A">
      <w:pPr>
        <w:rPr>
          <w:rFonts w:cs="Times New Roman"/>
        </w:rPr>
      </w:pPr>
      <w:r>
        <w:rPr>
          <w:rFonts w:cs="Times New Roman"/>
        </w:rPr>
        <w:t>124</w:t>
      </w:r>
      <w:r>
        <w:rPr>
          <w:rFonts w:cs="Times New Roman"/>
        </w:rPr>
        <w:tab/>
      </w:r>
      <w:r>
        <w:rPr>
          <w:rFonts w:cs="Times New Roman"/>
        </w:rPr>
        <w:tab/>
        <w:t>Public/Private Partnerships</w:t>
      </w:r>
      <w:r>
        <w:rPr>
          <w:rFonts w:cs="Times New Roman"/>
        </w:rPr>
        <w:tab/>
        <w:t>2016-153</w:t>
      </w:r>
      <w:r>
        <w:rPr>
          <w:rFonts w:cs="Times New Roman"/>
        </w:rPr>
        <w:tab/>
        <w:t>July 1, ‘16</w:t>
      </w:r>
      <w:r>
        <w:rPr>
          <w:rFonts w:cs="Times New Roman"/>
        </w:rPr>
        <w:tab/>
        <w:t>Adds schools/special</w:t>
      </w:r>
    </w:p>
    <w:p w:rsidR="00701D5A" w:rsidRDefault="00701D5A" w:rsidP="00701D5A">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Districts</w:t>
      </w:r>
    </w:p>
    <w:p w:rsidR="00701D5A" w:rsidRDefault="00701D5A" w:rsidP="00701D5A">
      <w:pPr>
        <w:rPr>
          <w:rFonts w:cs="Times New Roman"/>
        </w:rPr>
      </w:pPr>
    </w:p>
    <w:p w:rsidR="00701D5A" w:rsidRDefault="00701D5A" w:rsidP="00701D5A">
      <w:pPr>
        <w:rPr>
          <w:rFonts w:cs="Times New Roman"/>
        </w:rPr>
      </w:pPr>
      <w:r>
        <w:rPr>
          <w:rFonts w:cs="Times New Roman"/>
        </w:rPr>
        <w:t>126</w:t>
      </w:r>
      <w:r>
        <w:rPr>
          <w:rFonts w:cs="Times New Roman"/>
        </w:rPr>
        <w:tab/>
      </w:r>
      <w:r>
        <w:rPr>
          <w:rFonts w:cs="Times New Roman"/>
        </w:rPr>
        <w:tab/>
        <w:t>P3 Public Records</w:t>
      </w:r>
      <w:r>
        <w:rPr>
          <w:rFonts w:cs="Times New Roman"/>
        </w:rPr>
        <w:tab/>
      </w:r>
      <w:r>
        <w:rPr>
          <w:rFonts w:cs="Times New Roman"/>
        </w:rPr>
        <w:tab/>
        <w:t>2016-154</w:t>
      </w:r>
      <w:r>
        <w:rPr>
          <w:rFonts w:cs="Times New Roman"/>
        </w:rPr>
        <w:tab/>
        <w:t>July 1, ‘16</w:t>
      </w:r>
      <w:r>
        <w:rPr>
          <w:rFonts w:cs="Times New Roman"/>
        </w:rPr>
        <w:tab/>
        <w:t>Exempts proposals</w:t>
      </w:r>
    </w:p>
    <w:p w:rsidR="00701D5A" w:rsidRDefault="00701D5A" w:rsidP="00701D5A">
      <w:pPr>
        <w:rPr>
          <w:rFonts w:cs="Times New Roman"/>
        </w:rPr>
      </w:pPr>
    </w:p>
    <w:p w:rsidR="00701D5A" w:rsidRDefault="00701D5A" w:rsidP="00701D5A">
      <w:pPr>
        <w:rPr>
          <w:rFonts w:cs="Times New Roman"/>
        </w:rPr>
      </w:pPr>
      <w:r>
        <w:rPr>
          <w:rFonts w:cs="Times New Roman"/>
        </w:rPr>
        <w:t>193</w:t>
      </w:r>
      <w:r>
        <w:rPr>
          <w:rFonts w:cs="Times New Roman"/>
        </w:rPr>
        <w:tab/>
      </w:r>
      <w:r>
        <w:rPr>
          <w:rFonts w:cs="Times New Roman"/>
        </w:rPr>
        <w:tab/>
        <w:t>Constitutional Amendment</w:t>
      </w:r>
      <w:r>
        <w:rPr>
          <w:rFonts w:cs="Times New Roman"/>
        </w:rPr>
        <w:tab/>
        <w:t>N/A</w:t>
      </w:r>
      <w:r>
        <w:rPr>
          <w:rFonts w:cs="Times New Roman"/>
        </w:rPr>
        <w:tab/>
      </w:r>
      <w:r>
        <w:rPr>
          <w:rFonts w:cs="Times New Roman"/>
        </w:rPr>
        <w:tab/>
        <w:t>Mar. 11, ‘16</w:t>
      </w:r>
      <w:r>
        <w:rPr>
          <w:rFonts w:cs="Times New Roman"/>
        </w:rPr>
        <w:tab/>
        <w:t xml:space="preserve">Exempts solar and        </w:t>
      </w:r>
    </w:p>
    <w:p w:rsidR="00701D5A" w:rsidRDefault="00701D5A" w:rsidP="00701D5A">
      <w:pPr>
        <w:ind w:left="7200"/>
        <w:rPr>
          <w:rFonts w:cs="Times New Roman"/>
        </w:rPr>
      </w:pPr>
      <w:r>
        <w:rPr>
          <w:rFonts w:cs="Times New Roman"/>
        </w:rPr>
        <w:t xml:space="preserve">energy-saving devices </w:t>
      </w:r>
    </w:p>
    <w:p w:rsidR="00701D5A" w:rsidRDefault="00701D5A" w:rsidP="00701D5A">
      <w:pPr>
        <w:ind w:left="7200"/>
        <w:rPr>
          <w:rFonts w:cs="Times New Roman"/>
        </w:rPr>
      </w:pPr>
    </w:p>
    <w:p w:rsidR="00701D5A" w:rsidRDefault="00701D5A" w:rsidP="00701D5A">
      <w:pPr>
        <w:rPr>
          <w:rFonts w:cs="Times New Roman"/>
        </w:rPr>
      </w:pPr>
      <w:r>
        <w:rPr>
          <w:rFonts w:cs="Times New Roman"/>
        </w:rPr>
        <w:t>273</w:t>
      </w:r>
      <w:r>
        <w:rPr>
          <w:rFonts w:cs="Times New Roman"/>
        </w:rPr>
        <w:tab/>
      </w:r>
      <w:r>
        <w:rPr>
          <w:rFonts w:cs="Times New Roman"/>
        </w:rPr>
        <w:tab/>
        <w:t>Public Records</w:t>
      </w:r>
      <w:r>
        <w:rPr>
          <w:rFonts w:cs="Times New Roman"/>
        </w:rPr>
        <w:tab/>
      </w:r>
      <w:r>
        <w:rPr>
          <w:rFonts w:cs="Times New Roman"/>
        </w:rPr>
        <w:tab/>
        <w:t>2016-20</w:t>
      </w:r>
      <w:r>
        <w:rPr>
          <w:rFonts w:cs="Times New Roman"/>
        </w:rPr>
        <w:tab/>
        <w:t>July 1, ‘16</w:t>
      </w:r>
      <w:r>
        <w:rPr>
          <w:rFonts w:cs="Times New Roman"/>
        </w:rPr>
        <w:tab/>
        <w:t>Exempts contractors</w:t>
      </w:r>
    </w:p>
    <w:p w:rsidR="00701D5A" w:rsidRDefault="00701D5A" w:rsidP="00701D5A">
      <w:pPr>
        <w:rPr>
          <w:rFonts w:cs="Times New Roman"/>
        </w:rPr>
      </w:pPr>
    </w:p>
    <w:p w:rsidR="00701D5A" w:rsidRDefault="00701D5A" w:rsidP="00701D5A">
      <w:pPr>
        <w:rPr>
          <w:rFonts w:cs="Times New Roman"/>
        </w:rPr>
      </w:pPr>
      <w:r>
        <w:rPr>
          <w:rFonts w:cs="Times New Roman"/>
        </w:rPr>
        <w:t>303</w:t>
      </w:r>
      <w:r>
        <w:rPr>
          <w:rFonts w:cs="Times New Roman"/>
        </w:rPr>
        <w:tab/>
      </w:r>
      <w:r>
        <w:rPr>
          <w:rFonts w:cs="Times New Roman"/>
        </w:rPr>
        <w:tab/>
        <w:t>Unlicensed Activities</w:t>
      </w:r>
      <w:r>
        <w:rPr>
          <w:rFonts w:cs="Times New Roman"/>
        </w:rPr>
        <w:tab/>
      </w:r>
      <w:r>
        <w:rPr>
          <w:rFonts w:cs="Times New Roman"/>
        </w:rPr>
        <w:tab/>
        <w:t>2016-79</w:t>
      </w:r>
      <w:r>
        <w:rPr>
          <w:rFonts w:cs="Times New Roman"/>
        </w:rPr>
        <w:tab/>
        <w:t>July 1, ‘16</w:t>
      </w:r>
      <w:r>
        <w:rPr>
          <w:rFonts w:cs="Times New Roman"/>
        </w:rPr>
        <w:tab/>
        <w:t>Waive $5 License fee</w:t>
      </w:r>
    </w:p>
    <w:p w:rsidR="00701D5A" w:rsidRDefault="00701D5A" w:rsidP="00701D5A">
      <w:pPr>
        <w:rPr>
          <w:rFonts w:cs="Times New Roman"/>
        </w:rPr>
      </w:pPr>
    </w:p>
    <w:p w:rsidR="00701D5A" w:rsidRDefault="00701D5A" w:rsidP="00701D5A">
      <w:pPr>
        <w:rPr>
          <w:rFonts w:cs="Times New Roman"/>
        </w:rPr>
      </w:pPr>
      <w:r>
        <w:rPr>
          <w:rFonts w:cs="Times New Roman"/>
        </w:rPr>
        <w:t>347</w:t>
      </w:r>
      <w:r>
        <w:rPr>
          <w:rFonts w:cs="Times New Roman"/>
        </w:rPr>
        <w:tab/>
      </w:r>
      <w:r>
        <w:rPr>
          <w:rFonts w:cs="Times New Roman"/>
        </w:rPr>
        <w:tab/>
        <w:t>Utility Projects</w:t>
      </w:r>
      <w:r>
        <w:rPr>
          <w:rFonts w:cs="Times New Roman"/>
        </w:rPr>
        <w:tab/>
      </w:r>
      <w:r>
        <w:rPr>
          <w:rFonts w:cs="Times New Roman"/>
        </w:rPr>
        <w:tab/>
        <w:t>2016-124</w:t>
      </w:r>
      <w:r>
        <w:rPr>
          <w:rFonts w:cs="Times New Roman"/>
        </w:rPr>
        <w:tab/>
        <w:t>July 1, ’16</w:t>
      </w:r>
      <w:r>
        <w:rPr>
          <w:rFonts w:cs="Times New Roman"/>
        </w:rPr>
        <w:tab/>
        <w:t xml:space="preserve">Cost Containment </w:t>
      </w:r>
    </w:p>
    <w:p w:rsidR="00701D5A" w:rsidRDefault="00701D5A" w:rsidP="00701D5A">
      <w:pPr>
        <w:ind w:left="7200"/>
        <w:rPr>
          <w:rFonts w:cs="Times New Roman"/>
        </w:rPr>
      </w:pPr>
      <w:r>
        <w:rPr>
          <w:rFonts w:cs="Times New Roman"/>
        </w:rPr>
        <w:t>Bond Financing</w:t>
      </w:r>
    </w:p>
    <w:p w:rsidR="00701D5A" w:rsidRDefault="00701D5A" w:rsidP="00701D5A">
      <w:pPr>
        <w:rPr>
          <w:rFonts w:cs="Times New Roman"/>
        </w:rPr>
      </w:pPr>
    </w:p>
    <w:p w:rsidR="00701D5A" w:rsidRDefault="00701D5A" w:rsidP="00701D5A">
      <w:pPr>
        <w:rPr>
          <w:rFonts w:cs="Times New Roman"/>
        </w:rPr>
      </w:pPr>
      <w:r>
        <w:rPr>
          <w:rFonts w:cs="Times New Roman"/>
        </w:rPr>
        <w:t>350</w:t>
      </w:r>
      <w:r>
        <w:rPr>
          <w:rFonts w:cs="Times New Roman"/>
        </w:rPr>
        <w:tab/>
      </w:r>
      <w:r>
        <w:rPr>
          <w:rFonts w:cs="Times New Roman"/>
        </w:rPr>
        <w:tab/>
        <w:t>School Purchasing</w:t>
      </w:r>
      <w:r>
        <w:rPr>
          <w:rFonts w:cs="Times New Roman"/>
        </w:rPr>
        <w:tab/>
      </w:r>
      <w:r>
        <w:rPr>
          <w:rFonts w:cs="Times New Roman"/>
        </w:rPr>
        <w:tab/>
        <w:t>2016-31</w:t>
      </w:r>
      <w:r>
        <w:rPr>
          <w:rFonts w:cs="Times New Roman"/>
        </w:rPr>
        <w:tab/>
        <w:t>July 1, ’16</w:t>
      </w:r>
      <w:r>
        <w:rPr>
          <w:rFonts w:cs="Times New Roman"/>
        </w:rPr>
        <w:tab/>
        <w:t>Requires reviews</w:t>
      </w:r>
    </w:p>
    <w:p w:rsidR="00701D5A" w:rsidRDefault="00701D5A" w:rsidP="00701D5A">
      <w:pPr>
        <w:rPr>
          <w:rFonts w:cs="Times New Roman"/>
        </w:rPr>
      </w:pPr>
    </w:p>
    <w:p w:rsidR="00701D5A" w:rsidRDefault="00701D5A" w:rsidP="00701D5A">
      <w:pPr>
        <w:rPr>
          <w:rFonts w:cs="Times New Roman"/>
        </w:rPr>
      </w:pPr>
      <w:r>
        <w:rPr>
          <w:rFonts w:cs="Times New Roman"/>
        </w:rPr>
        <w:t>396</w:t>
      </w:r>
      <w:r>
        <w:rPr>
          <w:rFonts w:cs="Times New Roman"/>
        </w:rPr>
        <w:tab/>
      </w:r>
      <w:r>
        <w:rPr>
          <w:rFonts w:cs="Times New Roman"/>
        </w:rPr>
        <w:tab/>
        <w:t>Non-Resident bond</w:t>
      </w:r>
      <w:r>
        <w:rPr>
          <w:rFonts w:cs="Times New Roman"/>
        </w:rPr>
        <w:tab/>
      </w:r>
      <w:r>
        <w:rPr>
          <w:rFonts w:cs="Times New Roman"/>
        </w:rPr>
        <w:tab/>
        <w:t>2016-43</w:t>
      </w:r>
      <w:r>
        <w:rPr>
          <w:rFonts w:cs="Times New Roman"/>
        </w:rPr>
        <w:tab/>
        <w:t>July 1, ’16</w:t>
      </w:r>
      <w:r>
        <w:rPr>
          <w:rFonts w:cs="Times New Roman"/>
        </w:rPr>
        <w:tab/>
        <w:t>Repeals s. 57.011</w:t>
      </w:r>
    </w:p>
    <w:p w:rsidR="00701D5A" w:rsidRDefault="00701D5A" w:rsidP="00701D5A">
      <w:pPr>
        <w:rPr>
          <w:rFonts w:cs="Times New Roman"/>
        </w:rPr>
      </w:pPr>
    </w:p>
    <w:p w:rsidR="00701D5A" w:rsidRDefault="00701D5A" w:rsidP="00701D5A">
      <w:pPr>
        <w:rPr>
          <w:rFonts w:cs="Times New Roman"/>
        </w:rPr>
      </w:pPr>
      <w:r>
        <w:rPr>
          <w:rFonts w:cs="Times New Roman"/>
        </w:rPr>
        <w:t>416</w:t>
      </w:r>
      <w:r>
        <w:rPr>
          <w:rFonts w:cs="Times New Roman"/>
        </w:rPr>
        <w:tab/>
      </w:r>
      <w:r>
        <w:rPr>
          <w:rFonts w:cs="Times New Roman"/>
        </w:rPr>
        <w:tab/>
        <w:t>Location of Utilities</w:t>
      </w:r>
      <w:r>
        <w:rPr>
          <w:rFonts w:cs="Times New Roman"/>
        </w:rPr>
        <w:tab/>
      </w:r>
      <w:r>
        <w:rPr>
          <w:rFonts w:cs="Times New Roman"/>
        </w:rPr>
        <w:tab/>
        <w:t>2016-44</w:t>
      </w:r>
      <w:r>
        <w:rPr>
          <w:rFonts w:cs="Times New Roman"/>
        </w:rPr>
        <w:tab/>
        <w:t>July 1, ‘16</w:t>
      </w:r>
      <w:r>
        <w:rPr>
          <w:rFonts w:cs="Times New Roman"/>
        </w:rPr>
        <w:tab/>
        <w:t>Relocation costs</w:t>
      </w:r>
    </w:p>
    <w:p w:rsidR="00701D5A" w:rsidRDefault="00701D5A" w:rsidP="00701D5A">
      <w:pPr>
        <w:rPr>
          <w:rFonts w:cs="Times New Roman"/>
        </w:rPr>
      </w:pPr>
    </w:p>
    <w:p w:rsidR="00701D5A" w:rsidRDefault="00701D5A" w:rsidP="00701D5A">
      <w:pPr>
        <w:rPr>
          <w:rFonts w:cs="Times New Roman"/>
        </w:rPr>
      </w:pPr>
      <w:r>
        <w:rPr>
          <w:rFonts w:cs="Times New Roman"/>
        </w:rPr>
        <w:t>431</w:t>
      </w:r>
      <w:r>
        <w:rPr>
          <w:rFonts w:cs="Times New Roman"/>
        </w:rPr>
        <w:tab/>
      </w:r>
      <w:r>
        <w:rPr>
          <w:rFonts w:cs="Times New Roman"/>
        </w:rPr>
        <w:tab/>
        <w:t>Firesafety</w:t>
      </w:r>
      <w:r>
        <w:rPr>
          <w:rFonts w:cs="Times New Roman"/>
        </w:rPr>
        <w:tab/>
      </w:r>
      <w:r>
        <w:rPr>
          <w:rFonts w:cs="Times New Roman"/>
        </w:rPr>
        <w:tab/>
      </w:r>
      <w:r>
        <w:rPr>
          <w:rFonts w:cs="Times New Roman"/>
        </w:rPr>
        <w:tab/>
        <w:t>2016-83</w:t>
      </w:r>
      <w:r>
        <w:rPr>
          <w:rFonts w:cs="Times New Roman"/>
        </w:rPr>
        <w:tab/>
        <w:t>July 1, ’16</w:t>
      </w:r>
      <w:r>
        <w:rPr>
          <w:rFonts w:cs="Times New Roman"/>
        </w:rPr>
        <w:tab/>
        <w:t>Exempts pole barns</w:t>
      </w:r>
    </w:p>
    <w:p w:rsidR="00701D5A" w:rsidRDefault="00701D5A" w:rsidP="00701D5A">
      <w:pPr>
        <w:rPr>
          <w:rFonts w:cs="Times New Roman"/>
        </w:rPr>
      </w:pPr>
    </w:p>
    <w:p w:rsidR="00701D5A" w:rsidRDefault="00701D5A" w:rsidP="00701D5A">
      <w:pPr>
        <w:rPr>
          <w:rFonts w:cs="Times New Roman"/>
        </w:rPr>
      </w:pPr>
      <w:r>
        <w:rPr>
          <w:rFonts w:cs="Times New Roman"/>
        </w:rPr>
        <w:t>535</w:t>
      </w:r>
      <w:r>
        <w:rPr>
          <w:rFonts w:cs="Times New Roman"/>
        </w:rPr>
        <w:tab/>
      </w:r>
      <w:r>
        <w:rPr>
          <w:rFonts w:cs="Times New Roman"/>
        </w:rPr>
        <w:tab/>
        <w:t>Florida Building Code</w:t>
      </w:r>
      <w:r>
        <w:rPr>
          <w:rFonts w:cs="Times New Roman"/>
        </w:rPr>
        <w:tab/>
        <w:t>2016-129</w:t>
      </w:r>
      <w:r>
        <w:rPr>
          <w:rFonts w:cs="Times New Roman"/>
        </w:rPr>
        <w:tab/>
        <w:t>July 1, ’16</w:t>
      </w:r>
      <w:r>
        <w:rPr>
          <w:rFonts w:cs="Times New Roman"/>
        </w:rPr>
        <w:tab/>
        <w:t>Numerous changes</w:t>
      </w:r>
    </w:p>
    <w:p w:rsidR="00701D5A" w:rsidRDefault="00701D5A" w:rsidP="00701D5A">
      <w:pPr>
        <w:rPr>
          <w:rFonts w:cs="Times New Roman"/>
        </w:rPr>
      </w:pPr>
    </w:p>
    <w:p w:rsidR="00701D5A" w:rsidRDefault="00701D5A" w:rsidP="00701D5A">
      <w:pPr>
        <w:rPr>
          <w:rFonts w:cs="Times New Roman"/>
        </w:rPr>
      </w:pPr>
      <w:r>
        <w:rPr>
          <w:rFonts w:cs="Times New Roman"/>
        </w:rPr>
        <w:t>965</w:t>
      </w:r>
      <w:r>
        <w:rPr>
          <w:rFonts w:cs="Times New Roman"/>
        </w:rPr>
        <w:tab/>
      </w:r>
      <w:r>
        <w:rPr>
          <w:rFonts w:cs="Times New Roman"/>
        </w:rPr>
        <w:tab/>
        <w:t>Firesafety</w:t>
      </w:r>
      <w:r>
        <w:rPr>
          <w:rFonts w:cs="Times New Roman"/>
        </w:rPr>
        <w:tab/>
      </w:r>
      <w:r>
        <w:rPr>
          <w:rFonts w:cs="Times New Roman"/>
        </w:rPr>
        <w:tab/>
      </w:r>
      <w:r>
        <w:rPr>
          <w:rFonts w:cs="Times New Roman"/>
        </w:rPr>
        <w:tab/>
        <w:t>2016-92</w:t>
      </w:r>
      <w:r>
        <w:rPr>
          <w:rFonts w:cs="Times New Roman"/>
        </w:rPr>
        <w:tab/>
        <w:t>July 1, ’16</w:t>
      </w:r>
      <w:r>
        <w:rPr>
          <w:rFonts w:cs="Times New Roman"/>
        </w:rPr>
        <w:tab/>
        <w:t>Standards for ALFs</w:t>
      </w:r>
    </w:p>
    <w:p w:rsidR="00701D5A" w:rsidRDefault="00701D5A" w:rsidP="00701D5A">
      <w:pPr>
        <w:rPr>
          <w:rFonts w:cs="Times New Roman"/>
        </w:rPr>
      </w:pPr>
    </w:p>
    <w:p w:rsidR="00701D5A" w:rsidRDefault="00701D5A" w:rsidP="00701D5A">
      <w:pPr>
        <w:rPr>
          <w:rFonts w:cs="Times New Roman"/>
        </w:rPr>
      </w:pPr>
      <w:r>
        <w:rPr>
          <w:rFonts w:cs="Times New Roman"/>
        </w:rPr>
        <w:t>1361</w:t>
      </w:r>
      <w:r>
        <w:rPr>
          <w:rFonts w:cs="Times New Roman"/>
        </w:rPr>
        <w:tab/>
      </w:r>
      <w:r>
        <w:rPr>
          <w:rFonts w:cs="Times New Roman"/>
        </w:rPr>
        <w:tab/>
        <w:t>Growth Management</w:t>
      </w:r>
      <w:r>
        <w:rPr>
          <w:rFonts w:cs="Times New Roman"/>
        </w:rPr>
        <w:tab/>
      </w:r>
      <w:r>
        <w:rPr>
          <w:rFonts w:cs="Times New Roman"/>
        </w:rPr>
        <w:tab/>
        <w:t>2016-148</w:t>
      </w:r>
      <w:r>
        <w:rPr>
          <w:rFonts w:cs="Times New Roman"/>
        </w:rPr>
        <w:tab/>
        <w:t xml:space="preserve">July 1, ’16 </w:t>
      </w:r>
      <w:r>
        <w:rPr>
          <w:rFonts w:cs="Times New Roman"/>
        </w:rPr>
        <w:tab/>
        <w:t>Numerous changes</w:t>
      </w:r>
    </w:p>
    <w:p w:rsidR="00701D5A" w:rsidRDefault="00701D5A" w:rsidP="00701D5A">
      <w:pPr>
        <w:rPr>
          <w:rFonts w:cs="Times New Roman"/>
        </w:rPr>
      </w:pPr>
    </w:p>
    <w:p w:rsidR="00701D5A" w:rsidRDefault="00701D5A" w:rsidP="00701D5A">
      <w:pPr>
        <w:rPr>
          <w:rFonts w:cs="Times New Roman"/>
        </w:rPr>
      </w:pPr>
      <w:r>
        <w:rPr>
          <w:rFonts w:cs="Times New Roman"/>
        </w:rPr>
        <w:t>1176</w:t>
      </w:r>
      <w:r>
        <w:rPr>
          <w:rFonts w:cs="Times New Roman"/>
        </w:rPr>
        <w:tab/>
      </w:r>
      <w:r>
        <w:rPr>
          <w:rFonts w:cs="Times New Roman"/>
        </w:rPr>
        <w:tab/>
        <w:t>Dredge and Fill</w:t>
      </w:r>
      <w:r>
        <w:rPr>
          <w:rFonts w:cs="Times New Roman"/>
        </w:rPr>
        <w:tab/>
      </w:r>
      <w:r>
        <w:rPr>
          <w:rFonts w:cs="Times New Roman"/>
        </w:rPr>
        <w:tab/>
        <w:t>2016-195</w:t>
      </w:r>
      <w:r>
        <w:rPr>
          <w:rFonts w:cs="Times New Roman"/>
        </w:rPr>
        <w:tab/>
        <w:t>April 6, ‘16</w:t>
      </w:r>
      <w:r>
        <w:rPr>
          <w:rFonts w:cs="Times New Roman"/>
        </w:rPr>
        <w:tab/>
        <w:t>Use of general permit</w:t>
      </w:r>
    </w:p>
    <w:p w:rsidR="00701D5A" w:rsidRDefault="00701D5A" w:rsidP="00701D5A">
      <w:pPr>
        <w:rPr>
          <w:rFonts w:cs="Times New Roman"/>
        </w:rPr>
      </w:pPr>
    </w:p>
    <w:p w:rsidR="00701D5A" w:rsidRDefault="00701D5A" w:rsidP="00701D5A">
      <w:pPr>
        <w:rPr>
          <w:rFonts w:cs="Times New Roman"/>
        </w:rPr>
      </w:pPr>
      <w:r>
        <w:rPr>
          <w:rFonts w:cs="Times New Roman"/>
        </w:rPr>
        <w:t>1602</w:t>
      </w:r>
      <w:r>
        <w:rPr>
          <w:rFonts w:cs="Times New Roman"/>
        </w:rPr>
        <w:tab/>
      </w:r>
      <w:r>
        <w:rPr>
          <w:rFonts w:cs="Times New Roman"/>
        </w:rPr>
        <w:tab/>
        <w:t>Elevator Safety (residential)</w:t>
      </w:r>
      <w:r>
        <w:rPr>
          <w:rFonts w:cs="Times New Roman"/>
        </w:rPr>
        <w:tab/>
        <w:t>2016-211</w:t>
      </w:r>
      <w:r>
        <w:rPr>
          <w:rFonts w:cs="Times New Roman"/>
        </w:rPr>
        <w:tab/>
        <w:t>July 1, ‘16</w:t>
      </w:r>
      <w:r>
        <w:rPr>
          <w:rFonts w:cs="Times New Roman"/>
        </w:rPr>
        <w:tab/>
        <w:t>Min. spacing of doors</w:t>
      </w:r>
    </w:p>
    <w:p w:rsidR="00701D5A" w:rsidRDefault="00701D5A" w:rsidP="00701D5A">
      <w:pPr>
        <w:rPr>
          <w:rFonts w:cs="Times New Roman"/>
        </w:rPr>
      </w:pPr>
    </w:p>
    <w:p w:rsidR="00701D5A" w:rsidRDefault="00701D5A" w:rsidP="00701D5A">
      <w:pPr>
        <w:ind w:left="720" w:hanging="720"/>
        <w:rPr>
          <w:rFonts w:cs="Times New Roman"/>
        </w:rPr>
      </w:pPr>
      <w:r>
        <w:rPr>
          <w:rFonts w:cs="Times New Roman"/>
        </w:rPr>
        <w:t>7030</w:t>
      </w:r>
      <w:r>
        <w:rPr>
          <w:rFonts w:cs="Times New Roman"/>
        </w:rPr>
        <w:tab/>
      </w:r>
      <w:r>
        <w:rPr>
          <w:rFonts w:cs="Times New Roman"/>
        </w:rPr>
        <w:tab/>
        <w:t>Competitive Solicitation</w:t>
      </w:r>
      <w:r>
        <w:rPr>
          <w:rFonts w:cs="Times New Roman"/>
        </w:rPr>
        <w:tab/>
        <w:t>2016-49</w:t>
      </w:r>
      <w:r>
        <w:rPr>
          <w:rFonts w:cs="Times New Roman"/>
        </w:rPr>
        <w:tab/>
        <w:t>1 Oct, ‘16</w:t>
      </w:r>
      <w:r>
        <w:rPr>
          <w:rFonts w:cs="Times New Roman"/>
        </w:rPr>
        <w:tab/>
        <w:t xml:space="preserve">Removes sunset of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public records  </w:t>
      </w:r>
    </w:p>
    <w:p w:rsidR="00701D5A" w:rsidRDefault="002B1F21" w:rsidP="002B1F21">
      <w:pPr>
        <w:ind w:left="7200"/>
        <w:rPr>
          <w:rFonts w:cs="Times New Roman"/>
        </w:rPr>
      </w:pPr>
      <w:r>
        <w:rPr>
          <w:rFonts w:cs="Times New Roman"/>
        </w:rPr>
        <w:t>exemption for pre-opening bid    conferences (i.e., continues exemption)</w:t>
      </w:r>
    </w:p>
    <w:p w:rsidR="00701D5A" w:rsidRPr="0077169A" w:rsidRDefault="00701D5A" w:rsidP="00701D5A">
      <w:pPr>
        <w:rPr>
          <w:rFonts w:cs="Times New Roman"/>
        </w:rPr>
      </w:pPr>
      <w:r>
        <w:rPr>
          <w:rFonts w:cs="Times New Roman"/>
        </w:rPr>
        <w:t>*Laws of Florida</w:t>
      </w:r>
    </w:p>
    <w:p w:rsidR="00BE0375" w:rsidRPr="00BE0375" w:rsidRDefault="00BE0375" w:rsidP="00701D5A">
      <w:pPr>
        <w:pStyle w:val="BlockText"/>
        <w:rPr>
          <w:rFonts w:eastAsia="Times New Roman" w:cs="Times New Roman"/>
          <w:b/>
          <w:bCs/>
          <w:vanish/>
          <w:sz w:val="27"/>
          <w:szCs w:val="27"/>
        </w:rPr>
      </w:pPr>
      <w:r w:rsidRPr="00BE0375">
        <w:rPr>
          <w:rFonts w:eastAsia="Times New Roman" w:cs="Times New Roman"/>
          <w:b/>
          <w:bCs/>
          <w:vanish/>
          <w:sz w:val="27"/>
          <w:szCs w:val="27"/>
        </w:rPr>
        <w:t>Senators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by your tracked Senators in the past 7 days. You will receive email notifications when media and publications are posted; according to your </w:t>
      </w:r>
      <w:hyperlink r:id="rId8"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Senators.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Committees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meeting records and publications posted by your tracked committees for the next or previous 8 days. You will receive email notifications when committee meeting records and publications are posted; according to your </w:t>
      </w:r>
      <w:hyperlink r:id="rId9"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Committees.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Offices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by your tracked Offices in the past 7 days. You will receive email notifications when media and publications are posted; according to your </w:t>
      </w:r>
      <w:hyperlink r:id="rId10"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Offices.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Media</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in the past 7 days. You will receive email notifications when Press Releases, Publications, and Speeches are posted; according to your </w:t>
      </w:r>
      <w:hyperlink r:id="rId11"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Media. </w:t>
      </w:r>
    </w:p>
    <w:p w:rsidR="00701D5A" w:rsidRDefault="00701D5A" w:rsidP="004C67E5">
      <w:pPr>
        <w:pBdr>
          <w:top w:val="single" w:sz="6" w:space="1" w:color="auto"/>
        </w:pBdr>
        <w:jc w:val="center"/>
        <w:rPr>
          <w:rFonts w:ascii="Arial" w:eastAsia="Times New Roman" w:hAnsi="Arial" w:cs="Arial"/>
          <w:sz w:val="16"/>
          <w:szCs w:val="16"/>
        </w:rPr>
      </w:pPr>
    </w:p>
    <w:p w:rsidR="004C67E5" w:rsidRPr="004C67E5" w:rsidRDefault="004C67E5" w:rsidP="004C67E5">
      <w:pPr>
        <w:pBdr>
          <w:top w:val="single" w:sz="6" w:space="1" w:color="auto"/>
        </w:pBdr>
        <w:jc w:val="center"/>
        <w:rPr>
          <w:rFonts w:ascii="Arial" w:eastAsia="Times New Roman" w:hAnsi="Arial" w:cs="Arial"/>
          <w:vanish/>
          <w:sz w:val="16"/>
          <w:szCs w:val="16"/>
        </w:rPr>
      </w:pPr>
      <w:r w:rsidRPr="004C67E5">
        <w:rPr>
          <w:rFonts w:ascii="Arial" w:eastAsia="Times New Roman" w:hAnsi="Arial" w:cs="Arial"/>
          <w:vanish/>
          <w:sz w:val="16"/>
          <w:szCs w:val="16"/>
        </w:rPr>
        <w:t>Bottom of Form</w:t>
      </w:r>
    </w:p>
    <w:p w:rsidR="00BC261C" w:rsidRDefault="00BC261C" w:rsidP="002B78B0">
      <w:pPr>
        <w:pStyle w:val="BlockText"/>
      </w:pPr>
      <w:r>
        <w:t>Respectfully submitted,</w:t>
      </w:r>
    </w:p>
    <w:p w:rsidR="00BC261C" w:rsidRDefault="00BC261C" w:rsidP="002B78B0">
      <w:pPr>
        <w:pStyle w:val="BlockText"/>
      </w:pPr>
      <w:r>
        <w:t>Fred R. Dudley, Esq.</w:t>
      </w:r>
    </w:p>
    <w:p w:rsidR="00502614" w:rsidRDefault="003B3B50" w:rsidP="002B78B0">
      <w:pPr>
        <w:pStyle w:val="BlockText"/>
      </w:pPr>
      <w:r>
        <w:t>Steven</w:t>
      </w:r>
      <w:r w:rsidR="00502614">
        <w:t xml:space="preserve"> </w:t>
      </w:r>
      <w:r w:rsidR="00C10E53">
        <w:t xml:space="preserve">E. </w:t>
      </w:r>
      <w:r w:rsidR="00502614">
        <w:t>Sellers</w:t>
      </w:r>
      <w:r w:rsidR="001F0D0C">
        <w:t>, Esq.</w:t>
      </w:r>
    </w:p>
    <w:p w:rsidR="00887CE4" w:rsidRDefault="00887CE4" w:rsidP="002B78B0">
      <w:pPr>
        <w:pStyle w:val="BlockText"/>
      </w:pPr>
      <w:r>
        <w:t>Dudley, Sellers, Healy &amp; Heath, P. L.</w:t>
      </w:r>
    </w:p>
    <w:p w:rsidR="00997BD1" w:rsidRDefault="00997BD1" w:rsidP="002B78B0">
      <w:pPr>
        <w:pStyle w:val="BlockText"/>
      </w:pPr>
      <w:r>
        <w:t>Tallahassee, Florida</w:t>
      </w:r>
    </w:p>
    <w:p w:rsidR="00466EB9" w:rsidRDefault="00701D5A" w:rsidP="002B78B0">
      <w:pPr>
        <w:pStyle w:val="BlockText"/>
      </w:pPr>
      <w:r>
        <w:t>April 11</w:t>
      </w:r>
      <w:r w:rsidR="0029168D">
        <w:t>, 2</w:t>
      </w:r>
      <w:r w:rsidR="00887CE4">
        <w:t>016</w:t>
      </w:r>
    </w:p>
    <w:sectPr w:rsidR="00466EB9" w:rsidSect="009A10B6">
      <w:footerReference w:type="default" r:id="rId12"/>
      <w:footerReference w:type="first" r:id="rId13"/>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89B" w:rsidRDefault="0043589B" w:rsidP="009A2CBA">
      <w:r>
        <w:separator/>
      </w:r>
    </w:p>
  </w:endnote>
  <w:endnote w:type="continuationSeparator" w:id="0">
    <w:p w:rsidR="0043589B" w:rsidRDefault="0043589B"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C2" w:rsidRPr="00B40FA6" w:rsidRDefault="00482BC2" w:rsidP="000421B5">
    <w:pPr>
      <w:pStyle w:val="Footer"/>
      <w:rPr>
        <w:rStyle w:val="DocID"/>
        <w:sz w:val="24"/>
      </w:rPr>
    </w:pPr>
    <w:r>
      <w:tab/>
    </w:r>
    <w:r>
      <w:fldChar w:fldCharType="begin"/>
    </w:r>
    <w:r>
      <w:instrText xml:space="preserve"> PAGE   \* MERGEFORMAT </w:instrText>
    </w:r>
    <w:r>
      <w:fldChar w:fldCharType="separate"/>
    </w:r>
    <w:r w:rsidR="003D285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C2" w:rsidRPr="00911FE4" w:rsidRDefault="00482BC2"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3D2853">
      <w:rPr>
        <w:noProof/>
        <w:sz w:val="20"/>
      </w:rPr>
      <w:instrText>10</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89B" w:rsidRDefault="0043589B" w:rsidP="009A2CBA">
      <w:r>
        <w:separator/>
      </w:r>
    </w:p>
  </w:footnote>
  <w:footnote w:type="continuationSeparator" w:id="0">
    <w:p w:rsidR="0043589B" w:rsidRDefault="0043589B" w:rsidP="009A2CBA">
      <w:r>
        <w:continuationSeparator/>
      </w:r>
    </w:p>
  </w:footnote>
  <w:footnote w:id="1">
    <w:p w:rsidR="00482BC2" w:rsidRDefault="00482BC2" w:rsidP="004E142A">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 but is specifically authorized to issue declaratory statement interpreting sections of the code.</w:t>
      </w:r>
    </w:p>
    <w:p w:rsidR="00482BC2" w:rsidRDefault="00482BC2" w:rsidP="004E142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021CA"/>
    <w:multiLevelType w:val="hybridMultilevel"/>
    <w:tmpl w:val="ED068F38"/>
    <w:lvl w:ilvl="0" w:tplc="0490704A">
      <w:start w:val="2"/>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16E0998"/>
    <w:multiLevelType w:val="multilevel"/>
    <w:tmpl w:val="824E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E085A"/>
    <w:multiLevelType w:val="hybridMultilevel"/>
    <w:tmpl w:val="3EAA907A"/>
    <w:lvl w:ilvl="0" w:tplc="EB00E56E">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040E49AF"/>
    <w:multiLevelType w:val="hybridMultilevel"/>
    <w:tmpl w:val="EF2E76C6"/>
    <w:lvl w:ilvl="0" w:tplc="D0DAF9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117BD5"/>
    <w:multiLevelType w:val="hybridMultilevel"/>
    <w:tmpl w:val="02386818"/>
    <w:lvl w:ilvl="0" w:tplc="AF4C9E14">
      <w:start w:val="1"/>
      <w:numFmt w:val="lowerLetter"/>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E0D0B"/>
    <w:multiLevelType w:val="hybridMultilevel"/>
    <w:tmpl w:val="F2B24110"/>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09C3436">
      <w:start w:val="2"/>
      <w:numFmt w:val="upperLetter"/>
      <w:lvlText w:val="%4."/>
      <w:lvlJc w:val="left"/>
      <w:pPr>
        <w:ind w:left="3960" w:hanging="360"/>
      </w:pPr>
      <w:rPr>
        <w:rFonts w:hint="default"/>
        <w:b/>
      </w:rPr>
    </w:lvl>
    <w:lvl w:ilvl="4" w:tplc="9C4A388E">
      <w:start w:val="1"/>
      <w:numFmt w:val="decimal"/>
      <w:lvlText w:val="%5."/>
      <w:lvlJc w:val="left"/>
      <w:pPr>
        <w:ind w:left="4680" w:hanging="360"/>
      </w:pPr>
      <w:rPr>
        <w:rFonts w:hint="default"/>
        <w:b/>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4D26FA"/>
    <w:multiLevelType w:val="multilevel"/>
    <w:tmpl w:val="071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E0B5B"/>
    <w:multiLevelType w:val="hybridMultilevel"/>
    <w:tmpl w:val="D340D100"/>
    <w:lvl w:ilvl="0" w:tplc="19DEAAC4">
      <w:start w:val="3"/>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321F64"/>
    <w:multiLevelType w:val="multilevel"/>
    <w:tmpl w:val="03FA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177C2"/>
    <w:multiLevelType w:val="hybridMultilevel"/>
    <w:tmpl w:val="221022DC"/>
    <w:lvl w:ilvl="0" w:tplc="0EB45DA6">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8A3310"/>
    <w:multiLevelType w:val="multilevel"/>
    <w:tmpl w:val="5E10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62CE4"/>
    <w:multiLevelType w:val="hybridMultilevel"/>
    <w:tmpl w:val="DB04C5AA"/>
    <w:lvl w:ilvl="0" w:tplc="2B7ED4C2">
      <w:start w:val="3"/>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B4AA8C70">
      <w:start w:val="1"/>
      <w:numFmt w:val="lowerLetter"/>
      <w:lvlText w:val="(%6)"/>
      <w:lvlJc w:val="left"/>
      <w:pPr>
        <w:ind w:left="5580" w:hanging="360"/>
      </w:pPr>
      <w:rPr>
        <w:rFonts w:hint="default"/>
        <w:b/>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2B702DC"/>
    <w:multiLevelType w:val="hybridMultilevel"/>
    <w:tmpl w:val="A9583200"/>
    <w:lvl w:ilvl="0" w:tplc="B0E4D1F8">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0E0A57"/>
    <w:multiLevelType w:val="hybridMultilevel"/>
    <w:tmpl w:val="CAB06480"/>
    <w:lvl w:ilvl="0" w:tplc="454857CA">
      <w:start w:val="1"/>
      <w:numFmt w:val="decimal"/>
      <w:lvlText w:val="%1."/>
      <w:lvlJc w:val="left"/>
      <w:pPr>
        <w:ind w:left="1080" w:hanging="360"/>
      </w:pPr>
      <w:rPr>
        <w:rFonts w:hint="default"/>
        <w:b/>
      </w:rPr>
    </w:lvl>
    <w:lvl w:ilvl="1" w:tplc="F7A653F0">
      <w:start w:val="1"/>
      <w:numFmt w:val="lowerLetter"/>
      <w:lvlText w:val="(%2)"/>
      <w:lvlJc w:val="left"/>
      <w:pPr>
        <w:ind w:left="1980" w:hanging="360"/>
      </w:pPr>
      <w:rPr>
        <w:rFonts w:ascii="Times New Roman" w:eastAsiaTheme="minorEastAsia" w:hAnsi="Times New Roman" w:cstheme="minorBidi"/>
        <w:b/>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5FEE27E">
      <w:start w:val="1"/>
      <w:numFmt w:val="upperLetter"/>
      <w:lvlText w:val="%5."/>
      <w:lvlJc w:val="left"/>
      <w:pPr>
        <w:ind w:left="3960" w:hanging="360"/>
      </w:pPr>
      <w:rPr>
        <w:rFonts w:hint="default"/>
        <w:b/>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3A37B7"/>
    <w:multiLevelType w:val="multilevel"/>
    <w:tmpl w:val="55C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E0ECE"/>
    <w:multiLevelType w:val="multilevel"/>
    <w:tmpl w:val="2A4E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D6841"/>
    <w:multiLevelType w:val="hybridMultilevel"/>
    <w:tmpl w:val="AC4EDAE4"/>
    <w:lvl w:ilvl="0" w:tplc="C1C651EE">
      <w:start w:val="2"/>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15:restartNumberingAfterBreak="0">
    <w:nsid w:val="39F81DD0"/>
    <w:multiLevelType w:val="hybridMultilevel"/>
    <w:tmpl w:val="7B0AA5A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23A61E98">
      <w:start w:val="3"/>
      <w:numFmt w:val="upperLetter"/>
      <w:lvlText w:val="%5."/>
      <w:lvlJc w:val="left"/>
      <w:pPr>
        <w:ind w:left="4680" w:hanging="360"/>
      </w:pPr>
      <w:rPr>
        <w:rFonts w:hint="default"/>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324C7C"/>
    <w:multiLevelType w:val="multilevel"/>
    <w:tmpl w:val="CD32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A765D"/>
    <w:multiLevelType w:val="hybridMultilevel"/>
    <w:tmpl w:val="16F28B36"/>
    <w:lvl w:ilvl="0" w:tplc="2DB2780C">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239C"/>
    <w:multiLevelType w:val="multilevel"/>
    <w:tmpl w:val="AA4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6B7884"/>
    <w:multiLevelType w:val="hybridMultilevel"/>
    <w:tmpl w:val="833AE64C"/>
    <w:lvl w:ilvl="0" w:tplc="3C46B9DA">
      <w:start w:val="3"/>
      <w:numFmt w:val="upp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A13A4"/>
    <w:multiLevelType w:val="multilevel"/>
    <w:tmpl w:val="3E3C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2D155C"/>
    <w:multiLevelType w:val="multilevel"/>
    <w:tmpl w:val="5CF6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62567"/>
    <w:multiLevelType w:val="hybridMultilevel"/>
    <w:tmpl w:val="5254EE84"/>
    <w:lvl w:ilvl="0" w:tplc="CF7EB4F0">
      <w:start w:val="1"/>
      <w:numFmt w:val="upperLetter"/>
      <w:lvlText w:val="%1."/>
      <w:lvlJc w:val="left"/>
      <w:pPr>
        <w:ind w:left="1800" w:hanging="360"/>
      </w:pPr>
      <w:rPr>
        <w:rFonts w:hint="default"/>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56C21FCE"/>
    <w:multiLevelType w:val="multilevel"/>
    <w:tmpl w:val="A808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614D83"/>
    <w:multiLevelType w:val="hybridMultilevel"/>
    <w:tmpl w:val="66A89B4C"/>
    <w:lvl w:ilvl="0" w:tplc="B792E12E">
      <w:start w:val="2"/>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3D80F3C"/>
    <w:multiLevelType w:val="hybridMultilevel"/>
    <w:tmpl w:val="3C308236"/>
    <w:lvl w:ilvl="0" w:tplc="C4AA249C">
      <w:start w:val="2"/>
      <w:numFmt w:val="upperLetter"/>
      <w:lvlText w:val="%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96CDD"/>
    <w:multiLevelType w:val="multilevel"/>
    <w:tmpl w:val="424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4963C6"/>
    <w:multiLevelType w:val="hybridMultilevel"/>
    <w:tmpl w:val="7CCE687A"/>
    <w:lvl w:ilvl="0" w:tplc="76F4D16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569A2"/>
    <w:multiLevelType w:val="hybridMultilevel"/>
    <w:tmpl w:val="A3CE88D8"/>
    <w:lvl w:ilvl="0" w:tplc="7F2C1DB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6"/>
  </w:num>
  <w:num w:numId="4">
    <w:abstractNumId w:val="39"/>
  </w:num>
  <w:num w:numId="5">
    <w:abstractNumId w:val="32"/>
  </w:num>
  <w:num w:numId="6">
    <w:abstractNumId w:val="40"/>
  </w:num>
  <w:num w:numId="7">
    <w:abstractNumId w:val="9"/>
  </w:num>
  <w:num w:numId="8">
    <w:abstractNumId w:val="16"/>
  </w:num>
  <w:num w:numId="9">
    <w:abstractNumId w:val="3"/>
  </w:num>
  <w:num w:numId="10">
    <w:abstractNumId w:val="1"/>
  </w:num>
  <w:num w:numId="11">
    <w:abstractNumId w:val="19"/>
  </w:num>
  <w:num w:numId="12">
    <w:abstractNumId w:val="18"/>
  </w:num>
  <w:num w:numId="13">
    <w:abstractNumId w:val="10"/>
  </w:num>
  <w:num w:numId="14">
    <w:abstractNumId w:val="23"/>
  </w:num>
  <w:num w:numId="15">
    <w:abstractNumId w:val="17"/>
  </w:num>
  <w:num w:numId="16">
    <w:abstractNumId w:val="25"/>
  </w:num>
  <w:num w:numId="17">
    <w:abstractNumId w:val="30"/>
  </w:num>
  <w:num w:numId="18">
    <w:abstractNumId w:val="4"/>
  </w:num>
  <w:num w:numId="19">
    <w:abstractNumId w:val="37"/>
  </w:num>
  <w:num w:numId="20">
    <w:abstractNumId w:val="34"/>
  </w:num>
  <w:num w:numId="21">
    <w:abstractNumId w:val="7"/>
  </w:num>
  <w:num w:numId="22">
    <w:abstractNumId w:val="38"/>
  </w:num>
  <w:num w:numId="23">
    <w:abstractNumId w:val="12"/>
  </w:num>
  <w:num w:numId="24">
    <w:abstractNumId w:val="27"/>
  </w:num>
  <w:num w:numId="25">
    <w:abstractNumId w:val="22"/>
  </w:num>
  <w:num w:numId="26">
    <w:abstractNumId w:val="6"/>
  </w:num>
  <w:num w:numId="27">
    <w:abstractNumId w:val="15"/>
  </w:num>
  <w:num w:numId="28">
    <w:abstractNumId w:val="35"/>
  </w:num>
  <w:num w:numId="29">
    <w:abstractNumId w:val="31"/>
  </w:num>
  <w:num w:numId="30">
    <w:abstractNumId w:val="28"/>
  </w:num>
  <w:num w:numId="31">
    <w:abstractNumId w:val="21"/>
  </w:num>
  <w:num w:numId="32">
    <w:abstractNumId w:val="29"/>
  </w:num>
  <w:num w:numId="33">
    <w:abstractNumId w:val="13"/>
  </w:num>
  <w:num w:numId="34">
    <w:abstractNumId w:val="5"/>
  </w:num>
  <w:num w:numId="35">
    <w:abstractNumId w:val="11"/>
  </w:num>
  <w:num w:numId="36">
    <w:abstractNumId w:val="24"/>
  </w:num>
  <w:num w:numId="37">
    <w:abstractNumId w:val="20"/>
  </w:num>
  <w:num w:numId="38">
    <w:abstractNumId w:val="26"/>
  </w:num>
  <w:num w:numId="39">
    <w:abstractNumId w:val="8"/>
  </w:num>
  <w:num w:numId="40">
    <w:abstractNumId w:val="33"/>
  </w:num>
  <w:num w:numId="4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0953"/>
    <w:rsid w:val="00011776"/>
    <w:rsid w:val="0001260C"/>
    <w:rsid w:val="00013164"/>
    <w:rsid w:val="00016A29"/>
    <w:rsid w:val="0002257F"/>
    <w:rsid w:val="00026394"/>
    <w:rsid w:val="00026C6B"/>
    <w:rsid w:val="00027FC3"/>
    <w:rsid w:val="000302BC"/>
    <w:rsid w:val="000324B5"/>
    <w:rsid w:val="000340FB"/>
    <w:rsid w:val="000341ED"/>
    <w:rsid w:val="00034306"/>
    <w:rsid w:val="00041C50"/>
    <w:rsid w:val="000421B5"/>
    <w:rsid w:val="0005012E"/>
    <w:rsid w:val="000509E7"/>
    <w:rsid w:val="00052694"/>
    <w:rsid w:val="00054D0D"/>
    <w:rsid w:val="0005515D"/>
    <w:rsid w:val="00055700"/>
    <w:rsid w:val="00061C8E"/>
    <w:rsid w:val="00062BAB"/>
    <w:rsid w:val="00065B23"/>
    <w:rsid w:val="00066D23"/>
    <w:rsid w:val="00071707"/>
    <w:rsid w:val="00072343"/>
    <w:rsid w:val="00074BCE"/>
    <w:rsid w:val="00074EDF"/>
    <w:rsid w:val="0008109E"/>
    <w:rsid w:val="00084298"/>
    <w:rsid w:val="00086D79"/>
    <w:rsid w:val="00090B54"/>
    <w:rsid w:val="00094361"/>
    <w:rsid w:val="00094EBD"/>
    <w:rsid w:val="000A3246"/>
    <w:rsid w:val="000A4BA4"/>
    <w:rsid w:val="000A66AC"/>
    <w:rsid w:val="000B0D3F"/>
    <w:rsid w:val="000B0E17"/>
    <w:rsid w:val="000B1DDB"/>
    <w:rsid w:val="000B1E71"/>
    <w:rsid w:val="000B2203"/>
    <w:rsid w:val="000B43A9"/>
    <w:rsid w:val="000B70C4"/>
    <w:rsid w:val="000B76DD"/>
    <w:rsid w:val="000B78F0"/>
    <w:rsid w:val="000C0376"/>
    <w:rsid w:val="000C4772"/>
    <w:rsid w:val="000C4BC7"/>
    <w:rsid w:val="000C5ABA"/>
    <w:rsid w:val="000C5FBA"/>
    <w:rsid w:val="000C722C"/>
    <w:rsid w:val="000D08E7"/>
    <w:rsid w:val="000D2555"/>
    <w:rsid w:val="000D3AAE"/>
    <w:rsid w:val="000D4C0F"/>
    <w:rsid w:val="000D650B"/>
    <w:rsid w:val="000D7A4E"/>
    <w:rsid w:val="000E0782"/>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4F94"/>
    <w:rsid w:val="00126ABD"/>
    <w:rsid w:val="0013367A"/>
    <w:rsid w:val="00133FBD"/>
    <w:rsid w:val="00135B1C"/>
    <w:rsid w:val="00142044"/>
    <w:rsid w:val="001437FC"/>
    <w:rsid w:val="00143919"/>
    <w:rsid w:val="001462FC"/>
    <w:rsid w:val="00146574"/>
    <w:rsid w:val="00146910"/>
    <w:rsid w:val="00146E4E"/>
    <w:rsid w:val="001476D7"/>
    <w:rsid w:val="00150F40"/>
    <w:rsid w:val="00151063"/>
    <w:rsid w:val="00151720"/>
    <w:rsid w:val="00151F43"/>
    <w:rsid w:val="00156092"/>
    <w:rsid w:val="001572A8"/>
    <w:rsid w:val="00162E5A"/>
    <w:rsid w:val="00163831"/>
    <w:rsid w:val="001649EE"/>
    <w:rsid w:val="00165F0B"/>
    <w:rsid w:val="001673C5"/>
    <w:rsid w:val="0017187B"/>
    <w:rsid w:val="00172C04"/>
    <w:rsid w:val="00173510"/>
    <w:rsid w:val="00173BB8"/>
    <w:rsid w:val="0017420F"/>
    <w:rsid w:val="00175923"/>
    <w:rsid w:val="001768AB"/>
    <w:rsid w:val="00176CCB"/>
    <w:rsid w:val="001776E6"/>
    <w:rsid w:val="00177973"/>
    <w:rsid w:val="00177AA7"/>
    <w:rsid w:val="00182EC5"/>
    <w:rsid w:val="00183D27"/>
    <w:rsid w:val="0019065B"/>
    <w:rsid w:val="0019337F"/>
    <w:rsid w:val="00193DF7"/>
    <w:rsid w:val="001963BC"/>
    <w:rsid w:val="001A1C5D"/>
    <w:rsid w:val="001A3667"/>
    <w:rsid w:val="001B0E80"/>
    <w:rsid w:val="001B11FD"/>
    <w:rsid w:val="001B4226"/>
    <w:rsid w:val="001B5A99"/>
    <w:rsid w:val="001B5DD4"/>
    <w:rsid w:val="001B6195"/>
    <w:rsid w:val="001B73F6"/>
    <w:rsid w:val="001C3A80"/>
    <w:rsid w:val="001C7B0D"/>
    <w:rsid w:val="001D0121"/>
    <w:rsid w:val="001D0770"/>
    <w:rsid w:val="001D1B70"/>
    <w:rsid w:val="001D2330"/>
    <w:rsid w:val="001D25D1"/>
    <w:rsid w:val="001D277E"/>
    <w:rsid w:val="001D35CA"/>
    <w:rsid w:val="001D50A8"/>
    <w:rsid w:val="001D5776"/>
    <w:rsid w:val="001E2D3C"/>
    <w:rsid w:val="001E327E"/>
    <w:rsid w:val="001E3281"/>
    <w:rsid w:val="001F01B4"/>
    <w:rsid w:val="001F0D0C"/>
    <w:rsid w:val="001F18CD"/>
    <w:rsid w:val="001F7DB9"/>
    <w:rsid w:val="00200951"/>
    <w:rsid w:val="00200AF1"/>
    <w:rsid w:val="00201FC1"/>
    <w:rsid w:val="00202C5B"/>
    <w:rsid w:val="002031ED"/>
    <w:rsid w:val="002066F0"/>
    <w:rsid w:val="00206A45"/>
    <w:rsid w:val="00210263"/>
    <w:rsid w:val="00212AD9"/>
    <w:rsid w:val="002145F0"/>
    <w:rsid w:val="00217DA2"/>
    <w:rsid w:val="00217EBB"/>
    <w:rsid w:val="00221926"/>
    <w:rsid w:val="00221AAE"/>
    <w:rsid w:val="00222C12"/>
    <w:rsid w:val="002236E8"/>
    <w:rsid w:val="0022445A"/>
    <w:rsid w:val="00227443"/>
    <w:rsid w:val="002321A5"/>
    <w:rsid w:val="002348A5"/>
    <w:rsid w:val="00234D30"/>
    <w:rsid w:val="002363CA"/>
    <w:rsid w:val="00236A0B"/>
    <w:rsid w:val="00236AB0"/>
    <w:rsid w:val="00236AF7"/>
    <w:rsid w:val="00237AEC"/>
    <w:rsid w:val="002438D2"/>
    <w:rsid w:val="00243FF8"/>
    <w:rsid w:val="00246D22"/>
    <w:rsid w:val="00251EB1"/>
    <w:rsid w:val="00252DC4"/>
    <w:rsid w:val="002542DC"/>
    <w:rsid w:val="002544B7"/>
    <w:rsid w:val="00254B22"/>
    <w:rsid w:val="002550F4"/>
    <w:rsid w:val="002558FB"/>
    <w:rsid w:val="00261795"/>
    <w:rsid w:val="00262A25"/>
    <w:rsid w:val="002630F7"/>
    <w:rsid w:val="002630FF"/>
    <w:rsid w:val="00264519"/>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8B7"/>
    <w:rsid w:val="00297D0C"/>
    <w:rsid w:val="002A2F20"/>
    <w:rsid w:val="002A4DD8"/>
    <w:rsid w:val="002A5595"/>
    <w:rsid w:val="002A5A54"/>
    <w:rsid w:val="002A7577"/>
    <w:rsid w:val="002A777F"/>
    <w:rsid w:val="002B09F1"/>
    <w:rsid w:val="002B0DFC"/>
    <w:rsid w:val="002B1F21"/>
    <w:rsid w:val="002B35C5"/>
    <w:rsid w:val="002B3E98"/>
    <w:rsid w:val="002B78B0"/>
    <w:rsid w:val="002C0513"/>
    <w:rsid w:val="002C3092"/>
    <w:rsid w:val="002C3294"/>
    <w:rsid w:val="002C378F"/>
    <w:rsid w:val="002C5242"/>
    <w:rsid w:val="002C5E1D"/>
    <w:rsid w:val="002D1599"/>
    <w:rsid w:val="002D365F"/>
    <w:rsid w:val="002D366C"/>
    <w:rsid w:val="002D4362"/>
    <w:rsid w:val="002E2A6D"/>
    <w:rsid w:val="002E2F5E"/>
    <w:rsid w:val="002F015B"/>
    <w:rsid w:val="002F16B3"/>
    <w:rsid w:val="002F2016"/>
    <w:rsid w:val="002F61E3"/>
    <w:rsid w:val="00300A3A"/>
    <w:rsid w:val="00303F39"/>
    <w:rsid w:val="00304305"/>
    <w:rsid w:val="00305D83"/>
    <w:rsid w:val="00305FDE"/>
    <w:rsid w:val="00311BC1"/>
    <w:rsid w:val="00311DF4"/>
    <w:rsid w:val="00312017"/>
    <w:rsid w:val="00312FA2"/>
    <w:rsid w:val="003134D3"/>
    <w:rsid w:val="0031487D"/>
    <w:rsid w:val="003154E8"/>
    <w:rsid w:val="00317330"/>
    <w:rsid w:val="003208B4"/>
    <w:rsid w:val="0032124B"/>
    <w:rsid w:val="00321E89"/>
    <w:rsid w:val="0032220C"/>
    <w:rsid w:val="003239B0"/>
    <w:rsid w:val="0032443B"/>
    <w:rsid w:val="0032598E"/>
    <w:rsid w:val="00325FC1"/>
    <w:rsid w:val="003319A7"/>
    <w:rsid w:val="00332825"/>
    <w:rsid w:val="003370E3"/>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0AA3"/>
    <w:rsid w:val="00360D91"/>
    <w:rsid w:val="00361628"/>
    <w:rsid w:val="003642F6"/>
    <w:rsid w:val="0036439B"/>
    <w:rsid w:val="00364771"/>
    <w:rsid w:val="003747B5"/>
    <w:rsid w:val="00376DA1"/>
    <w:rsid w:val="003776B3"/>
    <w:rsid w:val="0038047E"/>
    <w:rsid w:val="00383EFB"/>
    <w:rsid w:val="00384141"/>
    <w:rsid w:val="00385904"/>
    <w:rsid w:val="003A0148"/>
    <w:rsid w:val="003A1E91"/>
    <w:rsid w:val="003A33A5"/>
    <w:rsid w:val="003A4FB0"/>
    <w:rsid w:val="003A5916"/>
    <w:rsid w:val="003A7CB2"/>
    <w:rsid w:val="003B1697"/>
    <w:rsid w:val="003B388E"/>
    <w:rsid w:val="003B3B50"/>
    <w:rsid w:val="003B52AB"/>
    <w:rsid w:val="003B59EA"/>
    <w:rsid w:val="003B5B30"/>
    <w:rsid w:val="003B5B32"/>
    <w:rsid w:val="003C09F0"/>
    <w:rsid w:val="003C265E"/>
    <w:rsid w:val="003C2DE3"/>
    <w:rsid w:val="003C3E7C"/>
    <w:rsid w:val="003C40E8"/>
    <w:rsid w:val="003C4C6F"/>
    <w:rsid w:val="003C50CC"/>
    <w:rsid w:val="003D1D42"/>
    <w:rsid w:val="003D2853"/>
    <w:rsid w:val="003D34DF"/>
    <w:rsid w:val="003D6EAC"/>
    <w:rsid w:val="003D7308"/>
    <w:rsid w:val="003E09D4"/>
    <w:rsid w:val="003E1169"/>
    <w:rsid w:val="003E13A7"/>
    <w:rsid w:val="003E3843"/>
    <w:rsid w:val="003E6AD8"/>
    <w:rsid w:val="003E6F51"/>
    <w:rsid w:val="003F395F"/>
    <w:rsid w:val="003F4811"/>
    <w:rsid w:val="003F5F1A"/>
    <w:rsid w:val="003F6A5C"/>
    <w:rsid w:val="00400FFE"/>
    <w:rsid w:val="00401A5C"/>
    <w:rsid w:val="004077C2"/>
    <w:rsid w:val="0041051F"/>
    <w:rsid w:val="0041113F"/>
    <w:rsid w:val="00413E91"/>
    <w:rsid w:val="00414D9E"/>
    <w:rsid w:val="00414DE9"/>
    <w:rsid w:val="0041534C"/>
    <w:rsid w:val="00416C25"/>
    <w:rsid w:val="00416CC9"/>
    <w:rsid w:val="004200FB"/>
    <w:rsid w:val="004204AE"/>
    <w:rsid w:val="00421A4C"/>
    <w:rsid w:val="00425FE8"/>
    <w:rsid w:val="004271D8"/>
    <w:rsid w:val="0042730E"/>
    <w:rsid w:val="00427E2F"/>
    <w:rsid w:val="00430AB5"/>
    <w:rsid w:val="00431C88"/>
    <w:rsid w:val="00431F8E"/>
    <w:rsid w:val="00432932"/>
    <w:rsid w:val="00434B55"/>
    <w:rsid w:val="00435681"/>
    <w:rsid w:val="0043589B"/>
    <w:rsid w:val="00436BA2"/>
    <w:rsid w:val="00437958"/>
    <w:rsid w:val="004406AC"/>
    <w:rsid w:val="00441CD1"/>
    <w:rsid w:val="004445D6"/>
    <w:rsid w:val="004517A3"/>
    <w:rsid w:val="00452CC3"/>
    <w:rsid w:val="00454846"/>
    <w:rsid w:val="0045543B"/>
    <w:rsid w:val="0045633D"/>
    <w:rsid w:val="0046192D"/>
    <w:rsid w:val="0046330C"/>
    <w:rsid w:val="004634BE"/>
    <w:rsid w:val="00465432"/>
    <w:rsid w:val="00466AD0"/>
    <w:rsid w:val="00466EB9"/>
    <w:rsid w:val="00467045"/>
    <w:rsid w:val="0047003F"/>
    <w:rsid w:val="004706AB"/>
    <w:rsid w:val="0047163D"/>
    <w:rsid w:val="00474D96"/>
    <w:rsid w:val="0047516C"/>
    <w:rsid w:val="00480712"/>
    <w:rsid w:val="004813C0"/>
    <w:rsid w:val="00482BC2"/>
    <w:rsid w:val="00483127"/>
    <w:rsid w:val="00484142"/>
    <w:rsid w:val="00484B9C"/>
    <w:rsid w:val="00491907"/>
    <w:rsid w:val="00491948"/>
    <w:rsid w:val="00491E26"/>
    <w:rsid w:val="00492027"/>
    <w:rsid w:val="004A0671"/>
    <w:rsid w:val="004A451E"/>
    <w:rsid w:val="004A46B4"/>
    <w:rsid w:val="004A5613"/>
    <w:rsid w:val="004A582F"/>
    <w:rsid w:val="004A5DD2"/>
    <w:rsid w:val="004A6E9B"/>
    <w:rsid w:val="004B0BF0"/>
    <w:rsid w:val="004B10A3"/>
    <w:rsid w:val="004B196B"/>
    <w:rsid w:val="004C2EF7"/>
    <w:rsid w:val="004C4506"/>
    <w:rsid w:val="004C458B"/>
    <w:rsid w:val="004C5780"/>
    <w:rsid w:val="004C63D8"/>
    <w:rsid w:val="004C67E5"/>
    <w:rsid w:val="004C7846"/>
    <w:rsid w:val="004D0301"/>
    <w:rsid w:val="004E1249"/>
    <w:rsid w:val="004E142A"/>
    <w:rsid w:val="004E2A5D"/>
    <w:rsid w:val="004E35D0"/>
    <w:rsid w:val="004E572B"/>
    <w:rsid w:val="004E60B2"/>
    <w:rsid w:val="004E61C2"/>
    <w:rsid w:val="004E7067"/>
    <w:rsid w:val="004F030C"/>
    <w:rsid w:val="004F3D87"/>
    <w:rsid w:val="00500503"/>
    <w:rsid w:val="00502614"/>
    <w:rsid w:val="00504537"/>
    <w:rsid w:val="005063F3"/>
    <w:rsid w:val="0051221A"/>
    <w:rsid w:val="00512724"/>
    <w:rsid w:val="00512A9F"/>
    <w:rsid w:val="00517E4F"/>
    <w:rsid w:val="00520F5E"/>
    <w:rsid w:val="0052318D"/>
    <w:rsid w:val="005237C4"/>
    <w:rsid w:val="0052387A"/>
    <w:rsid w:val="0052642A"/>
    <w:rsid w:val="00530892"/>
    <w:rsid w:val="00530BF1"/>
    <w:rsid w:val="00530CD6"/>
    <w:rsid w:val="00535353"/>
    <w:rsid w:val="00535A2B"/>
    <w:rsid w:val="0053686B"/>
    <w:rsid w:val="00537681"/>
    <w:rsid w:val="00540398"/>
    <w:rsid w:val="00541BCF"/>
    <w:rsid w:val="005463F4"/>
    <w:rsid w:val="005510CD"/>
    <w:rsid w:val="00553CBE"/>
    <w:rsid w:val="00555FBF"/>
    <w:rsid w:val="005665C2"/>
    <w:rsid w:val="00571120"/>
    <w:rsid w:val="00576B27"/>
    <w:rsid w:val="00584934"/>
    <w:rsid w:val="00592867"/>
    <w:rsid w:val="00592B85"/>
    <w:rsid w:val="0059572F"/>
    <w:rsid w:val="00595D13"/>
    <w:rsid w:val="005A1AAC"/>
    <w:rsid w:val="005A61CC"/>
    <w:rsid w:val="005A74C3"/>
    <w:rsid w:val="005B212C"/>
    <w:rsid w:val="005B2CCD"/>
    <w:rsid w:val="005B558F"/>
    <w:rsid w:val="005B581D"/>
    <w:rsid w:val="005C08FA"/>
    <w:rsid w:val="005C40F9"/>
    <w:rsid w:val="005C5CFC"/>
    <w:rsid w:val="005C76EE"/>
    <w:rsid w:val="005D217B"/>
    <w:rsid w:val="005D236D"/>
    <w:rsid w:val="005D446B"/>
    <w:rsid w:val="005D5F3E"/>
    <w:rsid w:val="005D70E7"/>
    <w:rsid w:val="005D71D8"/>
    <w:rsid w:val="005D7FBD"/>
    <w:rsid w:val="005E196A"/>
    <w:rsid w:val="005E2FA8"/>
    <w:rsid w:val="005E4539"/>
    <w:rsid w:val="005E73B8"/>
    <w:rsid w:val="005F17D4"/>
    <w:rsid w:val="005F1FB3"/>
    <w:rsid w:val="005F2098"/>
    <w:rsid w:val="005F2CFE"/>
    <w:rsid w:val="005F2E38"/>
    <w:rsid w:val="005F4A79"/>
    <w:rsid w:val="005F51C9"/>
    <w:rsid w:val="005F705E"/>
    <w:rsid w:val="005F770C"/>
    <w:rsid w:val="00600D46"/>
    <w:rsid w:val="00604806"/>
    <w:rsid w:val="0060730E"/>
    <w:rsid w:val="006077FF"/>
    <w:rsid w:val="00614279"/>
    <w:rsid w:val="00620CC5"/>
    <w:rsid w:val="00621D15"/>
    <w:rsid w:val="006221E1"/>
    <w:rsid w:val="00625F11"/>
    <w:rsid w:val="0063019F"/>
    <w:rsid w:val="0063059E"/>
    <w:rsid w:val="00633037"/>
    <w:rsid w:val="0063517A"/>
    <w:rsid w:val="00640C66"/>
    <w:rsid w:val="0064116F"/>
    <w:rsid w:val="0064458E"/>
    <w:rsid w:val="00644BDC"/>
    <w:rsid w:val="006450DA"/>
    <w:rsid w:val="0064574F"/>
    <w:rsid w:val="006465C5"/>
    <w:rsid w:val="00650893"/>
    <w:rsid w:val="006531D6"/>
    <w:rsid w:val="00654846"/>
    <w:rsid w:val="006577D7"/>
    <w:rsid w:val="00657E5B"/>
    <w:rsid w:val="00660E5F"/>
    <w:rsid w:val="00660F73"/>
    <w:rsid w:val="0066317C"/>
    <w:rsid w:val="006639C7"/>
    <w:rsid w:val="00663A8E"/>
    <w:rsid w:val="00663C9D"/>
    <w:rsid w:val="006668DE"/>
    <w:rsid w:val="0066697C"/>
    <w:rsid w:val="0066753D"/>
    <w:rsid w:val="00667D54"/>
    <w:rsid w:val="00674E68"/>
    <w:rsid w:val="00675E10"/>
    <w:rsid w:val="00676E89"/>
    <w:rsid w:val="00681534"/>
    <w:rsid w:val="00685808"/>
    <w:rsid w:val="00691E1A"/>
    <w:rsid w:val="00695A6D"/>
    <w:rsid w:val="006960B4"/>
    <w:rsid w:val="00697F28"/>
    <w:rsid w:val="006A3547"/>
    <w:rsid w:val="006A3A6B"/>
    <w:rsid w:val="006A3B11"/>
    <w:rsid w:val="006A4458"/>
    <w:rsid w:val="006A50BC"/>
    <w:rsid w:val="006B0145"/>
    <w:rsid w:val="006B0C29"/>
    <w:rsid w:val="006B1D63"/>
    <w:rsid w:val="006B60DD"/>
    <w:rsid w:val="006C5A7D"/>
    <w:rsid w:val="006C704A"/>
    <w:rsid w:val="006D0EE9"/>
    <w:rsid w:val="006D1C4E"/>
    <w:rsid w:val="006D3AD0"/>
    <w:rsid w:val="006D7744"/>
    <w:rsid w:val="006E0D5B"/>
    <w:rsid w:val="006E3B26"/>
    <w:rsid w:val="006E5368"/>
    <w:rsid w:val="006E5C27"/>
    <w:rsid w:val="006E6103"/>
    <w:rsid w:val="006F336C"/>
    <w:rsid w:val="006F3FB3"/>
    <w:rsid w:val="006F4CE9"/>
    <w:rsid w:val="00700924"/>
    <w:rsid w:val="007011CC"/>
    <w:rsid w:val="007017B0"/>
    <w:rsid w:val="00701D5A"/>
    <w:rsid w:val="0070218E"/>
    <w:rsid w:val="007065A1"/>
    <w:rsid w:val="0071068B"/>
    <w:rsid w:val="007135EE"/>
    <w:rsid w:val="00714A54"/>
    <w:rsid w:val="007150E1"/>
    <w:rsid w:val="00720A29"/>
    <w:rsid w:val="00722B80"/>
    <w:rsid w:val="00722DD1"/>
    <w:rsid w:val="0073295B"/>
    <w:rsid w:val="0073422E"/>
    <w:rsid w:val="0074409F"/>
    <w:rsid w:val="0074468A"/>
    <w:rsid w:val="00746128"/>
    <w:rsid w:val="00756A0C"/>
    <w:rsid w:val="00757661"/>
    <w:rsid w:val="00760E2D"/>
    <w:rsid w:val="00774784"/>
    <w:rsid w:val="00774A2B"/>
    <w:rsid w:val="007755F6"/>
    <w:rsid w:val="00775D28"/>
    <w:rsid w:val="007803DA"/>
    <w:rsid w:val="00780CCE"/>
    <w:rsid w:val="00781A63"/>
    <w:rsid w:val="00783765"/>
    <w:rsid w:val="00784A25"/>
    <w:rsid w:val="007862BD"/>
    <w:rsid w:val="007870BA"/>
    <w:rsid w:val="007902F3"/>
    <w:rsid w:val="00790ED1"/>
    <w:rsid w:val="0079148C"/>
    <w:rsid w:val="00793514"/>
    <w:rsid w:val="00795394"/>
    <w:rsid w:val="00795F45"/>
    <w:rsid w:val="0079604D"/>
    <w:rsid w:val="00797252"/>
    <w:rsid w:val="007977D0"/>
    <w:rsid w:val="007A0040"/>
    <w:rsid w:val="007A040E"/>
    <w:rsid w:val="007A2C34"/>
    <w:rsid w:val="007A5E81"/>
    <w:rsid w:val="007A7335"/>
    <w:rsid w:val="007A76DB"/>
    <w:rsid w:val="007B0198"/>
    <w:rsid w:val="007B1B79"/>
    <w:rsid w:val="007B2FC8"/>
    <w:rsid w:val="007B455D"/>
    <w:rsid w:val="007C06B0"/>
    <w:rsid w:val="007C1C60"/>
    <w:rsid w:val="007C3596"/>
    <w:rsid w:val="007C479E"/>
    <w:rsid w:val="007C534A"/>
    <w:rsid w:val="007C689D"/>
    <w:rsid w:val="007D12C5"/>
    <w:rsid w:val="007D14A8"/>
    <w:rsid w:val="007D2675"/>
    <w:rsid w:val="007E128E"/>
    <w:rsid w:val="007E2299"/>
    <w:rsid w:val="007E2953"/>
    <w:rsid w:val="007E390F"/>
    <w:rsid w:val="007E4176"/>
    <w:rsid w:val="007E7F26"/>
    <w:rsid w:val="007F16BD"/>
    <w:rsid w:val="007F2F12"/>
    <w:rsid w:val="007F4471"/>
    <w:rsid w:val="007F63B9"/>
    <w:rsid w:val="007F6E51"/>
    <w:rsid w:val="007F7B3F"/>
    <w:rsid w:val="00801B02"/>
    <w:rsid w:val="00802164"/>
    <w:rsid w:val="008035A4"/>
    <w:rsid w:val="00804A8E"/>
    <w:rsid w:val="00806AA8"/>
    <w:rsid w:val="00806FA9"/>
    <w:rsid w:val="00812FF0"/>
    <w:rsid w:val="00815043"/>
    <w:rsid w:val="008157CF"/>
    <w:rsid w:val="00820D75"/>
    <w:rsid w:val="00821688"/>
    <w:rsid w:val="008219AB"/>
    <w:rsid w:val="0082467E"/>
    <w:rsid w:val="00824AEC"/>
    <w:rsid w:val="008271F6"/>
    <w:rsid w:val="00832281"/>
    <w:rsid w:val="00832A42"/>
    <w:rsid w:val="0083319A"/>
    <w:rsid w:val="00833649"/>
    <w:rsid w:val="00835EE6"/>
    <w:rsid w:val="0084009D"/>
    <w:rsid w:val="008476AE"/>
    <w:rsid w:val="008513F5"/>
    <w:rsid w:val="0086294F"/>
    <w:rsid w:val="00863EC6"/>
    <w:rsid w:val="008642DB"/>
    <w:rsid w:val="00864F61"/>
    <w:rsid w:val="008667F9"/>
    <w:rsid w:val="0087018F"/>
    <w:rsid w:val="008714D7"/>
    <w:rsid w:val="008750C1"/>
    <w:rsid w:val="00875906"/>
    <w:rsid w:val="00876A95"/>
    <w:rsid w:val="0088153B"/>
    <w:rsid w:val="00881551"/>
    <w:rsid w:val="00883771"/>
    <w:rsid w:val="0088673E"/>
    <w:rsid w:val="00886D9E"/>
    <w:rsid w:val="00887CE4"/>
    <w:rsid w:val="0089089A"/>
    <w:rsid w:val="00894D34"/>
    <w:rsid w:val="00897F26"/>
    <w:rsid w:val="008A4467"/>
    <w:rsid w:val="008A7FFE"/>
    <w:rsid w:val="008B06DE"/>
    <w:rsid w:val="008B10F9"/>
    <w:rsid w:val="008B64BE"/>
    <w:rsid w:val="008B6B8E"/>
    <w:rsid w:val="008B6F95"/>
    <w:rsid w:val="008C0D2B"/>
    <w:rsid w:val="008C23E6"/>
    <w:rsid w:val="008C30E6"/>
    <w:rsid w:val="008C44B6"/>
    <w:rsid w:val="008C4CD7"/>
    <w:rsid w:val="008C57F6"/>
    <w:rsid w:val="008C6567"/>
    <w:rsid w:val="008D5528"/>
    <w:rsid w:val="008D7EAD"/>
    <w:rsid w:val="008E212F"/>
    <w:rsid w:val="008E5BE5"/>
    <w:rsid w:val="008F051F"/>
    <w:rsid w:val="008F127C"/>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199A"/>
    <w:rsid w:val="00922A6D"/>
    <w:rsid w:val="009230A5"/>
    <w:rsid w:val="009242EA"/>
    <w:rsid w:val="00925171"/>
    <w:rsid w:val="0092555A"/>
    <w:rsid w:val="009255C2"/>
    <w:rsid w:val="00925E5C"/>
    <w:rsid w:val="00927A0D"/>
    <w:rsid w:val="00927EF0"/>
    <w:rsid w:val="009324C3"/>
    <w:rsid w:val="0093251D"/>
    <w:rsid w:val="00933C83"/>
    <w:rsid w:val="009351FC"/>
    <w:rsid w:val="00936542"/>
    <w:rsid w:val="009376EA"/>
    <w:rsid w:val="00937943"/>
    <w:rsid w:val="00940447"/>
    <w:rsid w:val="009408A6"/>
    <w:rsid w:val="00941C32"/>
    <w:rsid w:val="00943BAA"/>
    <w:rsid w:val="00944330"/>
    <w:rsid w:val="0094446C"/>
    <w:rsid w:val="0094577A"/>
    <w:rsid w:val="009459C3"/>
    <w:rsid w:val="0095190E"/>
    <w:rsid w:val="00952158"/>
    <w:rsid w:val="00952ED0"/>
    <w:rsid w:val="00953FE2"/>
    <w:rsid w:val="009615F7"/>
    <w:rsid w:val="0096439D"/>
    <w:rsid w:val="00965188"/>
    <w:rsid w:val="009679F7"/>
    <w:rsid w:val="00972224"/>
    <w:rsid w:val="0098369B"/>
    <w:rsid w:val="009855ED"/>
    <w:rsid w:val="00990086"/>
    <w:rsid w:val="00992C68"/>
    <w:rsid w:val="009939EF"/>
    <w:rsid w:val="00994DC4"/>
    <w:rsid w:val="00995402"/>
    <w:rsid w:val="00995739"/>
    <w:rsid w:val="00996855"/>
    <w:rsid w:val="00997BB1"/>
    <w:rsid w:val="00997BD1"/>
    <w:rsid w:val="009A1012"/>
    <w:rsid w:val="009A10B6"/>
    <w:rsid w:val="009A2CBA"/>
    <w:rsid w:val="009A3785"/>
    <w:rsid w:val="009B2454"/>
    <w:rsid w:val="009B472E"/>
    <w:rsid w:val="009B4801"/>
    <w:rsid w:val="009B53D8"/>
    <w:rsid w:val="009B6571"/>
    <w:rsid w:val="009B7504"/>
    <w:rsid w:val="009C4A92"/>
    <w:rsid w:val="009C6254"/>
    <w:rsid w:val="009C6CE8"/>
    <w:rsid w:val="009C6F42"/>
    <w:rsid w:val="009D0597"/>
    <w:rsid w:val="009D31D6"/>
    <w:rsid w:val="009D3EF7"/>
    <w:rsid w:val="009D4AA9"/>
    <w:rsid w:val="009D54A5"/>
    <w:rsid w:val="009D71A1"/>
    <w:rsid w:val="009E1F25"/>
    <w:rsid w:val="009E2A70"/>
    <w:rsid w:val="009E489B"/>
    <w:rsid w:val="009F3168"/>
    <w:rsid w:val="009F3454"/>
    <w:rsid w:val="009F4440"/>
    <w:rsid w:val="009F5553"/>
    <w:rsid w:val="009F7BC1"/>
    <w:rsid w:val="00A0246B"/>
    <w:rsid w:val="00A03908"/>
    <w:rsid w:val="00A04CE4"/>
    <w:rsid w:val="00A05724"/>
    <w:rsid w:val="00A110DD"/>
    <w:rsid w:val="00A11C23"/>
    <w:rsid w:val="00A14268"/>
    <w:rsid w:val="00A17D94"/>
    <w:rsid w:val="00A2092B"/>
    <w:rsid w:val="00A23BA0"/>
    <w:rsid w:val="00A24F93"/>
    <w:rsid w:val="00A25028"/>
    <w:rsid w:val="00A314FA"/>
    <w:rsid w:val="00A3799B"/>
    <w:rsid w:val="00A413D5"/>
    <w:rsid w:val="00A47BAD"/>
    <w:rsid w:val="00A47D5F"/>
    <w:rsid w:val="00A504D3"/>
    <w:rsid w:val="00A52844"/>
    <w:rsid w:val="00A52BEC"/>
    <w:rsid w:val="00A57777"/>
    <w:rsid w:val="00A57E0F"/>
    <w:rsid w:val="00A65C42"/>
    <w:rsid w:val="00A67E6D"/>
    <w:rsid w:val="00A750A9"/>
    <w:rsid w:val="00A75304"/>
    <w:rsid w:val="00A82F6F"/>
    <w:rsid w:val="00A84DBB"/>
    <w:rsid w:val="00A862A4"/>
    <w:rsid w:val="00A903BC"/>
    <w:rsid w:val="00A9229C"/>
    <w:rsid w:val="00A92BA2"/>
    <w:rsid w:val="00A9360E"/>
    <w:rsid w:val="00A94142"/>
    <w:rsid w:val="00A973D9"/>
    <w:rsid w:val="00AA0190"/>
    <w:rsid w:val="00AA1C3B"/>
    <w:rsid w:val="00AA1DC4"/>
    <w:rsid w:val="00AA20DC"/>
    <w:rsid w:val="00AA2435"/>
    <w:rsid w:val="00AA29A7"/>
    <w:rsid w:val="00AA49B9"/>
    <w:rsid w:val="00AA5761"/>
    <w:rsid w:val="00AB392A"/>
    <w:rsid w:val="00AB6124"/>
    <w:rsid w:val="00AB69C6"/>
    <w:rsid w:val="00AB759F"/>
    <w:rsid w:val="00AB7A77"/>
    <w:rsid w:val="00AC25D8"/>
    <w:rsid w:val="00AC4FD0"/>
    <w:rsid w:val="00AC560D"/>
    <w:rsid w:val="00AC5BA7"/>
    <w:rsid w:val="00AD19E4"/>
    <w:rsid w:val="00AD319B"/>
    <w:rsid w:val="00AD3673"/>
    <w:rsid w:val="00AD4A48"/>
    <w:rsid w:val="00AE082C"/>
    <w:rsid w:val="00AE0C03"/>
    <w:rsid w:val="00AE36D0"/>
    <w:rsid w:val="00AE40E2"/>
    <w:rsid w:val="00AE4140"/>
    <w:rsid w:val="00AE4928"/>
    <w:rsid w:val="00AE4CE1"/>
    <w:rsid w:val="00AE4D48"/>
    <w:rsid w:val="00AE786D"/>
    <w:rsid w:val="00AF0CA4"/>
    <w:rsid w:val="00AF1CAD"/>
    <w:rsid w:val="00AF448F"/>
    <w:rsid w:val="00AF4CC5"/>
    <w:rsid w:val="00AF72E8"/>
    <w:rsid w:val="00B01391"/>
    <w:rsid w:val="00B02CB3"/>
    <w:rsid w:val="00B04E9C"/>
    <w:rsid w:val="00B0622F"/>
    <w:rsid w:val="00B06511"/>
    <w:rsid w:val="00B06DF9"/>
    <w:rsid w:val="00B102F7"/>
    <w:rsid w:val="00B119C7"/>
    <w:rsid w:val="00B11BE8"/>
    <w:rsid w:val="00B1354A"/>
    <w:rsid w:val="00B14506"/>
    <w:rsid w:val="00B15D63"/>
    <w:rsid w:val="00B22750"/>
    <w:rsid w:val="00B228D4"/>
    <w:rsid w:val="00B231A5"/>
    <w:rsid w:val="00B26EF6"/>
    <w:rsid w:val="00B33726"/>
    <w:rsid w:val="00B34CB8"/>
    <w:rsid w:val="00B36726"/>
    <w:rsid w:val="00B36BD2"/>
    <w:rsid w:val="00B40CCF"/>
    <w:rsid w:val="00B40FA6"/>
    <w:rsid w:val="00B43413"/>
    <w:rsid w:val="00B442F3"/>
    <w:rsid w:val="00B46596"/>
    <w:rsid w:val="00B5038B"/>
    <w:rsid w:val="00B51F07"/>
    <w:rsid w:val="00B52A30"/>
    <w:rsid w:val="00B55AA9"/>
    <w:rsid w:val="00B576FB"/>
    <w:rsid w:val="00B57CDE"/>
    <w:rsid w:val="00B605B3"/>
    <w:rsid w:val="00B607ED"/>
    <w:rsid w:val="00B6409D"/>
    <w:rsid w:val="00B65A78"/>
    <w:rsid w:val="00B665B0"/>
    <w:rsid w:val="00B70EED"/>
    <w:rsid w:val="00B7181B"/>
    <w:rsid w:val="00B7209C"/>
    <w:rsid w:val="00B73DBD"/>
    <w:rsid w:val="00B754FE"/>
    <w:rsid w:val="00B75D21"/>
    <w:rsid w:val="00B77A8C"/>
    <w:rsid w:val="00B82AFD"/>
    <w:rsid w:val="00B82F44"/>
    <w:rsid w:val="00B854DA"/>
    <w:rsid w:val="00B86298"/>
    <w:rsid w:val="00B86CF9"/>
    <w:rsid w:val="00B901A9"/>
    <w:rsid w:val="00B92C29"/>
    <w:rsid w:val="00B94BF6"/>
    <w:rsid w:val="00B94EA1"/>
    <w:rsid w:val="00B94EB0"/>
    <w:rsid w:val="00B96D89"/>
    <w:rsid w:val="00B972A0"/>
    <w:rsid w:val="00BA266C"/>
    <w:rsid w:val="00BA2CBC"/>
    <w:rsid w:val="00BA363C"/>
    <w:rsid w:val="00BA5910"/>
    <w:rsid w:val="00BA7E0B"/>
    <w:rsid w:val="00BB3554"/>
    <w:rsid w:val="00BB3CE8"/>
    <w:rsid w:val="00BB43FD"/>
    <w:rsid w:val="00BB6D12"/>
    <w:rsid w:val="00BB7583"/>
    <w:rsid w:val="00BC18F8"/>
    <w:rsid w:val="00BC261C"/>
    <w:rsid w:val="00BC3E94"/>
    <w:rsid w:val="00BC3ED9"/>
    <w:rsid w:val="00BC4B4F"/>
    <w:rsid w:val="00BC5032"/>
    <w:rsid w:val="00BC59CC"/>
    <w:rsid w:val="00BD0579"/>
    <w:rsid w:val="00BD1D69"/>
    <w:rsid w:val="00BD42D8"/>
    <w:rsid w:val="00BD45AE"/>
    <w:rsid w:val="00BE0375"/>
    <w:rsid w:val="00BE1DC0"/>
    <w:rsid w:val="00BE34DD"/>
    <w:rsid w:val="00BE470E"/>
    <w:rsid w:val="00BE7267"/>
    <w:rsid w:val="00BE7523"/>
    <w:rsid w:val="00BE7E71"/>
    <w:rsid w:val="00BF06EC"/>
    <w:rsid w:val="00BF09D3"/>
    <w:rsid w:val="00BF384F"/>
    <w:rsid w:val="00BF5744"/>
    <w:rsid w:val="00BF5944"/>
    <w:rsid w:val="00BF5A88"/>
    <w:rsid w:val="00C00519"/>
    <w:rsid w:val="00C014A9"/>
    <w:rsid w:val="00C01BBA"/>
    <w:rsid w:val="00C02420"/>
    <w:rsid w:val="00C04971"/>
    <w:rsid w:val="00C05096"/>
    <w:rsid w:val="00C0615F"/>
    <w:rsid w:val="00C10CCD"/>
    <w:rsid w:val="00C10E53"/>
    <w:rsid w:val="00C10FB4"/>
    <w:rsid w:val="00C1101B"/>
    <w:rsid w:val="00C11D28"/>
    <w:rsid w:val="00C15A97"/>
    <w:rsid w:val="00C16757"/>
    <w:rsid w:val="00C17A11"/>
    <w:rsid w:val="00C20A49"/>
    <w:rsid w:val="00C22965"/>
    <w:rsid w:val="00C22BDC"/>
    <w:rsid w:val="00C25BD9"/>
    <w:rsid w:val="00C30DBA"/>
    <w:rsid w:val="00C40072"/>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7427B"/>
    <w:rsid w:val="00C80E12"/>
    <w:rsid w:val="00C80F74"/>
    <w:rsid w:val="00C84E54"/>
    <w:rsid w:val="00C8621F"/>
    <w:rsid w:val="00C87811"/>
    <w:rsid w:val="00C906E0"/>
    <w:rsid w:val="00C959A0"/>
    <w:rsid w:val="00C969A8"/>
    <w:rsid w:val="00C976E2"/>
    <w:rsid w:val="00C97707"/>
    <w:rsid w:val="00CA1872"/>
    <w:rsid w:val="00CA1D5A"/>
    <w:rsid w:val="00CA349E"/>
    <w:rsid w:val="00CA5910"/>
    <w:rsid w:val="00CA5EE6"/>
    <w:rsid w:val="00CA6A88"/>
    <w:rsid w:val="00CB0D76"/>
    <w:rsid w:val="00CB169A"/>
    <w:rsid w:val="00CB18D5"/>
    <w:rsid w:val="00CB393B"/>
    <w:rsid w:val="00CC064D"/>
    <w:rsid w:val="00CC08D4"/>
    <w:rsid w:val="00CC1B0F"/>
    <w:rsid w:val="00CC4315"/>
    <w:rsid w:val="00CC601F"/>
    <w:rsid w:val="00CD02EB"/>
    <w:rsid w:val="00CD6E9F"/>
    <w:rsid w:val="00CE31AB"/>
    <w:rsid w:val="00CE32B4"/>
    <w:rsid w:val="00CE6BAF"/>
    <w:rsid w:val="00CF0F17"/>
    <w:rsid w:val="00CF2384"/>
    <w:rsid w:val="00CF2A48"/>
    <w:rsid w:val="00CF2BE6"/>
    <w:rsid w:val="00CF2DBD"/>
    <w:rsid w:val="00CF37B7"/>
    <w:rsid w:val="00CF3D80"/>
    <w:rsid w:val="00CF569B"/>
    <w:rsid w:val="00CF7C33"/>
    <w:rsid w:val="00D0142A"/>
    <w:rsid w:val="00D025A9"/>
    <w:rsid w:val="00D03141"/>
    <w:rsid w:val="00D11596"/>
    <w:rsid w:val="00D131F2"/>
    <w:rsid w:val="00D13F95"/>
    <w:rsid w:val="00D15049"/>
    <w:rsid w:val="00D17508"/>
    <w:rsid w:val="00D17EF8"/>
    <w:rsid w:val="00D22A20"/>
    <w:rsid w:val="00D22FC6"/>
    <w:rsid w:val="00D255AC"/>
    <w:rsid w:val="00D318BB"/>
    <w:rsid w:val="00D31E05"/>
    <w:rsid w:val="00D35E4B"/>
    <w:rsid w:val="00D4023D"/>
    <w:rsid w:val="00D40DAB"/>
    <w:rsid w:val="00D42313"/>
    <w:rsid w:val="00D43858"/>
    <w:rsid w:val="00D45220"/>
    <w:rsid w:val="00D45F79"/>
    <w:rsid w:val="00D45FC8"/>
    <w:rsid w:val="00D500CC"/>
    <w:rsid w:val="00D51B8C"/>
    <w:rsid w:val="00D51EF8"/>
    <w:rsid w:val="00D532DF"/>
    <w:rsid w:val="00D550EA"/>
    <w:rsid w:val="00D555B1"/>
    <w:rsid w:val="00D5683A"/>
    <w:rsid w:val="00D6075F"/>
    <w:rsid w:val="00D64A8A"/>
    <w:rsid w:val="00D64ACA"/>
    <w:rsid w:val="00D65EE5"/>
    <w:rsid w:val="00D6635B"/>
    <w:rsid w:val="00D66B98"/>
    <w:rsid w:val="00D72E5C"/>
    <w:rsid w:val="00D74A8F"/>
    <w:rsid w:val="00D76989"/>
    <w:rsid w:val="00D81106"/>
    <w:rsid w:val="00D8155F"/>
    <w:rsid w:val="00D83830"/>
    <w:rsid w:val="00D8408A"/>
    <w:rsid w:val="00D85984"/>
    <w:rsid w:val="00D86118"/>
    <w:rsid w:val="00D8641A"/>
    <w:rsid w:val="00D92897"/>
    <w:rsid w:val="00D9374F"/>
    <w:rsid w:val="00D9654F"/>
    <w:rsid w:val="00D96664"/>
    <w:rsid w:val="00D9771C"/>
    <w:rsid w:val="00D97BF8"/>
    <w:rsid w:val="00DA0331"/>
    <w:rsid w:val="00DA04A7"/>
    <w:rsid w:val="00DA30E3"/>
    <w:rsid w:val="00DA399C"/>
    <w:rsid w:val="00DA43F1"/>
    <w:rsid w:val="00DA5E85"/>
    <w:rsid w:val="00DB01F6"/>
    <w:rsid w:val="00DB1B72"/>
    <w:rsid w:val="00DB4628"/>
    <w:rsid w:val="00DB58AD"/>
    <w:rsid w:val="00DB6134"/>
    <w:rsid w:val="00DD0357"/>
    <w:rsid w:val="00DD18B8"/>
    <w:rsid w:val="00DD1B53"/>
    <w:rsid w:val="00DD2D4F"/>
    <w:rsid w:val="00DD3ECB"/>
    <w:rsid w:val="00DD4201"/>
    <w:rsid w:val="00DD46B2"/>
    <w:rsid w:val="00DD5289"/>
    <w:rsid w:val="00DD5BF9"/>
    <w:rsid w:val="00DD6729"/>
    <w:rsid w:val="00DD760C"/>
    <w:rsid w:val="00DE0FB7"/>
    <w:rsid w:val="00DE3DD6"/>
    <w:rsid w:val="00DE4100"/>
    <w:rsid w:val="00DE458D"/>
    <w:rsid w:val="00DE517B"/>
    <w:rsid w:val="00DE52F2"/>
    <w:rsid w:val="00DE5A5D"/>
    <w:rsid w:val="00DE67A8"/>
    <w:rsid w:val="00DF072F"/>
    <w:rsid w:val="00DF0B84"/>
    <w:rsid w:val="00DF1ACD"/>
    <w:rsid w:val="00DF255F"/>
    <w:rsid w:val="00DF2996"/>
    <w:rsid w:val="00DF4C21"/>
    <w:rsid w:val="00E028F5"/>
    <w:rsid w:val="00E03EA5"/>
    <w:rsid w:val="00E041E8"/>
    <w:rsid w:val="00E05588"/>
    <w:rsid w:val="00E07E81"/>
    <w:rsid w:val="00E10E84"/>
    <w:rsid w:val="00E1125C"/>
    <w:rsid w:val="00E16D83"/>
    <w:rsid w:val="00E17AA2"/>
    <w:rsid w:val="00E235EA"/>
    <w:rsid w:val="00E253BD"/>
    <w:rsid w:val="00E267AB"/>
    <w:rsid w:val="00E27BF3"/>
    <w:rsid w:val="00E30C2C"/>
    <w:rsid w:val="00E311DC"/>
    <w:rsid w:val="00E3126D"/>
    <w:rsid w:val="00E31752"/>
    <w:rsid w:val="00E3534A"/>
    <w:rsid w:val="00E4082C"/>
    <w:rsid w:val="00E435B7"/>
    <w:rsid w:val="00E4444A"/>
    <w:rsid w:val="00E44DA1"/>
    <w:rsid w:val="00E46C87"/>
    <w:rsid w:val="00E519F0"/>
    <w:rsid w:val="00E576B4"/>
    <w:rsid w:val="00E61D3A"/>
    <w:rsid w:val="00E62413"/>
    <w:rsid w:val="00E64091"/>
    <w:rsid w:val="00E66237"/>
    <w:rsid w:val="00E66281"/>
    <w:rsid w:val="00E66470"/>
    <w:rsid w:val="00E67C64"/>
    <w:rsid w:val="00E71158"/>
    <w:rsid w:val="00E71BDF"/>
    <w:rsid w:val="00E7334E"/>
    <w:rsid w:val="00E81A71"/>
    <w:rsid w:val="00E8267C"/>
    <w:rsid w:val="00E84B84"/>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5A62"/>
    <w:rsid w:val="00EB61E2"/>
    <w:rsid w:val="00EB7798"/>
    <w:rsid w:val="00EC0471"/>
    <w:rsid w:val="00EC3A1C"/>
    <w:rsid w:val="00EC3C0E"/>
    <w:rsid w:val="00EC3D04"/>
    <w:rsid w:val="00EC3EC3"/>
    <w:rsid w:val="00EC539A"/>
    <w:rsid w:val="00EC6DFA"/>
    <w:rsid w:val="00ED39C3"/>
    <w:rsid w:val="00ED66FE"/>
    <w:rsid w:val="00ED68AB"/>
    <w:rsid w:val="00EE3D44"/>
    <w:rsid w:val="00EE41E2"/>
    <w:rsid w:val="00EE60EE"/>
    <w:rsid w:val="00EF1906"/>
    <w:rsid w:val="00EF1953"/>
    <w:rsid w:val="00EF2347"/>
    <w:rsid w:val="00EF2D9E"/>
    <w:rsid w:val="00EF30B1"/>
    <w:rsid w:val="00EF3BC8"/>
    <w:rsid w:val="00EF7F7D"/>
    <w:rsid w:val="00F003DC"/>
    <w:rsid w:val="00F00476"/>
    <w:rsid w:val="00F00900"/>
    <w:rsid w:val="00F012AB"/>
    <w:rsid w:val="00F0232C"/>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9FC"/>
    <w:rsid w:val="00F50B67"/>
    <w:rsid w:val="00F515F7"/>
    <w:rsid w:val="00F52831"/>
    <w:rsid w:val="00F53B73"/>
    <w:rsid w:val="00F53D3E"/>
    <w:rsid w:val="00F56C3E"/>
    <w:rsid w:val="00F60C95"/>
    <w:rsid w:val="00F61714"/>
    <w:rsid w:val="00F6434D"/>
    <w:rsid w:val="00F65870"/>
    <w:rsid w:val="00F7015E"/>
    <w:rsid w:val="00F7297C"/>
    <w:rsid w:val="00F73B56"/>
    <w:rsid w:val="00F76C6F"/>
    <w:rsid w:val="00F777FA"/>
    <w:rsid w:val="00F77D99"/>
    <w:rsid w:val="00F817C9"/>
    <w:rsid w:val="00F820A6"/>
    <w:rsid w:val="00F828AE"/>
    <w:rsid w:val="00F83282"/>
    <w:rsid w:val="00F8540B"/>
    <w:rsid w:val="00F85ED6"/>
    <w:rsid w:val="00F91098"/>
    <w:rsid w:val="00F917FF"/>
    <w:rsid w:val="00F9398C"/>
    <w:rsid w:val="00F9535D"/>
    <w:rsid w:val="00F97BF7"/>
    <w:rsid w:val="00FA0D68"/>
    <w:rsid w:val="00FA2710"/>
    <w:rsid w:val="00FA43C6"/>
    <w:rsid w:val="00FA5090"/>
    <w:rsid w:val="00FA53DC"/>
    <w:rsid w:val="00FA7229"/>
    <w:rsid w:val="00FA7F61"/>
    <w:rsid w:val="00FB554A"/>
    <w:rsid w:val="00FB588A"/>
    <w:rsid w:val="00FC0694"/>
    <w:rsid w:val="00FC1955"/>
    <w:rsid w:val="00FC470A"/>
    <w:rsid w:val="00FC4FC5"/>
    <w:rsid w:val="00FC6982"/>
    <w:rsid w:val="00FC6F29"/>
    <w:rsid w:val="00FD1341"/>
    <w:rsid w:val="00FD2F47"/>
    <w:rsid w:val="00FD4519"/>
    <w:rsid w:val="00FE363C"/>
    <w:rsid w:val="00FE3AE2"/>
    <w:rsid w:val="00FE4A4B"/>
    <w:rsid w:val="00FE4DEA"/>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 w:type="numbering" w:customStyle="1" w:styleId="NoList2">
    <w:name w:val="No List2"/>
    <w:next w:val="NoList"/>
    <w:uiPriority w:val="99"/>
    <w:semiHidden/>
    <w:unhideWhenUsed/>
    <w:rsid w:val="00BE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8470">
      <w:bodyDiv w:val="1"/>
      <w:marLeft w:val="0"/>
      <w:marRight w:val="0"/>
      <w:marTop w:val="0"/>
      <w:marBottom w:val="0"/>
      <w:divBdr>
        <w:top w:val="none" w:sz="0" w:space="0" w:color="auto"/>
        <w:left w:val="none" w:sz="0" w:space="0" w:color="auto"/>
        <w:bottom w:val="none" w:sz="0" w:space="0" w:color="auto"/>
        <w:right w:val="none" w:sz="0" w:space="0" w:color="auto"/>
      </w:divBdr>
      <w:divsChild>
        <w:div w:id="219170340">
          <w:marLeft w:val="0"/>
          <w:marRight w:val="0"/>
          <w:marTop w:val="0"/>
          <w:marBottom w:val="0"/>
          <w:divBdr>
            <w:top w:val="none" w:sz="0" w:space="0" w:color="auto"/>
            <w:left w:val="none" w:sz="0" w:space="0" w:color="auto"/>
            <w:bottom w:val="none" w:sz="0" w:space="0" w:color="auto"/>
            <w:right w:val="none" w:sz="0" w:space="0" w:color="auto"/>
          </w:divBdr>
          <w:divsChild>
            <w:div w:id="608200134">
              <w:marLeft w:val="0"/>
              <w:marRight w:val="0"/>
              <w:marTop w:val="0"/>
              <w:marBottom w:val="0"/>
              <w:divBdr>
                <w:top w:val="none" w:sz="0" w:space="0" w:color="auto"/>
                <w:left w:val="none" w:sz="0" w:space="0" w:color="auto"/>
                <w:bottom w:val="none" w:sz="0" w:space="0" w:color="auto"/>
                <w:right w:val="none" w:sz="0" w:space="0" w:color="auto"/>
              </w:divBdr>
              <w:divsChild>
                <w:div w:id="2089381303">
                  <w:marLeft w:val="0"/>
                  <w:marRight w:val="0"/>
                  <w:marTop w:val="0"/>
                  <w:marBottom w:val="0"/>
                  <w:divBdr>
                    <w:top w:val="none" w:sz="0" w:space="0" w:color="auto"/>
                    <w:left w:val="none" w:sz="0" w:space="0" w:color="auto"/>
                    <w:bottom w:val="none" w:sz="0" w:space="0" w:color="auto"/>
                    <w:right w:val="none" w:sz="0" w:space="0" w:color="auto"/>
                  </w:divBdr>
                  <w:divsChild>
                    <w:div w:id="2073311409">
                      <w:marLeft w:val="0"/>
                      <w:marRight w:val="0"/>
                      <w:marTop w:val="0"/>
                      <w:marBottom w:val="0"/>
                      <w:divBdr>
                        <w:top w:val="none" w:sz="0" w:space="0" w:color="auto"/>
                        <w:left w:val="none" w:sz="0" w:space="0" w:color="auto"/>
                        <w:bottom w:val="none" w:sz="0" w:space="0" w:color="auto"/>
                        <w:right w:val="none" w:sz="0" w:space="0" w:color="auto"/>
                      </w:divBdr>
                      <w:divsChild>
                        <w:div w:id="1746948602">
                          <w:marLeft w:val="0"/>
                          <w:marRight w:val="0"/>
                          <w:marTop w:val="0"/>
                          <w:marBottom w:val="0"/>
                          <w:divBdr>
                            <w:top w:val="none" w:sz="0" w:space="0" w:color="auto"/>
                            <w:left w:val="none" w:sz="0" w:space="0" w:color="auto"/>
                            <w:bottom w:val="none" w:sz="0" w:space="0" w:color="auto"/>
                            <w:right w:val="none" w:sz="0" w:space="0" w:color="auto"/>
                          </w:divBdr>
                          <w:divsChild>
                            <w:div w:id="94643252">
                              <w:marLeft w:val="0"/>
                              <w:marRight w:val="0"/>
                              <w:marTop w:val="0"/>
                              <w:marBottom w:val="0"/>
                              <w:divBdr>
                                <w:top w:val="none" w:sz="0" w:space="0" w:color="auto"/>
                                <w:left w:val="none" w:sz="0" w:space="0" w:color="auto"/>
                                <w:bottom w:val="none" w:sz="0" w:space="0" w:color="auto"/>
                                <w:right w:val="none" w:sz="0" w:space="0" w:color="auto"/>
                              </w:divBdr>
                              <w:divsChild>
                                <w:div w:id="839083072">
                                  <w:marLeft w:val="0"/>
                                  <w:marRight w:val="0"/>
                                  <w:marTop w:val="0"/>
                                  <w:marBottom w:val="0"/>
                                  <w:divBdr>
                                    <w:top w:val="none" w:sz="0" w:space="0" w:color="auto"/>
                                    <w:left w:val="none" w:sz="0" w:space="0" w:color="auto"/>
                                    <w:bottom w:val="none" w:sz="0" w:space="0" w:color="auto"/>
                                    <w:right w:val="none" w:sz="0" w:space="0" w:color="auto"/>
                                  </w:divBdr>
                                  <w:divsChild>
                                    <w:div w:id="15642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65394">
      <w:marLeft w:val="0"/>
      <w:marRight w:val="0"/>
      <w:marTop w:val="0"/>
      <w:marBottom w:val="0"/>
      <w:divBdr>
        <w:top w:val="none" w:sz="0" w:space="0" w:color="auto"/>
        <w:left w:val="none" w:sz="0" w:space="0" w:color="auto"/>
        <w:bottom w:val="none" w:sz="0" w:space="0" w:color="auto"/>
        <w:right w:val="none" w:sz="0" w:space="0" w:color="auto"/>
      </w:divBdr>
    </w:div>
    <w:div w:id="280262449">
      <w:bodyDiv w:val="1"/>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77007338">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056852262">
      <w:bodyDiv w:val="1"/>
      <w:marLeft w:val="0"/>
      <w:marRight w:val="0"/>
      <w:marTop w:val="0"/>
      <w:marBottom w:val="0"/>
      <w:divBdr>
        <w:top w:val="none" w:sz="0" w:space="0" w:color="auto"/>
        <w:left w:val="none" w:sz="0" w:space="0" w:color="auto"/>
        <w:bottom w:val="none" w:sz="0" w:space="0" w:color="auto"/>
        <w:right w:val="none" w:sz="0" w:space="0" w:color="auto"/>
      </w:divBdr>
      <w:divsChild>
        <w:div w:id="660355688">
          <w:marLeft w:val="0"/>
          <w:marRight w:val="0"/>
          <w:marTop w:val="0"/>
          <w:marBottom w:val="0"/>
          <w:divBdr>
            <w:top w:val="none" w:sz="0" w:space="0" w:color="auto"/>
            <w:left w:val="none" w:sz="0" w:space="0" w:color="auto"/>
            <w:bottom w:val="none" w:sz="0" w:space="0" w:color="auto"/>
            <w:right w:val="none" w:sz="0" w:space="0" w:color="auto"/>
          </w:divBdr>
          <w:divsChild>
            <w:div w:id="1159274783">
              <w:marLeft w:val="0"/>
              <w:marRight w:val="0"/>
              <w:marTop w:val="0"/>
              <w:marBottom w:val="0"/>
              <w:divBdr>
                <w:top w:val="none" w:sz="0" w:space="0" w:color="auto"/>
                <w:left w:val="none" w:sz="0" w:space="0" w:color="auto"/>
                <w:bottom w:val="none" w:sz="0" w:space="0" w:color="auto"/>
                <w:right w:val="none" w:sz="0" w:space="0" w:color="auto"/>
              </w:divBdr>
              <w:divsChild>
                <w:div w:id="973952496">
                  <w:marLeft w:val="0"/>
                  <w:marRight w:val="0"/>
                  <w:marTop w:val="0"/>
                  <w:marBottom w:val="0"/>
                  <w:divBdr>
                    <w:top w:val="none" w:sz="0" w:space="0" w:color="auto"/>
                    <w:left w:val="none" w:sz="0" w:space="0" w:color="auto"/>
                    <w:bottom w:val="none" w:sz="0" w:space="0" w:color="auto"/>
                    <w:right w:val="none" w:sz="0" w:space="0" w:color="auto"/>
                  </w:divBdr>
                  <w:divsChild>
                    <w:div w:id="1964991863">
                      <w:marLeft w:val="0"/>
                      <w:marRight w:val="0"/>
                      <w:marTop w:val="0"/>
                      <w:marBottom w:val="0"/>
                      <w:divBdr>
                        <w:top w:val="none" w:sz="0" w:space="0" w:color="auto"/>
                        <w:left w:val="none" w:sz="0" w:space="0" w:color="auto"/>
                        <w:bottom w:val="none" w:sz="0" w:space="0" w:color="auto"/>
                        <w:right w:val="none" w:sz="0" w:space="0" w:color="auto"/>
                      </w:divBdr>
                      <w:divsChild>
                        <w:div w:id="86662220">
                          <w:marLeft w:val="0"/>
                          <w:marRight w:val="0"/>
                          <w:marTop w:val="0"/>
                          <w:marBottom w:val="0"/>
                          <w:divBdr>
                            <w:top w:val="none" w:sz="0" w:space="0" w:color="auto"/>
                            <w:left w:val="none" w:sz="0" w:space="0" w:color="auto"/>
                            <w:bottom w:val="none" w:sz="0" w:space="0" w:color="auto"/>
                            <w:right w:val="none" w:sz="0" w:space="0" w:color="auto"/>
                          </w:divBdr>
                          <w:divsChild>
                            <w:div w:id="123163043">
                              <w:marLeft w:val="0"/>
                              <w:marRight w:val="0"/>
                              <w:marTop w:val="0"/>
                              <w:marBottom w:val="0"/>
                              <w:divBdr>
                                <w:top w:val="none" w:sz="0" w:space="0" w:color="auto"/>
                                <w:left w:val="none" w:sz="0" w:space="0" w:color="auto"/>
                                <w:bottom w:val="none" w:sz="0" w:space="0" w:color="auto"/>
                                <w:right w:val="none" w:sz="0" w:space="0" w:color="auto"/>
                              </w:divBdr>
                              <w:divsChild>
                                <w:div w:id="987435759">
                                  <w:marLeft w:val="0"/>
                                  <w:marRight w:val="0"/>
                                  <w:marTop w:val="0"/>
                                  <w:marBottom w:val="0"/>
                                  <w:divBdr>
                                    <w:top w:val="none" w:sz="0" w:space="0" w:color="auto"/>
                                    <w:left w:val="none" w:sz="0" w:space="0" w:color="auto"/>
                                    <w:bottom w:val="none" w:sz="0" w:space="0" w:color="auto"/>
                                    <w:right w:val="none" w:sz="0" w:space="0" w:color="auto"/>
                                  </w:divBdr>
                                </w:div>
                                <w:div w:id="1656373148">
                                  <w:marLeft w:val="0"/>
                                  <w:marRight w:val="0"/>
                                  <w:marTop w:val="0"/>
                                  <w:marBottom w:val="0"/>
                                  <w:divBdr>
                                    <w:top w:val="none" w:sz="0" w:space="0" w:color="auto"/>
                                    <w:left w:val="none" w:sz="0" w:space="0" w:color="auto"/>
                                    <w:bottom w:val="none" w:sz="0" w:space="0" w:color="auto"/>
                                    <w:right w:val="none" w:sz="0" w:space="0" w:color="auto"/>
                                  </w:divBdr>
                                </w:div>
                                <w:div w:id="1674606918">
                                  <w:marLeft w:val="0"/>
                                  <w:marRight w:val="0"/>
                                  <w:marTop w:val="0"/>
                                  <w:marBottom w:val="0"/>
                                  <w:divBdr>
                                    <w:top w:val="none" w:sz="0" w:space="0" w:color="auto"/>
                                    <w:left w:val="none" w:sz="0" w:space="0" w:color="auto"/>
                                    <w:bottom w:val="none" w:sz="0" w:space="0" w:color="auto"/>
                                    <w:right w:val="none" w:sz="0" w:space="0" w:color="auto"/>
                                  </w:divBdr>
                                </w:div>
                                <w:div w:id="439684654">
                                  <w:marLeft w:val="0"/>
                                  <w:marRight w:val="0"/>
                                  <w:marTop w:val="0"/>
                                  <w:marBottom w:val="0"/>
                                  <w:divBdr>
                                    <w:top w:val="none" w:sz="0" w:space="0" w:color="auto"/>
                                    <w:left w:val="none" w:sz="0" w:space="0" w:color="auto"/>
                                    <w:bottom w:val="none" w:sz="0" w:space="0" w:color="auto"/>
                                    <w:right w:val="none" w:sz="0" w:space="0" w:color="auto"/>
                                  </w:divBdr>
                                </w:div>
                                <w:div w:id="1923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640899">
                  <w:marLeft w:val="0"/>
                  <w:marRight w:val="0"/>
                  <w:marTop w:val="0"/>
                  <w:marBottom w:val="0"/>
                  <w:divBdr>
                    <w:top w:val="none" w:sz="0" w:space="0" w:color="auto"/>
                    <w:left w:val="none" w:sz="0" w:space="0" w:color="auto"/>
                    <w:bottom w:val="none" w:sz="0" w:space="0" w:color="auto"/>
                    <w:right w:val="none" w:sz="0" w:space="0" w:color="auto"/>
                  </w:divBdr>
                </w:div>
                <w:div w:id="915436841">
                  <w:marLeft w:val="0"/>
                  <w:marRight w:val="0"/>
                  <w:marTop w:val="0"/>
                  <w:marBottom w:val="0"/>
                  <w:divBdr>
                    <w:top w:val="none" w:sz="0" w:space="0" w:color="auto"/>
                    <w:left w:val="none" w:sz="0" w:space="0" w:color="auto"/>
                    <w:bottom w:val="none" w:sz="0" w:space="0" w:color="auto"/>
                    <w:right w:val="none" w:sz="0" w:space="0" w:color="auto"/>
                  </w:divBdr>
                </w:div>
                <w:div w:id="992835197">
                  <w:marLeft w:val="0"/>
                  <w:marRight w:val="0"/>
                  <w:marTop w:val="0"/>
                  <w:marBottom w:val="0"/>
                  <w:divBdr>
                    <w:top w:val="none" w:sz="0" w:space="0" w:color="auto"/>
                    <w:left w:val="none" w:sz="0" w:space="0" w:color="auto"/>
                    <w:bottom w:val="none" w:sz="0" w:space="0" w:color="auto"/>
                    <w:right w:val="none" w:sz="0" w:space="0" w:color="auto"/>
                  </w:divBdr>
                </w:div>
                <w:div w:id="525023172">
                  <w:marLeft w:val="0"/>
                  <w:marRight w:val="0"/>
                  <w:marTop w:val="0"/>
                  <w:marBottom w:val="0"/>
                  <w:divBdr>
                    <w:top w:val="none" w:sz="0" w:space="0" w:color="auto"/>
                    <w:left w:val="none" w:sz="0" w:space="0" w:color="auto"/>
                    <w:bottom w:val="none" w:sz="0" w:space="0" w:color="auto"/>
                    <w:right w:val="none" w:sz="0" w:space="0" w:color="auto"/>
                  </w:divBdr>
                </w:div>
                <w:div w:id="456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382512612">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5">
          <w:marLeft w:val="0"/>
          <w:marRight w:val="0"/>
          <w:marTop w:val="0"/>
          <w:marBottom w:val="0"/>
          <w:divBdr>
            <w:top w:val="none" w:sz="0" w:space="0" w:color="auto"/>
            <w:left w:val="none" w:sz="0" w:space="0" w:color="auto"/>
            <w:bottom w:val="none" w:sz="0" w:space="0" w:color="auto"/>
            <w:right w:val="none" w:sz="0" w:space="0" w:color="auto"/>
          </w:divBdr>
          <w:divsChild>
            <w:div w:id="1822887748">
              <w:marLeft w:val="0"/>
              <w:marRight w:val="0"/>
              <w:marTop w:val="0"/>
              <w:marBottom w:val="0"/>
              <w:divBdr>
                <w:top w:val="none" w:sz="0" w:space="0" w:color="auto"/>
                <w:left w:val="none" w:sz="0" w:space="0" w:color="auto"/>
                <w:bottom w:val="none" w:sz="0" w:space="0" w:color="auto"/>
                <w:right w:val="none" w:sz="0" w:space="0" w:color="auto"/>
              </w:divBdr>
              <w:divsChild>
                <w:div w:id="402677278">
                  <w:marLeft w:val="0"/>
                  <w:marRight w:val="0"/>
                  <w:marTop w:val="0"/>
                  <w:marBottom w:val="0"/>
                  <w:divBdr>
                    <w:top w:val="none" w:sz="0" w:space="0" w:color="auto"/>
                    <w:left w:val="none" w:sz="0" w:space="0" w:color="auto"/>
                    <w:bottom w:val="none" w:sz="0" w:space="0" w:color="auto"/>
                    <w:right w:val="none" w:sz="0" w:space="0" w:color="auto"/>
                  </w:divBdr>
                  <w:divsChild>
                    <w:div w:id="1029912217">
                      <w:marLeft w:val="0"/>
                      <w:marRight w:val="0"/>
                      <w:marTop w:val="0"/>
                      <w:marBottom w:val="0"/>
                      <w:divBdr>
                        <w:top w:val="none" w:sz="0" w:space="0" w:color="auto"/>
                        <w:left w:val="none" w:sz="0" w:space="0" w:color="auto"/>
                        <w:bottom w:val="none" w:sz="0" w:space="0" w:color="auto"/>
                        <w:right w:val="none" w:sz="0" w:space="0" w:color="auto"/>
                      </w:divBdr>
                      <w:divsChild>
                        <w:div w:id="999230176">
                          <w:marLeft w:val="0"/>
                          <w:marRight w:val="0"/>
                          <w:marTop w:val="0"/>
                          <w:marBottom w:val="0"/>
                          <w:divBdr>
                            <w:top w:val="none" w:sz="0" w:space="0" w:color="auto"/>
                            <w:left w:val="none" w:sz="0" w:space="0" w:color="auto"/>
                            <w:bottom w:val="none" w:sz="0" w:space="0" w:color="auto"/>
                            <w:right w:val="none" w:sz="0" w:space="0" w:color="auto"/>
                          </w:divBdr>
                          <w:divsChild>
                            <w:div w:id="1224292821">
                              <w:marLeft w:val="0"/>
                              <w:marRight w:val="0"/>
                              <w:marTop w:val="0"/>
                              <w:marBottom w:val="0"/>
                              <w:divBdr>
                                <w:top w:val="none" w:sz="0" w:space="0" w:color="auto"/>
                                <w:left w:val="none" w:sz="0" w:space="0" w:color="auto"/>
                                <w:bottom w:val="none" w:sz="0" w:space="0" w:color="auto"/>
                                <w:right w:val="none" w:sz="0" w:space="0" w:color="auto"/>
                              </w:divBdr>
                              <w:divsChild>
                                <w:div w:id="707530362">
                                  <w:marLeft w:val="0"/>
                                  <w:marRight w:val="0"/>
                                  <w:marTop w:val="0"/>
                                  <w:marBottom w:val="0"/>
                                  <w:divBdr>
                                    <w:top w:val="none" w:sz="0" w:space="0" w:color="auto"/>
                                    <w:left w:val="none" w:sz="0" w:space="0" w:color="auto"/>
                                    <w:bottom w:val="none" w:sz="0" w:space="0" w:color="auto"/>
                                    <w:right w:val="none" w:sz="0" w:space="0" w:color="auto"/>
                                  </w:divBdr>
                                  <w:divsChild>
                                    <w:div w:id="1301493992">
                                      <w:marLeft w:val="0"/>
                                      <w:marRight w:val="0"/>
                                      <w:marTop w:val="0"/>
                                      <w:marBottom w:val="0"/>
                                      <w:divBdr>
                                        <w:top w:val="none" w:sz="0" w:space="0" w:color="auto"/>
                                        <w:left w:val="none" w:sz="0" w:space="0" w:color="auto"/>
                                        <w:bottom w:val="none" w:sz="0" w:space="0" w:color="auto"/>
                                        <w:right w:val="none" w:sz="0" w:space="0" w:color="auto"/>
                                      </w:divBdr>
                                    </w:div>
                                  </w:divsChild>
                                </w:div>
                                <w:div w:id="2084525156">
                                  <w:marLeft w:val="0"/>
                                  <w:marRight w:val="0"/>
                                  <w:marTop w:val="0"/>
                                  <w:marBottom w:val="0"/>
                                  <w:divBdr>
                                    <w:top w:val="none" w:sz="0" w:space="0" w:color="auto"/>
                                    <w:left w:val="none" w:sz="0" w:space="0" w:color="auto"/>
                                    <w:bottom w:val="none" w:sz="0" w:space="0" w:color="auto"/>
                                    <w:right w:val="none" w:sz="0" w:space="0" w:color="auto"/>
                                  </w:divBdr>
                                </w:div>
                                <w:div w:id="256912828">
                                  <w:marLeft w:val="0"/>
                                  <w:marRight w:val="0"/>
                                  <w:marTop w:val="0"/>
                                  <w:marBottom w:val="0"/>
                                  <w:divBdr>
                                    <w:top w:val="none" w:sz="0" w:space="0" w:color="auto"/>
                                    <w:left w:val="none" w:sz="0" w:space="0" w:color="auto"/>
                                    <w:bottom w:val="none" w:sz="0" w:space="0" w:color="auto"/>
                                    <w:right w:val="none" w:sz="0" w:space="0" w:color="auto"/>
                                  </w:divBdr>
                                </w:div>
                                <w:div w:id="159661030">
                                  <w:marLeft w:val="0"/>
                                  <w:marRight w:val="0"/>
                                  <w:marTop w:val="0"/>
                                  <w:marBottom w:val="0"/>
                                  <w:divBdr>
                                    <w:top w:val="none" w:sz="0" w:space="0" w:color="auto"/>
                                    <w:left w:val="none" w:sz="0" w:space="0" w:color="auto"/>
                                    <w:bottom w:val="none" w:sz="0" w:space="0" w:color="auto"/>
                                    <w:right w:val="none" w:sz="0" w:space="0" w:color="auto"/>
                                  </w:divBdr>
                                </w:div>
                                <w:div w:id="19557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9518">
                  <w:marLeft w:val="0"/>
                  <w:marRight w:val="0"/>
                  <w:marTop w:val="0"/>
                  <w:marBottom w:val="0"/>
                  <w:divBdr>
                    <w:top w:val="none" w:sz="0" w:space="0" w:color="auto"/>
                    <w:left w:val="none" w:sz="0" w:space="0" w:color="auto"/>
                    <w:bottom w:val="none" w:sz="0" w:space="0" w:color="auto"/>
                    <w:right w:val="none" w:sz="0" w:space="0" w:color="auto"/>
                  </w:divBdr>
                </w:div>
                <w:div w:id="1157110501">
                  <w:marLeft w:val="0"/>
                  <w:marRight w:val="0"/>
                  <w:marTop w:val="0"/>
                  <w:marBottom w:val="0"/>
                  <w:divBdr>
                    <w:top w:val="none" w:sz="0" w:space="0" w:color="auto"/>
                    <w:left w:val="none" w:sz="0" w:space="0" w:color="auto"/>
                    <w:bottom w:val="none" w:sz="0" w:space="0" w:color="auto"/>
                    <w:right w:val="none" w:sz="0" w:space="0" w:color="auto"/>
                  </w:divBdr>
                </w:div>
                <w:div w:id="39063963">
                  <w:marLeft w:val="0"/>
                  <w:marRight w:val="0"/>
                  <w:marTop w:val="0"/>
                  <w:marBottom w:val="0"/>
                  <w:divBdr>
                    <w:top w:val="none" w:sz="0" w:space="0" w:color="auto"/>
                    <w:left w:val="none" w:sz="0" w:space="0" w:color="auto"/>
                    <w:bottom w:val="none" w:sz="0" w:space="0" w:color="auto"/>
                    <w:right w:val="none" w:sz="0" w:space="0" w:color="auto"/>
                  </w:divBdr>
                </w:div>
                <w:div w:id="2027437268">
                  <w:marLeft w:val="0"/>
                  <w:marRight w:val="0"/>
                  <w:marTop w:val="0"/>
                  <w:marBottom w:val="0"/>
                  <w:divBdr>
                    <w:top w:val="none" w:sz="0" w:space="0" w:color="auto"/>
                    <w:left w:val="none" w:sz="0" w:space="0" w:color="auto"/>
                    <w:bottom w:val="none" w:sz="0" w:space="0" w:color="auto"/>
                    <w:right w:val="none" w:sz="0" w:space="0" w:color="auto"/>
                  </w:divBdr>
                </w:div>
                <w:div w:id="1020816288">
                  <w:marLeft w:val="0"/>
                  <w:marRight w:val="0"/>
                  <w:marTop w:val="0"/>
                  <w:marBottom w:val="0"/>
                  <w:divBdr>
                    <w:top w:val="none" w:sz="0" w:space="0" w:color="auto"/>
                    <w:left w:val="none" w:sz="0" w:space="0" w:color="auto"/>
                    <w:bottom w:val="none" w:sz="0" w:space="0" w:color="auto"/>
                    <w:right w:val="none" w:sz="0" w:space="0" w:color="auto"/>
                  </w:divBdr>
                </w:div>
                <w:div w:id="1079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2506781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senate.gov/Tracker/ManageAccount/EmailFrequen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senate.gov/Tracker/ManageAccount/EmailFrequ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lsenate.gov/Tracker/ManageAccount/EmailFrequency" TargetMode="External"/><Relationship Id="rId4" Type="http://schemas.openxmlformats.org/officeDocument/2006/relationships/settings" Target="settings.xml"/><Relationship Id="rId9" Type="http://schemas.openxmlformats.org/officeDocument/2006/relationships/hyperlink" Target="https://www.flsenate.gov/Tracker/ManageAccount/EmailFrequen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96F32-39F2-400B-8489-5A338A231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3368</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22527</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2016-04-09T16:09:00Z</dcterms:created>
  <dcterms:modified xsi:type="dcterms:W3CDTF">2016-04-11T13:51:00Z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