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88153B">
        <w:t xml:space="preserve"> of September</w:t>
      </w:r>
      <w:r w:rsidR="00992C68">
        <w:t xml:space="preserve"> </w:t>
      </w:r>
      <w:r w:rsidR="00B607ED">
        <w:t>2015</w:t>
      </w:r>
    </w:p>
    <w:p w:rsidR="00CC601F" w:rsidRDefault="00CC601F" w:rsidP="007D14A8">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C97707" w:rsidRDefault="00C97707" w:rsidP="007D14A8">
      <w:pPr>
        <w:pStyle w:val="BlockText"/>
        <w:rPr>
          <w:b/>
          <w:u w:val="single"/>
        </w:rPr>
      </w:pPr>
    </w:p>
    <w:p w:rsidR="00541BCF" w:rsidRDefault="00541BCF" w:rsidP="00541BCF">
      <w:pPr>
        <w:jc w:val="both"/>
        <w:rPr>
          <w:rFonts w:cs="Times New Roman"/>
        </w:rPr>
      </w:pPr>
      <w:r>
        <w:rPr>
          <w:rFonts w:cs="Times New Roman"/>
          <w:u w:val="single"/>
        </w:rPr>
        <w:t>Essex Insurance Company v. Kart Construction, Inc.</w:t>
      </w:r>
      <w:r>
        <w:rPr>
          <w:rFonts w:cs="Times New Roman"/>
        </w:rPr>
        <w:t>, 2015 WL 4730540, United States District Court, M.D. Florida, Tampa Division.</w:t>
      </w:r>
    </w:p>
    <w:p w:rsidR="00541BCF" w:rsidRDefault="00541BCF" w:rsidP="00541BCF">
      <w:pPr>
        <w:jc w:val="both"/>
        <w:rPr>
          <w:rFonts w:cs="Times New Roman"/>
        </w:rPr>
      </w:pPr>
    </w:p>
    <w:p w:rsidR="00541BCF" w:rsidRDefault="00541BCF" w:rsidP="00541BCF">
      <w:pPr>
        <w:ind w:firstLine="720"/>
        <w:jc w:val="both"/>
        <w:rPr>
          <w:rFonts w:cs="Times New Roman"/>
        </w:rPr>
      </w:pPr>
      <w:r>
        <w:rPr>
          <w:rFonts w:cs="Times New Roman"/>
        </w:rPr>
        <w:t>A fire on a 127-foot tall cell phone tower caused damage to antennas, tower lights, cabling, foundations, and other equipment.  The fire was caused by Kart Construction’s employee who had just welded bridge stiffeners and plates to the tower on a ten-foot segment at a height of about 100 feet.  The issue was whether Kart Construction’s insurer had a duty to indemnify Kart.</w:t>
      </w:r>
    </w:p>
    <w:p w:rsidR="00541BCF" w:rsidRDefault="00541BCF" w:rsidP="00541BCF">
      <w:pPr>
        <w:jc w:val="both"/>
        <w:rPr>
          <w:rFonts w:cs="Times New Roman"/>
        </w:rPr>
      </w:pPr>
      <w:r>
        <w:rPr>
          <w:rFonts w:cs="Times New Roman"/>
        </w:rPr>
        <w:t xml:space="preserve">The decision turned on the meaning of the section I(2)(j)(5) exclusion from coverage.  Section (j)(5) excludes from coverage property damage to that </w:t>
      </w:r>
      <w:r>
        <w:rPr>
          <w:rFonts w:cs="Times New Roman"/>
          <w:b/>
          <w:i/>
        </w:rPr>
        <w:t>particular part</w:t>
      </w:r>
      <w:r>
        <w:rPr>
          <w:rFonts w:cs="Times New Roman"/>
        </w:rPr>
        <w:t xml:space="preserve"> of real property on which Kart is performing operations, if the property damages arises out of those operations.  The insurer took the position that Kart was working on the whole tower so the whole tower is the particular part that is excluded from coverage.  Kent argued that it was working on only a ten foot section of the tower at the time of the damage, or alternatively, the metal tower itself, so all of the antenna, lights, cabling, foundation, and other equipment should be covered.</w:t>
      </w:r>
    </w:p>
    <w:p w:rsidR="00541BCF" w:rsidRDefault="00541BCF" w:rsidP="00541BCF">
      <w:pPr>
        <w:jc w:val="both"/>
        <w:rPr>
          <w:rFonts w:cs="Times New Roman"/>
        </w:rPr>
      </w:pPr>
      <w:r>
        <w:rPr>
          <w:rFonts w:cs="Times New Roman"/>
        </w:rPr>
        <w:t xml:space="preserve">The court sided with Kart and determined that the particular part of the property on which Kent was working </w:t>
      </w:r>
      <w:r>
        <w:rPr>
          <w:rFonts w:cs="Times New Roman"/>
          <w:b/>
          <w:i/>
        </w:rPr>
        <w:t xml:space="preserve">at the time of the accident </w:t>
      </w:r>
      <w:r>
        <w:rPr>
          <w:rFonts w:cs="Times New Roman"/>
        </w:rPr>
        <w:t>was a ten-foot section of the tower.  This decision was made on the insurer’s motion for summary judgment so we do not yet know the particular damages that w</w:t>
      </w:r>
      <w:r>
        <w:rPr>
          <w:rFonts w:cs="Times New Roman"/>
        </w:rPr>
        <w:t>ill be covered under the policy.</w:t>
      </w:r>
    </w:p>
    <w:p w:rsidR="00541BCF" w:rsidRDefault="00541BCF" w:rsidP="00541BCF">
      <w:pPr>
        <w:jc w:val="both"/>
        <w:rPr>
          <w:rFonts w:cs="Times New Roman"/>
        </w:rPr>
      </w:pPr>
    </w:p>
    <w:p w:rsidR="00541BCF" w:rsidRDefault="00541BCF" w:rsidP="00541BCF">
      <w:pPr>
        <w:ind w:firstLine="720"/>
        <w:jc w:val="both"/>
        <w:rPr>
          <w:rFonts w:cs="Times New Roman"/>
        </w:rPr>
      </w:pPr>
      <w:r>
        <w:rPr>
          <w:rFonts w:cs="Times New Roman"/>
        </w:rPr>
        <w:t xml:space="preserve">The court relied primarily on the decision in </w:t>
      </w:r>
      <w:r>
        <w:rPr>
          <w:rFonts w:cs="Times New Roman"/>
          <w:u w:val="single"/>
        </w:rPr>
        <w:t>America Equity Insurance Co. v. Van Ginhoven</w:t>
      </w:r>
      <w:r>
        <w:rPr>
          <w:rFonts w:cs="Times New Roman"/>
        </w:rPr>
        <w:t>, 788 So. 2d 388 (Fla. 5</w:t>
      </w:r>
      <w:r>
        <w:rPr>
          <w:rFonts w:cs="Times New Roman"/>
          <w:vertAlign w:val="superscript"/>
        </w:rPr>
        <w:t>th</w:t>
      </w:r>
      <w:r>
        <w:rPr>
          <w:rFonts w:cs="Times New Roman"/>
        </w:rPr>
        <w:t xml:space="preserve"> DCA 2001), in which a pool contractor was hired to repair the surface of a swimming pool and replace up to six tiles.  The pool popped out of the ground when the contractor drained it which caused damage to the pool itself and to the pump, heating system, deck, screen enclosure, and surrounding landscaping.  Because Van Ginhoven was admittedly working on the entire pool at the time of the accident, and not just the specific portions of the pool he was hired to repair, his insurance did not apply to damage to the pool.  However, he was not working on the pump, heating system, deck, screen enclosure, and surrounding landscaping so these items were covered by his insurance.</w:t>
      </w:r>
    </w:p>
    <w:p w:rsidR="00541BCF" w:rsidRDefault="00541BCF" w:rsidP="00541BCF">
      <w:pPr>
        <w:jc w:val="both"/>
        <w:rPr>
          <w:rFonts w:cs="Times New Roman"/>
        </w:rPr>
      </w:pPr>
    </w:p>
    <w:p w:rsidR="00541BCF" w:rsidRDefault="00541BCF" w:rsidP="00541BCF">
      <w:pPr>
        <w:jc w:val="both"/>
        <w:rPr>
          <w:rFonts w:cs="Times New Roman"/>
        </w:rPr>
      </w:pPr>
      <w:r>
        <w:rPr>
          <w:rFonts w:cs="Times New Roman"/>
          <w:u w:val="single"/>
        </w:rPr>
        <w:t>Keddo Enterprises, LLC. V. The Florida Building Commission</w:t>
      </w:r>
      <w:r>
        <w:rPr>
          <w:rFonts w:cs="Times New Roman"/>
        </w:rPr>
        <w:t>, Florida 5</w:t>
      </w:r>
      <w:r>
        <w:rPr>
          <w:rFonts w:cs="Times New Roman"/>
          <w:vertAlign w:val="superscript"/>
        </w:rPr>
        <w:t>th</w:t>
      </w:r>
      <w:r>
        <w:rPr>
          <w:rFonts w:cs="Times New Roman"/>
        </w:rPr>
        <w:t xml:space="preserve"> DCA, Case No. 5D14-3846 (September 4, 2015).</w:t>
      </w:r>
    </w:p>
    <w:p w:rsidR="00541BCF" w:rsidRDefault="00541BCF" w:rsidP="00541BCF">
      <w:pPr>
        <w:jc w:val="both"/>
        <w:rPr>
          <w:rFonts w:cs="Times New Roman"/>
        </w:rPr>
      </w:pPr>
    </w:p>
    <w:p w:rsidR="00541BCF" w:rsidRDefault="00541BCF" w:rsidP="00541BCF">
      <w:pPr>
        <w:ind w:firstLine="720"/>
        <w:jc w:val="both"/>
        <w:rPr>
          <w:rFonts w:cs="Times New Roman"/>
        </w:rPr>
      </w:pPr>
      <w:r>
        <w:rPr>
          <w:rFonts w:cs="Times New Roman"/>
        </w:rPr>
        <w:t>Keddo Enterprises, LLC, manufactures and markets a product called “Storm Stoppers.”  This is a lightweight panel designed to be an alternative to plywood for protection against hurricanes and windstorms.  Keddo appealed an order by The Florida Building Commission that declared its product is subject to local approval.  The Court reasoned that the product had to have either state-wide approval or local approval under section 553.8425, Florida Statutes.  The Commission determined the product is not subject to statewide approval and Keddo did not appeal that decision.  The Court rejected Keddo’s argument that it should not have to have approval of a product that is applied in an emergency such as a hurricane, apparently arguing that its product should be treated like plywood which is routinely used in this manner.  The Court rejected the argument as contrary to the plain meaning of the relevant statute.</w:t>
      </w:r>
    </w:p>
    <w:p w:rsidR="009230A5" w:rsidRPr="00B972A0" w:rsidRDefault="009230A5" w:rsidP="007D14A8">
      <w:pPr>
        <w:pStyle w:val="BlockText"/>
        <w:rPr>
          <w:b/>
          <w:u w:val="single"/>
        </w:rPr>
      </w:pPr>
    </w:p>
    <w:p w:rsidR="00437958"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633037">
        <w:t xml:space="preserve"> Nothing to report.</w:t>
      </w:r>
    </w:p>
    <w:p w:rsidR="004E60B2" w:rsidRPr="004E60B2" w:rsidRDefault="004E60B2"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897F26" w:rsidP="00897F26">
      <w:pPr>
        <w:pStyle w:val="BlockText"/>
        <w:ind w:left="1440"/>
        <w:rPr>
          <w:b/>
        </w:rPr>
      </w:pPr>
      <w:r w:rsidRPr="00897F26">
        <w:rPr>
          <w:b/>
        </w:rPr>
        <w:t>A.</w:t>
      </w:r>
      <w:r>
        <w:t xml:space="preserve"> </w:t>
      </w:r>
      <w:r w:rsidR="00E1125C">
        <w:t xml:space="preserve">This board has </w:t>
      </w:r>
      <w:r w:rsidR="00052694">
        <w:t>proposed</w:t>
      </w:r>
      <w:r w:rsidR="00E1125C">
        <w:t xml:space="preserve"> </w:t>
      </w:r>
      <w:r w:rsidR="004E142A">
        <w:t>adopt</w:t>
      </w:r>
      <w:r w:rsidR="00E1125C">
        <w:t>ed, repealed</w:t>
      </w:r>
      <w:r w:rsidR="004E142A">
        <w:t xml:space="preserve"> or amend</w:t>
      </w:r>
      <w:r w:rsidR="00E1125C">
        <w:t>ed</w:t>
      </w:r>
      <w:r w:rsidR="004E142A">
        <w:t xml:space="preserve"> the following rules (if any)</w:t>
      </w:r>
      <w:r w:rsidR="00B754FE">
        <w:t>:</w:t>
      </w:r>
    </w:p>
    <w:p w:rsidR="004A46B4" w:rsidRDefault="004A46B4" w:rsidP="004A46B4">
      <w:pPr>
        <w:pStyle w:val="BlockText"/>
        <w:ind w:left="1800"/>
      </w:pPr>
    </w:p>
    <w:p w:rsidR="00B972A0" w:rsidRDefault="00B972A0" w:rsidP="00C7427B">
      <w:pPr>
        <w:pStyle w:val="BlockText"/>
        <w:numPr>
          <w:ilvl w:val="2"/>
          <w:numId w:val="18"/>
        </w:numPr>
        <w:ind w:left="2160"/>
      </w:pPr>
      <w:r w:rsidRPr="00EF2347">
        <w:rPr>
          <w:b/>
        </w:rPr>
        <w:t>Rule 61G4-15.001(1)</w:t>
      </w:r>
      <w:r w:rsidR="00C7427B">
        <w:t xml:space="preserve"> proposed amendments continued to be</w:t>
      </w:r>
      <w:r>
        <w:t xml:space="preserve"> discussed to clarify that work experience must be on “habitable” </w:t>
      </w:r>
      <w:r w:rsidR="00C7427B">
        <w:t>or “occupiable”</w:t>
      </w:r>
      <w:r>
        <w:t xml:space="preserve"> str</w:t>
      </w:r>
      <w:r w:rsidR="00C7427B">
        <w:t xml:space="preserve">uctures, </w:t>
      </w:r>
      <w:r>
        <w:t>but nothing has yet been approved for publication</w:t>
      </w:r>
      <w:r w:rsidR="00B06511">
        <w:rPr>
          <w:rStyle w:val="FootnoteReference"/>
        </w:rPr>
        <w:footnoteReference w:id="1"/>
      </w:r>
      <w:r>
        <w:t>. This proposal would also clarify the matrix of verifications that are no longer required.</w:t>
      </w:r>
    </w:p>
    <w:p w:rsidR="00BB7583" w:rsidRDefault="00BB7583" w:rsidP="00BB7583">
      <w:pPr>
        <w:pStyle w:val="BlockText"/>
        <w:ind w:left="2160"/>
      </w:pPr>
    </w:p>
    <w:p w:rsidR="00BB7583" w:rsidRDefault="00BB7583" w:rsidP="00C7427B">
      <w:pPr>
        <w:pStyle w:val="BlockText"/>
        <w:numPr>
          <w:ilvl w:val="2"/>
          <w:numId w:val="18"/>
        </w:numPr>
        <w:ind w:left="2160" w:hanging="90"/>
      </w:pPr>
      <w:r>
        <w:rPr>
          <w:b/>
        </w:rPr>
        <w:t xml:space="preserve">Rule 61G4-18.004 </w:t>
      </w:r>
      <w:r>
        <w:t>proposed to be amended to clarify requirements for the approval of Continuing Education courses</w:t>
      </w:r>
      <w:r w:rsidR="00C7427B">
        <w:t xml:space="preserve"> and to add that each subject content must be reflected in 10-minute or 25-minute intervals.</w:t>
      </w:r>
    </w:p>
    <w:p w:rsidR="00F21C36" w:rsidRPr="001776E6" w:rsidRDefault="00F21C36" w:rsidP="00F21C36">
      <w:pPr>
        <w:pStyle w:val="BlockText"/>
        <w:tabs>
          <w:tab w:val="left" w:pos="1440"/>
          <w:tab w:val="left" w:pos="1980"/>
        </w:tabs>
        <w:rPr>
          <w:b/>
        </w:rPr>
      </w:pPr>
    </w:p>
    <w:p w:rsidR="00C7427B" w:rsidRPr="00C7427B" w:rsidRDefault="00193DF7" w:rsidP="00C7427B">
      <w:pPr>
        <w:pStyle w:val="BlockText"/>
        <w:numPr>
          <w:ilvl w:val="3"/>
          <w:numId w:val="18"/>
        </w:numPr>
        <w:ind w:left="1710" w:hanging="270"/>
        <w:rPr>
          <w:b/>
        </w:rPr>
      </w:pPr>
      <w:r>
        <w:t xml:space="preserve">This board has </w:t>
      </w:r>
      <w:r w:rsidRPr="00176CCB">
        <w:rPr>
          <w:b/>
          <w:u w:val="single"/>
        </w:rPr>
        <w:t>disposed</w:t>
      </w:r>
      <w:r>
        <w:t xml:space="preserve"> of </w:t>
      </w:r>
      <w:r w:rsidR="0032443B">
        <w:t>the following Petitions for Declaratory Statement (if any):</w:t>
      </w:r>
    </w:p>
    <w:p w:rsidR="00C7427B" w:rsidRDefault="00C7427B" w:rsidP="00C7427B">
      <w:pPr>
        <w:pStyle w:val="BlockText"/>
        <w:ind w:left="1440"/>
        <w:rPr>
          <w:b/>
        </w:rPr>
      </w:pPr>
    </w:p>
    <w:p w:rsidR="00C7427B" w:rsidRPr="00CE6BAF" w:rsidRDefault="00C7427B" w:rsidP="00C7427B">
      <w:pPr>
        <w:pStyle w:val="BlockText"/>
        <w:ind w:left="2250" w:hanging="360"/>
      </w:pPr>
      <w:r>
        <w:rPr>
          <w:b/>
        </w:rPr>
        <w:t xml:space="preserve">i.   </w:t>
      </w:r>
      <w:r w:rsidRPr="00C7427B">
        <w:rPr>
          <w:b/>
        </w:rPr>
        <w:t>James Friedrichs (Hernando County Building Official)</w:t>
      </w:r>
      <w:r>
        <w:t xml:space="preserve"> – Petition filed on May 13, 2015, seeking a determination of the application of Rule 61G4-15.015(2</w:t>
      </w:r>
      <w:r w:rsidR="004C2EF7">
        <w:t>) (</w:t>
      </w:r>
      <w:r>
        <w:t>b) to panel-post and beam roofs installed by a Specialty Structure Contractor</w:t>
      </w:r>
      <w:r w:rsidRPr="00C7427B">
        <w:rPr>
          <w:b/>
        </w:rPr>
        <w:t>.</w:t>
      </w:r>
      <w:r w:rsidR="00CE6BAF">
        <w:rPr>
          <w:b/>
        </w:rPr>
        <w:t xml:space="preserve"> </w:t>
      </w:r>
      <w:r w:rsidR="00CE6BAF">
        <w:t>A motion to intervene was granted to the Florida Roofing and Sheet Metal Association, and there was many witnesses between the roofing contractors and the specialty structure contactor (aluminum), but there was no disagreement and the board granted the petition by stating that roofing contractors were required to work on “modular homes,” but that aluminum contractors could work on “manufactured housing.”</w:t>
      </w:r>
    </w:p>
    <w:p w:rsidR="00C7427B" w:rsidRDefault="00C7427B" w:rsidP="00C7427B">
      <w:pPr>
        <w:pStyle w:val="ListParagraph"/>
        <w:rPr>
          <w:b/>
        </w:rPr>
      </w:pPr>
      <w:r>
        <w:rPr>
          <w:b/>
        </w:rPr>
        <w:t xml:space="preserve"> </w:t>
      </w:r>
    </w:p>
    <w:p w:rsidR="00C7427B" w:rsidRPr="00A67E6D" w:rsidRDefault="00C7427B" w:rsidP="00C7427B">
      <w:pPr>
        <w:pStyle w:val="BlockText"/>
        <w:ind w:left="2250" w:hanging="360"/>
        <w:rPr>
          <w:b/>
        </w:rPr>
      </w:pPr>
      <w:r>
        <w:rPr>
          <w:b/>
        </w:rPr>
        <w:t xml:space="preserve">ii.  Roy Flournoy – </w:t>
      </w:r>
      <w:r>
        <w:t>Petition filed on April 23, 2015, seeking a determination of     whether s. 489.105(3) (a) allows a CGC to perform progress/draw inspections for financial institutions for the purpose of establishing the status of the construction.</w:t>
      </w:r>
      <w:r w:rsidR="00CE6BAF">
        <w:t xml:space="preserve"> The board determined that the petitioner had NO standing, and denied the petition.</w:t>
      </w:r>
    </w:p>
    <w:p w:rsidR="00C7427B" w:rsidRDefault="00C7427B" w:rsidP="00C7427B">
      <w:pPr>
        <w:pStyle w:val="ListParagraph"/>
        <w:rPr>
          <w:b/>
        </w:rPr>
      </w:pPr>
    </w:p>
    <w:p w:rsidR="00C7427B" w:rsidRPr="000C0376" w:rsidRDefault="00C7427B" w:rsidP="00C7427B">
      <w:pPr>
        <w:pStyle w:val="BlockText"/>
        <w:numPr>
          <w:ilvl w:val="2"/>
          <w:numId w:val="18"/>
        </w:numPr>
        <w:ind w:left="2250"/>
        <w:rPr>
          <w:b/>
        </w:rPr>
      </w:pPr>
      <w:r>
        <w:rPr>
          <w:b/>
        </w:rPr>
        <w:t>Stephen F. Bender/HeatEx Industries, Inc.</w:t>
      </w:r>
      <w:r>
        <w:t xml:space="preserve"> – Petition filed on June 11, 2015, seeking a determination of whether s. 489.105 requires a license for industrial welding in the repair of boilers in petrochemical and power facilities.</w:t>
      </w:r>
      <w:r w:rsidR="00CE6BAF">
        <w:t xml:space="preserve"> Petition was determined to be insufficient and standing was denied.</w:t>
      </w:r>
    </w:p>
    <w:p w:rsidR="00C7427B" w:rsidRDefault="00C7427B" w:rsidP="00C7427B">
      <w:pPr>
        <w:pStyle w:val="ListParagraph"/>
        <w:rPr>
          <w:b/>
        </w:rPr>
      </w:pPr>
    </w:p>
    <w:p w:rsidR="00C7427B" w:rsidRPr="00CE6BAF" w:rsidRDefault="00C7427B" w:rsidP="00AF1CAD">
      <w:pPr>
        <w:pStyle w:val="BlockText"/>
        <w:numPr>
          <w:ilvl w:val="2"/>
          <w:numId w:val="18"/>
        </w:numPr>
        <w:ind w:left="2250" w:hanging="90"/>
        <w:rPr>
          <w:b/>
        </w:rPr>
      </w:pPr>
      <w:r>
        <w:rPr>
          <w:b/>
        </w:rPr>
        <w:t>National Metering Services, Inc.</w:t>
      </w:r>
      <w:r>
        <w:t xml:space="preserve"> – Petition filed July 13, 2015, seeking a determination as to whether the phrase “up to and including the meter location” as used in s. 489.105(3)(n) allows an Underground Utility and Excavation Contractor to replace water meters.</w:t>
      </w:r>
      <w:r w:rsidR="00CE6BAF">
        <w:t xml:space="preserve"> Petitioner was determined to have legal standing and petition was answered in the affirmative.</w:t>
      </w:r>
    </w:p>
    <w:p w:rsidR="00CE6BAF" w:rsidRDefault="00CE6BAF" w:rsidP="00CE6BAF">
      <w:pPr>
        <w:pStyle w:val="ListParagraph"/>
        <w:rPr>
          <w:b/>
        </w:rPr>
      </w:pPr>
    </w:p>
    <w:p w:rsidR="00CE6BAF" w:rsidRPr="006077FF" w:rsidRDefault="00CE6BAF" w:rsidP="00CE6BAF">
      <w:pPr>
        <w:pStyle w:val="BlockText"/>
        <w:numPr>
          <w:ilvl w:val="2"/>
          <w:numId w:val="18"/>
        </w:numPr>
        <w:ind w:left="2250" w:hanging="90"/>
        <w:rPr>
          <w:b/>
        </w:rPr>
      </w:pPr>
      <w:r w:rsidRPr="00D03141">
        <w:rPr>
          <w:b/>
        </w:rPr>
        <w:t>Rashella R. Crofut</w:t>
      </w:r>
      <w:r>
        <w:t xml:space="preserve"> – Petition filed on April 17, 2015 seeking a determination as to the application of s</w:t>
      </w:r>
      <w:r w:rsidR="00BB3554">
        <w:t xml:space="preserve">. 489.113, F. S., </w:t>
      </w:r>
      <w:r>
        <w:t xml:space="preserve">to work experience gained under a CGC for </w:t>
      </w:r>
      <w:r w:rsidR="00BB3554">
        <w:t>an</w:t>
      </w:r>
      <w:r>
        <w:t xml:space="preserve"> Underground Utility and Excavation Contractor. By order filed on July 31, 2015, the board declined to answer the petition as being legally insufficient.</w:t>
      </w:r>
    </w:p>
    <w:p w:rsidR="00CE6BAF" w:rsidRPr="006077FF" w:rsidRDefault="00CE6BAF" w:rsidP="00CE6BAF">
      <w:pPr>
        <w:pStyle w:val="BlockText"/>
        <w:ind w:left="3240"/>
        <w:rPr>
          <w:b/>
        </w:rPr>
      </w:pPr>
    </w:p>
    <w:p w:rsidR="00CE6BAF" w:rsidRPr="0066753D" w:rsidRDefault="00D45F79" w:rsidP="00AF1CAD">
      <w:pPr>
        <w:pStyle w:val="BlockText"/>
        <w:numPr>
          <w:ilvl w:val="2"/>
          <w:numId w:val="18"/>
        </w:numPr>
        <w:ind w:left="2250" w:hanging="90"/>
        <w:rPr>
          <w:b/>
        </w:rPr>
      </w:pPr>
      <w:r>
        <w:rPr>
          <w:b/>
        </w:rPr>
        <w:t>Alliance Mechanical Solutions, LLC.</w:t>
      </w:r>
      <w:r>
        <w:t xml:space="preserve"> – Petition filed on April 6, 2015, seeking a determination of whether the installation, including fitting and welding of metal, pre-engineered pipe, with within the scope of </w:t>
      </w:r>
      <w:r w:rsidR="0066753D">
        <w:rPr>
          <w:rFonts w:asciiTheme="majorHAnsi" w:hAnsiTheme="majorHAnsi" w:cstheme="majorHAnsi"/>
        </w:rPr>
        <w:t xml:space="preserve">an </w:t>
      </w:r>
      <w:r w:rsidR="0066753D" w:rsidRPr="0066753D">
        <w:rPr>
          <w:rFonts w:cs="Times New Roman"/>
        </w:rPr>
        <w:t>Industrial Facility Specialty Contractor</w:t>
      </w:r>
      <w:r w:rsidR="0066753D">
        <w:rPr>
          <w:rFonts w:ascii="Verdana" w:hAnsi="Verdana"/>
          <w:sz w:val="17"/>
          <w:szCs w:val="17"/>
        </w:rPr>
        <w:t xml:space="preserve"> </w:t>
      </w:r>
      <w:r w:rsidR="0066753D">
        <w:rPr>
          <w:rFonts w:asciiTheme="majorHAnsi" w:hAnsiTheme="majorHAnsi" w:cstheme="majorHAnsi"/>
        </w:rPr>
        <w:t>license. By order filed on July 31, 2015, the board declined to issue a statement because the petitioner was not substantially affected and the petition is legally insufficient.</w:t>
      </w:r>
    </w:p>
    <w:p w:rsidR="0066753D" w:rsidRDefault="0066753D" w:rsidP="0066753D">
      <w:pPr>
        <w:pStyle w:val="ListParagraph"/>
        <w:rPr>
          <w:b/>
        </w:rPr>
      </w:pPr>
    </w:p>
    <w:p w:rsidR="0066753D" w:rsidRPr="0066753D" w:rsidRDefault="0066753D" w:rsidP="0066753D">
      <w:pPr>
        <w:pStyle w:val="BlockText"/>
        <w:numPr>
          <w:ilvl w:val="2"/>
          <w:numId w:val="18"/>
        </w:numPr>
        <w:ind w:left="2250"/>
        <w:rPr>
          <w:b/>
        </w:rPr>
      </w:pPr>
      <w:r>
        <w:rPr>
          <w:b/>
        </w:rPr>
        <w:t>Jeffery M. Roderwald</w:t>
      </w:r>
      <w:r>
        <w:t xml:space="preserve"> – Petition filed on May 18, 2015, seeking a determination of whether a residential contractor can perform work on a unit that is within a two-story building containing multiple units. </w:t>
      </w:r>
      <w:r>
        <w:rPr>
          <w:rFonts w:asciiTheme="majorHAnsi" w:hAnsiTheme="majorHAnsi" w:cstheme="majorHAnsi"/>
        </w:rPr>
        <w:t>By order filed on July 31, 2015, the board declined to issue a statement because the petitioner was not substantially affected and the petition is legally insufficient.</w:t>
      </w:r>
    </w:p>
    <w:p w:rsidR="00BB7583" w:rsidRPr="00BB7583" w:rsidRDefault="00BB7583" w:rsidP="00176CCB">
      <w:pPr>
        <w:pStyle w:val="BlockText"/>
        <w:tabs>
          <w:tab w:val="left" w:pos="1980"/>
        </w:tabs>
        <w:rPr>
          <w:b/>
        </w:rPr>
      </w:pPr>
    </w:p>
    <w:p w:rsidR="00DE67A8" w:rsidRPr="001D5776" w:rsidRDefault="00897F26" w:rsidP="001D5776">
      <w:pPr>
        <w:pStyle w:val="BlockText"/>
        <w:numPr>
          <w:ilvl w:val="0"/>
          <w:numId w:val="43"/>
        </w:numPr>
        <w:rPr>
          <w:b/>
        </w:rPr>
      </w:pPr>
      <w:r>
        <w:t>This</w:t>
      </w:r>
      <w:r w:rsidR="0032443B">
        <w:t xml:space="preserve"> board has </w:t>
      </w:r>
      <w:r w:rsidR="00193DF7" w:rsidRPr="00176CCB">
        <w:rPr>
          <w:b/>
          <w:u w:val="single"/>
        </w:rPr>
        <w:t>received</w:t>
      </w:r>
      <w:r w:rsidR="002558FB">
        <w:t xml:space="preserve"> of the following </w:t>
      </w:r>
      <w:r w:rsidR="009F7BC1">
        <w:t>Peti</w:t>
      </w:r>
      <w:r w:rsidR="0032443B">
        <w:t>tions for Declaratory Statement (if any)</w:t>
      </w:r>
      <w:r w:rsidR="009F7BC1">
        <w:t>:</w:t>
      </w:r>
      <w:r w:rsidR="00193DF7">
        <w:t xml:space="preserve"> </w:t>
      </w:r>
    </w:p>
    <w:p w:rsidR="009D54A5" w:rsidRPr="00E81A71" w:rsidRDefault="009D54A5" w:rsidP="00E81A71">
      <w:pPr>
        <w:rPr>
          <w:b/>
        </w:rPr>
      </w:pPr>
    </w:p>
    <w:p w:rsidR="009D54A5" w:rsidRPr="006B0C29" w:rsidRDefault="006B0C29" w:rsidP="00897F26">
      <w:pPr>
        <w:pStyle w:val="BlockText"/>
        <w:numPr>
          <w:ilvl w:val="2"/>
          <w:numId w:val="43"/>
        </w:numPr>
        <w:ind w:left="2160" w:hanging="270"/>
        <w:rPr>
          <w:b/>
        </w:rPr>
      </w:pPr>
      <w:r>
        <w:rPr>
          <w:b/>
        </w:rPr>
        <w:t>Albixon USA, LLC</w:t>
      </w:r>
      <w:r>
        <w:t xml:space="preserve"> – Petition filed on August 14</w:t>
      </w:r>
      <w:r w:rsidR="009D54A5">
        <w:t xml:space="preserve">, 2015, seeking a determination of whether a certified </w:t>
      </w:r>
      <w:r>
        <w:t>pool contractor can legally install pool equipment and pool heaters.</w:t>
      </w:r>
    </w:p>
    <w:p w:rsidR="006B0C29" w:rsidRPr="006B0C29" w:rsidRDefault="006B0C29" w:rsidP="006B0C29">
      <w:pPr>
        <w:pStyle w:val="BlockText"/>
        <w:ind w:left="2160"/>
        <w:rPr>
          <w:b/>
        </w:rPr>
      </w:pPr>
    </w:p>
    <w:p w:rsidR="006B0C29" w:rsidRPr="006B0C29" w:rsidRDefault="006B0C29" w:rsidP="006B0C29">
      <w:pPr>
        <w:pStyle w:val="BlockText"/>
        <w:numPr>
          <w:ilvl w:val="2"/>
          <w:numId w:val="43"/>
        </w:numPr>
        <w:ind w:left="2160"/>
        <w:rPr>
          <w:b/>
        </w:rPr>
      </w:pPr>
      <w:r>
        <w:rPr>
          <w:b/>
        </w:rPr>
        <w:t xml:space="preserve">Jacob Ragsdale - </w:t>
      </w:r>
      <w:r w:rsidR="001D5776">
        <w:t>Petition filed on August 17</w:t>
      </w:r>
      <w:r>
        <w:t>, 2015, seeking a de</w:t>
      </w:r>
      <w:r w:rsidR="001D5776">
        <w:t>finition of 25 tons in any one system.</w:t>
      </w:r>
    </w:p>
    <w:p w:rsidR="00173BB8" w:rsidRDefault="00173BB8" w:rsidP="001D5776">
      <w:pPr>
        <w:pStyle w:val="BlockText"/>
        <w:rPr>
          <w:b/>
        </w:rPr>
      </w:pPr>
    </w:p>
    <w:p w:rsidR="008C30E6" w:rsidRDefault="009F7BC1" w:rsidP="00897F26">
      <w:pPr>
        <w:pStyle w:val="BlockText"/>
        <w:numPr>
          <w:ilvl w:val="0"/>
          <w:numId w:val="43"/>
        </w:numPr>
      </w:pPr>
      <w:r>
        <w:t xml:space="preserve">This board has </w:t>
      </w:r>
      <w:r w:rsidRPr="00897F26">
        <w:rPr>
          <w:b/>
          <w:u w:val="single"/>
        </w:rPr>
        <w:t>received or disposed</w:t>
      </w:r>
      <w:r>
        <w:t xml:space="preserve"> of the following </w:t>
      </w:r>
      <w:r w:rsidR="002558FB">
        <w:t>Petition</w:t>
      </w:r>
      <w:r>
        <w:t>s</w:t>
      </w:r>
      <w:r w:rsidR="004E142A">
        <w:t xml:space="preserve"> for Va</w:t>
      </w:r>
      <w:r w:rsidR="0092555A">
        <w:t>riance or Waiver</w:t>
      </w:r>
      <w:r w:rsidR="00BB6D12">
        <w:t xml:space="preserve"> (if any):</w:t>
      </w:r>
      <w:r w:rsidR="00530BF1">
        <w:t xml:space="preserve"> </w:t>
      </w:r>
    </w:p>
    <w:p w:rsidR="008C30E6" w:rsidRDefault="008C30E6" w:rsidP="008C30E6">
      <w:pPr>
        <w:pStyle w:val="BlockText"/>
        <w:ind w:left="1800"/>
      </w:pP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BD45AE">
        <w:t xml:space="preserve">: </w:t>
      </w:r>
    </w:p>
    <w:p w:rsidR="00F2420F" w:rsidRDefault="00F2420F" w:rsidP="00F2420F">
      <w:pPr>
        <w:pStyle w:val="BlockText"/>
        <w:ind w:left="1080"/>
      </w:pPr>
    </w:p>
    <w:p w:rsidR="009855ED" w:rsidRDefault="00897F26" w:rsidP="00897F26">
      <w:pPr>
        <w:pStyle w:val="BlockText"/>
        <w:ind w:left="1890" w:hanging="450"/>
      </w:pPr>
      <w:r w:rsidRPr="00897F26">
        <w:rPr>
          <w:b/>
        </w:rPr>
        <w:t>A</w:t>
      </w:r>
      <w:r w:rsidR="00663A8E" w:rsidRPr="00897F26">
        <w:rPr>
          <w:b/>
        </w:rPr>
        <w:t>.</w:t>
      </w:r>
      <w:r w:rsidR="00663A8E">
        <w:t xml:space="preserve"> </w:t>
      </w:r>
      <w:r>
        <w:t xml:space="preserve"> </w:t>
      </w:r>
      <w:r w:rsidR="00BD45AE">
        <w:t xml:space="preserve">This board has </w:t>
      </w:r>
      <w:r w:rsidR="00BE7523">
        <w:t>proposed</w:t>
      </w:r>
      <w:r w:rsidR="00BD45AE">
        <w:t xml:space="preserve"> adopted, repealed or amended the following rules (if any):</w:t>
      </w:r>
    </w:p>
    <w:p w:rsidR="005510CD" w:rsidRDefault="009855ED" w:rsidP="005510CD">
      <w:pPr>
        <w:pStyle w:val="BlockText"/>
        <w:ind w:left="2160" w:hanging="720"/>
      </w:pPr>
      <w:r>
        <w:t xml:space="preserve">      </w:t>
      </w:r>
      <w:r w:rsidR="00DB4628">
        <w:t>None to report.</w:t>
      </w:r>
    </w:p>
    <w:p w:rsidR="005510CD" w:rsidRDefault="005510CD" w:rsidP="005510CD">
      <w:pPr>
        <w:pStyle w:val="BlockText"/>
        <w:ind w:left="2160" w:hanging="720"/>
      </w:pPr>
    </w:p>
    <w:p w:rsidR="001D5776" w:rsidRDefault="004E142A" w:rsidP="00360AA3">
      <w:pPr>
        <w:pStyle w:val="BlockText"/>
        <w:numPr>
          <w:ilvl w:val="3"/>
          <w:numId w:val="18"/>
        </w:numPr>
        <w:ind w:left="1800"/>
      </w:pPr>
      <w:r>
        <w:t xml:space="preserve">This board has received or disposed of the following Petitions for </w:t>
      </w:r>
      <w:r w:rsidR="00DB4628">
        <w:t>Declaratory Statement (if any):</w:t>
      </w:r>
      <w:r w:rsidR="00360AA3">
        <w:t xml:space="preserve"> </w:t>
      </w:r>
      <w:r w:rsidR="001D5776" w:rsidRPr="00360AA3">
        <w:rPr>
          <w:b/>
        </w:rPr>
        <w:t xml:space="preserve">William E. Groves </w:t>
      </w:r>
      <w:r w:rsidR="001D5776">
        <w:t>– Petition filed on April 24</w:t>
      </w:r>
      <w:r w:rsidR="00360AA3">
        <w:t>, 2015, seeking an interpretation of section 489.505(12) as to whether a license is required for contract work for a public utility. By order filed on July 17, 2015, the board answered the petition in the affirmative.</w:t>
      </w:r>
    </w:p>
    <w:p w:rsidR="00530BF1" w:rsidRDefault="00530BF1" w:rsidP="00530BF1">
      <w:pPr>
        <w:pStyle w:val="BlockText"/>
        <w:ind w:left="1800" w:hanging="360"/>
      </w:pPr>
    </w:p>
    <w:p w:rsidR="00F2420F" w:rsidRPr="00360AA3" w:rsidRDefault="00897F26" w:rsidP="00530BF1">
      <w:pPr>
        <w:pStyle w:val="BlockText"/>
        <w:ind w:left="1800" w:hanging="360"/>
      </w:pPr>
      <w:r w:rsidRPr="00897F26">
        <w:rPr>
          <w:b/>
        </w:rPr>
        <w:t>C</w:t>
      </w:r>
      <w:r w:rsidR="00530BF1" w:rsidRPr="00897F26">
        <w:rPr>
          <w:b/>
        </w:rPr>
        <w:t>.</w:t>
      </w:r>
      <w:r w:rsidR="00530BF1">
        <w:t xml:space="preserve"> </w:t>
      </w:r>
      <w:r w:rsidR="004E142A">
        <w:t xml:space="preserve">This board has received or disposed of the following Petitions for </w:t>
      </w:r>
      <w:r w:rsidR="009E2A70">
        <w:t>Va</w:t>
      </w:r>
      <w:r w:rsidR="00CB169A">
        <w:t xml:space="preserve">riance or Waiver </w:t>
      </w:r>
      <w:r w:rsidR="00DB4628">
        <w:t>(if any</w:t>
      </w:r>
      <w:r w:rsidR="006960B4">
        <w:t xml:space="preserve">): </w:t>
      </w:r>
      <w:r w:rsidR="006960B4" w:rsidRPr="00360AA3">
        <w:rPr>
          <w:b/>
        </w:rPr>
        <w:t>Simon P. Salgado</w:t>
      </w:r>
      <w:r w:rsidR="00360AA3">
        <w:t xml:space="preserve"> – Petition filed on June 12, 2015, </w:t>
      </w:r>
      <w:r w:rsidR="006960B4">
        <w:t>regarding Rule 61G6-6.017, which requires for certification that a passing examination score on any part is valid for a period of only two (2) years.</w:t>
      </w:r>
      <w:r w:rsidR="00360AA3">
        <w:t xml:space="preserve"> By order filed on July 17, 2015, the board denied the petition for failure of the petitioner to show substantial hardship on him.</w:t>
      </w:r>
    </w:p>
    <w:p w:rsidR="005510CD" w:rsidRPr="00F917FF" w:rsidRDefault="005510CD" w:rsidP="005510CD">
      <w:pPr>
        <w:pStyle w:val="BlockText"/>
        <w:tabs>
          <w:tab w:val="left" w:pos="2430"/>
        </w:tabs>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6D1C4E">
      <w:pPr>
        <w:pStyle w:val="BlockText"/>
        <w:numPr>
          <w:ilvl w:val="4"/>
          <w:numId w:val="11"/>
        </w:numPr>
        <w:tabs>
          <w:tab w:val="left" w:pos="1710"/>
        </w:tabs>
        <w:ind w:left="1710" w:hanging="270"/>
      </w:pPr>
      <w:r>
        <w:t>This board has proposed, adopted, repealed or ame</w:t>
      </w:r>
      <w:r w:rsidR="000B1E71">
        <w:t>nded the following rules</w:t>
      </w:r>
      <w:r w:rsidR="00297D0C">
        <w:t xml:space="preserve"> (if any)</w:t>
      </w:r>
      <w:r w:rsidR="000B1E71">
        <w:t xml:space="preserve">: </w:t>
      </w:r>
      <w:r w:rsidR="00F21C36">
        <w:t xml:space="preserve"> </w:t>
      </w:r>
      <w:r w:rsidR="00D500CC">
        <w:t xml:space="preserve">None noticed. </w:t>
      </w:r>
    </w:p>
    <w:p w:rsidR="00AC4FD0" w:rsidRDefault="00AC4FD0" w:rsidP="00AC4FD0">
      <w:pPr>
        <w:pStyle w:val="BlockText"/>
        <w:ind w:left="1800"/>
      </w:pPr>
    </w:p>
    <w:p w:rsidR="004E142A" w:rsidRDefault="004E142A" w:rsidP="006D1C4E">
      <w:pPr>
        <w:pStyle w:val="BlockText"/>
        <w:numPr>
          <w:ilvl w:val="4"/>
          <w:numId w:val="11"/>
        </w:numPr>
        <w:ind w:left="1710" w:hanging="270"/>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6D1C4E">
      <w:pPr>
        <w:pStyle w:val="BlockText"/>
        <w:numPr>
          <w:ilvl w:val="4"/>
          <w:numId w:val="11"/>
        </w:numPr>
        <w:ind w:left="1710" w:hanging="270"/>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7B2FC8">
      <w:pPr>
        <w:pStyle w:val="BlockText"/>
        <w:numPr>
          <w:ilvl w:val="0"/>
          <w:numId w:val="11"/>
        </w:numPr>
      </w:pPr>
      <w:r w:rsidRPr="00E81A71">
        <w:rPr>
          <w:b/>
          <w:u w:val="single"/>
        </w:rPr>
        <w:t>Board of Landscape Architecture</w:t>
      </w:r>
      <w:r>
        <w:t xml:space="preserve"> – Chapter 481, Part II, FS and 61G10 FAC: </w:t>
      </w:r>
    </w:p>
    <w:p w:rsidR="00B52A30" w:rsidRDefault="00B52A30" w:rsidP="00B52A30">
      <w:pPr>
        <w:pStyle w:val="BlockText"/>
        <w:ind w:left="1080"/>
      </w:pPr>
    </w:p>
    <w:p w:rsidR="00271329" w:rsidRDefault="00B52A30" w:rsidP="00E519F0">
      <w:pPr>
        <w:pStyle w:val="BlockText"/>
        <w:numPr>
          <w:ilvl w:val="1"/>
          <w:numId w:val="11"/>
        </w:numPr>
        <w:tabs>
          <w:tab w:val="left" w:pos="1440"/>
        </w:tabs>
      </w:pPr>
      <w:r>
        <w:t>This board has proposed, adopted, repealed or amended the following rules</w:t>
      </w:r>
      <w:r w:rsidR="00CF569B">
        <w:t xml:space="preserve"> (both of which appear to be </w:t>
      </w:r>
      <w:r w:rsidR="00CF569B" w:rsidRPr="00360AA3">
        <w:rPr>
          <w:u w:val="single"/>
        </w:rPr>
        <w:t>still</w:t>
      </w:r>
      <w:r w:rsidR="00CF569B">
        <w:t xml:space="preserve"> pending)</w:t>
      </w:r>
      <w:r>
        <w:t>:</w:t>
      </w:r>
    </w:p>
    <w:p w:rsidR="00E519F0" w:rsidRDefault="00E519F0" w:rsidP="00E519F0">
      <w:pPr>
        <w:pStyle w:val="BlockText"/>
        <w:tabs>
          <w:tab w:val="left" w:pos="1440"/>
        </w:tabs>
        <w:ind w:left="1890"/>
      </w:pPr>
    </w:p>
    <w:p w:rsidR="00B52A30" w:rsidRDefault="00D4023D" w:rsidP="006D1C4E">
      <w:pPr>
        <w:pStyle w:val="BlockText"/>
        <w:numPr>
          <w:ilvl w:val="2"/>
          <w:numId w:val="11"/>
        </w:numPr>
        <w:ind w:left="2340"/>
      </w:pPr>
      <w:r>
        <w:t xml:space="preserve">Rule 61G10-11.010 regarding seals is being amended to remove the requirement for “impression type metal seals.” </w:t>
      </w:r>
    </w:p>
    <w:p w:rsidR="00D4023D" w:rsidRDefault="00D4023D" w:rsidP="00D4023D">
      <w:pPr>
        <w:pStyle w:val="BlockText"/>
        <w:ind w:left="2520"/>
      </w:pPr>
    </w:p>
    <w:p w:rsidR="00D4023D" w:rsidRDefault="00D4023D" w:rsidP="006D1C4E">
      <w:pPr>
        <w:pStyle w:val="BlockText"/>
        <w:numPr>
          <w:ilvl w:val="2"/>
          <w:numId w:val="11"/>
        </w:numPr>
        <w:ind w:left="2340"/>
      </w:pPr>
      <w:r>
        <w:t>Rule 61G10-18.002, .003 and .006 regarding continuing education provides and course approvals.</w:t>
      </w:r>
    </w:p>
    <w:p w:rsidR="00E66237" w:rsidRDefault="00E66237" w:rsidP="00E66237">
      <w:pPr>
        <w:pStyle w:val="BlockText"/>
        <w:ind w:left="2520"/>
      </w:pPr>
    </w:p>
    <w:p w:rsidR="00B52A30" w:rsidRDefault="00B52A30" w:rsidP="006D1C4E">
      <w:pPr>
        <w:pStyle w:val="BlockText"/>
        <w:numPr>
          <w:ilvl w:val="1"/>
          <w:numId w:val="11"/>
        </w:numPr>
        <w:ind w:left="1800"/>
      </w:pPr>
      <w:r>
        <w:t>This board has received or disposed of the following Petitions for Declaratory Statement (if any): None noticed.</w:t>
      </w:r>
    </w:p>
    <w:p w:rsidR="00B52A30" w:rsidRDefault="00B52A30" w:rsidP="00B52A30">
      <w:pPr>
        <w:pStyle w:val="ListParagraph"/>
      </w:pPr>
    </w:p>
    <w:p w:rsidR="009855ED" w:rsidRDefault="00B52A30" w:rsidP="006D1C4E">
      <w:pPr>
        <w:pStyle w:val="BlockText"/>
        <w:numPr>
          <w:ilvl w:val="1"/>
          <w:numId w:val="11"/>
        </w:numPr>
        <w:ind w:left="1800"/>
      </w:pPr>
      <w:r>
        <w:t>This board has received or disposed of the following Petitions for Variance o</w:t>
      </w:r>
      <w:r w:rsidR="00D4023D">
        <w:t xml:space="preserve">r Waiver (if any): </w:t>
      </w:r>
      <w:r w:rsidR="009855ED">
        <w:t>None noticed.</w:t>
      </w:r>
    </w:p>
    <w:p w:rsidR="007D2675" w:rsidRDefault="007D2675" w:rsidP="007D2675">
      <w:pPr>
        <w:pStyle w:val="ListParagraph"/>
      </w:pPr>
    </w:p>
    <w:p w:rsidR="00E519F0" w:rsidRPr="00CC4315" w:rsidRDefault="00E519F0" w:rsidP="00E519F0">
      <w:pPr>
        <w:pStyle w:val="BlockText"/>
      </w:pPr>
    </w:p>
    <w:p w:rsidR="004E142A" w:rsidRDefault="004E142A" w:rsidP="009855ED">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B70C4" w:rsidRDefault="00E519F0" w:rsidP="00E519F0">
      <w:pPr>
        <w:pStyle w:val="BlockText"/>
        <w:ind w:left="1440"/>
      </w:pPr>
      <w:r w:rsidRPr="00E519F0">
        <w:rPr>
          <w:b/>
        </w:rPr>
        <w:t>A.</w:t>
      </w:r>
      <w:r>
        <w:t xml:space="preserve">  </w:t>
      </w:r>
      <w:r w:rsidR="00E1125C">
        <w:t xml:space="preserve">This board has </w:t>
      </w:r>
      <w:r w:rsidR="004204AE">
        <w:t>proposed</w:t>
      </w:r>
      <w:r w:rsidR="00E1125C">
        <w:t xml:space="preserve"> adopted, repealed or amended</w:t>
      </w:r>
      <w:r w:rsidR="00B73DBD">
        <w:t xml:space="preserve"> the followin</w:t>
      </w:r>
      <w:r w:rsidR="00434B55">
        <w:t>g rules (if any):</w:t>
      </w:r>
      <w:r w:rsidR="00DD5289">
        <w:t xml:space="preserve"> </w:t>
      </w:r>
    </w:p>
    <w:p w:rsidR="004E572B" w:rsidRDefault="004E572B" w:rsidP="00466AD0">
      <w:pPr>
        <w:pStyle w:val="BlockText"/>
      </w:pPr>
    </w:p>
    <w:p w:rsidR="004E572B" w:rsidRDefault="00466AD0" w:rsidP="004E572B">
      <w:pPr>
        <w:pStyle w:val="BlockText"/>
        <w:numPr>
          <w:ilvl w:val="2"/>
          <w:numId w:val="20"/>
        </w:numPr>
        <w:ind w:left="2160"/>
      </w:pPr>
      <w:r>
        <w:rPr>
          <w:b/>
        </w:rPr>
        <w:t>Rules 61G15-20.</w:t>
      </w:r>
      <w:r w:rsidR="004E572B">
        <w:rPr>
          <w:b/>
        </w:rPr>
        <w:t>007</w:t>
      </w:r>
      <w:r>
        <w:t>, regarding educational requirements,</w:t>
      </w:r>
      <w:r w:rsidR="004E572B">
        <w:rPr>
          <w:b/>
        </w:rPr>
        <w:t xml:space="preserve"> </w:t>
      </w:r>
      <w:r>
        <w:t>has</w:t>
      </w:r>
      <w:r w:rsidR="004E572B">
        <w:t xml:space="preserve"> been noticed for c</w:t>
      </w:r>
      <w:r>
        <w:t>hange based on comments from the public hearing held on August 12, 2015, to add “by naturalization” for the 10 credit hours earned for obtaining U. S. citizenship.</w:t>
      </w:r>
    </w:p>
    <w:p w:rsidR="004E572B" w:rsidRDefault="004E572B" w:rsidP="004E572B">
      <w:pPr>
        <w:pStyle w:val="ListParagraph"/>
      </w:pPr>
    </w:p>
    <w:p w:rsidR="004E572B" w:rsidRDefault="00466AD0" w:rsidP="004E572B">
      <w:pPr>
        <w:pStyle w:val="BlockText"/>
        <w:numPr>
          <w:ilvl w:val="2"/>
          <w:numId w:val="20"/>
        </w:numPr>
        <w:ind w:left="2160"/>
      </w:pPr>
      <w:r>
        <w:rPr>
          <w:b/>
        </w:rPr>
        <w:t>Rule 61G15-21.007</w:t>
      </w:r>
      <w:r w:rsidR="004E572B" w:rsidRPr="000B43A9">
        <w:t>,</w:t>
      </w:r>
      <w:r w:rsidR="005D70E7" w:rsidRPr="000B43A9">
        <w:t xml:space="preserve"> </w:t>
      </w:r>
      <w:r w:rsidR="005D70E7">
        <w:t>regarding licensure by e</w:t>
      </w:r>
      <w:r w:rsidR="004E572B">
        <w:t>xamination, has been changed</w:t>
      </w:r>
      <w:r>
        <w:t xml:space="preserve"> based on comments dated June 17, 2015, from the legislature’s Joint Legislative Procedures Committee (“JAPC”),</w:t>
      </w:r>
      <w:r w:rsidR="004E572B">
        <w:t xml:space="preserve"> </w:t>
      </w:r>
      <w:r>
        <w:t>to remove duplicative language</w:t>
      </w:r>
      <w:r w:rsidR="004E572B">
        <w:t>.</w:t>
      </w:r>
    </w:p>
    <w:p w:rsidR="000B43A9" w:rsidRDefault="000B43A9" w:rsidP="000B43A9">
      <w:pPr>
        <w:pStyle w:val="ListParagraph"/>
      </w:pPr>
    </w:p>
    <w:p w:rsidR="000B43A9" w:rsidRDefault="000B43A9" w:rsidP="004E572B">
      <w:pPr>
        <w:pStyle w:val="BlockText"/>
        <w:numPr>
          <w:ilvl w:val="2"/>
          <w:numId w:val="20"/>
        </w:numPr>
        <w:ind w:left="2160"/>
      </w:pPr>
      <w:r>
        <w:rPr>
          <w:b/>
        </w:rPr>
        <w:t>Rule 61G15-0001-.012</w:t>
      </w:r>
      <w:r>
        <w:t>, regarding renewal of licenses and continuing education requirements and credits, is modified to change the identity of the registered CE provider, and to change the obligations of that provider.</w:t>
      </w:r>
    </w:p>
    <w:p w:rsidR="00784A25" w:rsidRDefault="00784A25" w:rsidP="007E7F26">
      <w:pPr>
        <w:pStyle w:val="BlockText"/>
      </w:pPr>
    </w:p>
    <w:p w:rsidR="00784A25" w:rsidRDefault="00784A25" w:rsidP="000B70C4">
      <w:pPr>
        <w:pStyle w:val="BlockText"/>
        <w:numPr>
          <w:ilvl w:val="2"/>
          <w:numId w:val="20"/>
        </w:numPr>
        <w:ind w:left="2160"/>
      </w:pPr>
      <w:r w:rsidRPr="00784A25">
        <w:rPr>
          <w:b/>
        </w:rPr>
        <w:t>R</w:t>
      </w:r>
      <w:r w:rsidR="007E7F26">
        <w:rPr>
          <w:b/>
        </w:rPr>
        <w:t>ule 61G15-35.004</w:t>
      </w:r>
      <w:r>
        <w:t xml:space="preserve">, regarding </w:t>
      </w:r>
      <w:r w:rsidR="007E7F26">
        <w:t xml:space="preserve">common requirements for all engineers acting as </w:t>
      </w:r>
      <w:r>
        <w:t xml:space="preserve">Special Inspectors of Threshold Buildings, is being </w:t>
      </w:r>
      <w:r w:rsidR="007E7F26">
        <w:t>noticed for change based on comments dated June 5, 2015, from the legislature’s Joint Legislative Procedures Committee (“JAPC”)</w:t>
      </w:r>
      <w:r>
        <w:t>.</w:t>
      </w:r>
    </w:p>
    <w:p w:rsidR="00B73DBD" w:rsidRDefault="00B73DBD" w:rsidP="00775D28">
      <w:pPr>
        <w:pStyle w:val="BlockText"/>
      </w:pPr>
    </w:p>
    <w:p w:rsidR="00E3126D" w:rsidRDefault="007D2675" w:rsidP="007E7F26">
      <w:pPr>
        <w:pStyle w:val="BlockText"/>
        <w:numPr>
          <w:ilvl w:val="0"/>
          <w:numId w:val="49"/>
        </w:numPr>
        <w:tabs>
          <w:tab w:val="left" w:pos="1620"/>
        </w:tabs>
      </w:pPr>
      <w:r>
        <w:t xml:space="preserve"> </w:t>
      </w:r>
      <w:r w:rsidR="009E2A70">
        <w:t xml:space="preserve">This board has received or disposed of the following Petitions for </w:t>
      </w:r>
      <w:r w:rsidR="00052694">
        <w:t>Declaratory Statement</w:t>
      </w:r>
      <w:r w:rsidR="00003119">
        <w:t xml:space="preserve"> (if any</w:t>
      </w:r>
      <w:r w:rsidR="00775D28">
        <w:t>): None published</w:t>
      </w:r>
      <w:r w:rsidR="00E66237">
        <w:t>.</w:t>
      </w:r>
    </w:p>
    <w:p w:rsidR="000B0D3F" w:rsidRDefault="000B0D3F" w:rsidP="000B0D3F">
      <w:pPr>
        <w:pStyle w:val="BlockText"/>
        <w:ind w:left="1800"/>
      </w:pPr>
    </w:p>
    <w:p w:rsidR="00CC1B0F" w:rsidRDefault="000B0D3F" w:rsidP="007D2675">
      <w:pPr>
        <w:pStyle w:val="BlockText"/>
        <w:numPr>
          <w:ilvl w:val="0"/>
          <w:numId w:val="49"/>
        </w:numPr>
      </w:pPr>
      <w:r>
        <w:t>This board has received or disposed of the following Petitions for Variance or Waiver (i</w:t>
      </w:r>
      <w:r w:rsidR="00B73DBD">
        <w:t>f any):</w:t>
      </w:r>
      <w:r w:rsidR="00034306">
        <w:t xml:space="preserve"> </w:t>
      </w:r>
      <w:r w:rsidR="00775D28">
        <w:t>None published.</w:t>
      </w:r>
    </w:p>
    <w:p w:rsidR="000B0D3F" w:rsidRDefault="000B0D3F" w:rsidP="000B0D3F">
      <w:pPr>
        <w:pStyle w:val="BlockText"/>
      </w:pPr>
    </w:p>
    <w:p w:rsidR="004E142A" w:rsidRDefault="004E142A" w:rsidP="007B2FC8">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4E142A" w:rsidRDefault="00E1125C" w:rsidP="00EC3D04">
      <w:pPr>
        <w:pStyle w:val="BlockText"/>
        <w:numPr>
          <w:ilvl w:val="1"/>
          <w:numId w:val="11"/>
        </w:numPr>
        <w:ind w:hanging="540"/>
      </w:pPr>
      <w:r>
        <w:t xml:space="preserve">This board has proposed, adopted, repealed or amended the following rules (if </w:t>
      </w:r>
      <w:r w:rsidR="00E519F0">
        <w:t xml:space="preserve">        </w:t>
      </w:r>
      <w:r>
        <w:t>any):</w:t>
      </w:r>
    </w:p>
    <w:p w:rsidR="00D0142A" w:rsidRDefault="00D0142A" w:rsidP="00D0142A">
      <w:pPr>
        <w:pStyle w:val="BlockText"/>
        <w:ind w:left="1890"/>
      </w:pPr>
    </w:p>
    <w:p w:rsidR="001C7B0D" w:rsidRDefault="001C7B0D" w:rsidP="00B46596">
      <w:pPr>
        <w:pStyle w:val="BlockText"/>
        <w:numPr>
          <w:ilvl w:val="2"/>
          <w:numId w:val="11"/>
        </w:numPr>
        <w:ind w:hanging="360"/>
      </w:pPr>
      <w:r w:rsidRPr="00D0142A">
        <w:rPr>
          <w:b/>
        </w:rPr>
        <w:t>Rule 61G19-6.008</w:t>
      </w:r>
      <w:r>
        <w:t>, regarding reexamination, is being amended to remove obsolete and repetitive language.</w:t>
      </w:r>
    </w:p>
    <w:p w:rsidR="00D0142A" w:rsidRDefault="00D0142A" w:rsidP="00D0142A">
      <w:pPr>
        <w:pStyle w:val="BlockText"/>
      </w:pPr>
    </w:p>
    <w:p w:rsidR="00D0142A" w:rsidRDefault="00D0142A" w:rsidP="00B46596">
      <w:pPr>
        <w:pStyle w:val="BlockText"/>
        <w:numPr>
          <w:ilvl w:val="2"/>
          <w:numId w:val="11"/>
        </w:numPr>
        <w:ind w:hanging="360"/>
      </w:pPr>
      <w:r w:rsidRPr="00D0142A">
        <w:rPr>
          <w:b/>
        </w:rPr>
        <w:t>Rule 61G19-7.002</w:t>
      </w:r>
      <w:r>
        <w:t>, regarding training program providers, is being updated as to the location of department forms.</w:t>
      </w:r>
    </w:p>
    <w:p w:rsidR="00D0142A" w:rsidRDefault="00D0142A" w:rsidP="00D0142A">
      <w:pPr>
        <w:pStyle w:val="BlockText"/>
        <w:ind w:left="2520"/>
      </w:pPr>
    </w:p>
    <w:p w:rsidR="00EC3D04" w:rsidRDefault="00D0142A" w:rsidP="00B46596">
      <w:pPr>
        <w:pStyle w:val="BlockText"/>
        <w:numPr>
          <w:ilvl w:val="2"/>
          <w:numId w:val="11"/>
        </w:numPr>
        <w:ind w:hanging="360"/>
      </w:pPr>
      <w:r w:rsidRPr="00D0142A">
        <w:rPr>
          <w:b/>
        </w:rPr>
        <w:t>Rule 61G19-7.004</w:t>
      </w:r>
      <w:r>
        <w:t>, regarding approval of training programs, is being updated as to the location of department forms.</w:t>
      </w:r>
    </w:p>
    <w:p w:rsidR="00D0142A" w:rsidRDefault="00D0142A" w:rsidP="00EC3D04">
      <w:pPr>
        <w:pStyle w:val="BlockText"/>
        <w:ind w:left="2520"/>
      </w:pPr>
    </w:p>
    <w:p w:rsidR="00D0142A" w:rsidRDefault="00D0142A" w:rsidP="00B46596">
      <w:pPr>
        <w:pStyle w:val="BlockText"/>
        <w:numPr>
          <w:ilvl w:val="2"/>
          <w:numId w:val="11"/>
        </w:numPr>
        <w:ind w:hanging="360"/>
      </w:pPr>
      <w:r w:rsidRPr="00D0142A">
        <w:rPr>
          <w:b/>
        </w:rPr>
        <w:t>Rule</w:t>
      </w:r>
      <w:r>
        <w:t xml:space="preserve"> </w:t>
      </w:r>
      <w:r w:rsidRPr="00D0142A">
        <w:rPr>
          <w:b/>
        </w:rPr>
        <w:t>61G19-9.003</w:t>
      </w:r>
      <w:r>
        <w:t>, regarding registration of course providers, is being updated as to the location of department forms.</w:t>
      </w:r>
    </w:p>
    <w:p w:rsidR="00D0142A" w:rsidRDefault="00D0142A" w:rsidP="00D0142A">
      <w:pPr>
        <w:pStyle w:val="BlockText"/>
      </w:pPr>
    </w:p>
    <w:p w:rsidR="00D0142A" w:rsidRDefault="00D0142A" w:rsidP="00B46596">
      <w:pPr>
        <w:pStyle w:val="BlockText"/>
        <w:numPr>
          <w:ilvl w:val="2"/>
          <w:numId w:val="11"/>
        </w:numPr>
        <w:ind w:hanging="360"/>
      </w:pPr>
      <w:r w:rsidRPr="00D0142A">
        <w:rPr>
          <w:b/>
        </w:rPr>
        <w:t>Rule 61G19-9.004</w:t>
      </w:r>
      <w:r>
        <w:t>, regarding approval of courses, is being updated as to the location of department forms.</w:t>
      </w:r>
    </w:p>
    <w:p w:rsidR="00D0142A" w:rsidRDefault="00D0142A" w:rsidP="00B46596">
      <w:pPr>
        <w:pStyle w:val="BlockText"/>
        <w:numPr>
          <w:ilvl w:val="2"/>
          <w:numId w:val="11"/>
        </w:numPr>
        <w:ind w:hanging="360"/>
      </w:pPr>
      <w:r w:rsidRPr="00D0142A">
        <w:rPr>
          <w:b/>
        </w:rPr>
        <w:t>Rule 61G19-9.005</w:t>
      </w:r>
      <w:r w:rsidR="00EC3D04">
        <w:t>, rega</w:t>
      </w:r>
      <w:r>
        <w:t>rding qualifications of course providers, is being updated as to the location of department forms.</w:t>
      </w:r>
    </w:p>
    <w:p w:rsidR="00EC3D04" w:rsidRDefault="00EC3D04" w:rsidP="00EC3D04">
      <w:pPr>
        <w:pStyle w:val="BlockText"/>
        <w:rPr>
          <w:b/>
        </w:rPr>
      </w:pPr>
    </w:p>
    <w:p w:rsidR="00EC3D04" w:rsidRDefault="00EC3D04" w:rsidP="00EC3D04">
      <w:pPr>
        <w:pStyle w:val="BlockText"/>
        <w:ind w:left="720"/>
      </w:pPr>
      <w:r>
        <w:rPr>
          <w:b/>
        </w:rPr>
        <w:t>Editor’s Note: This board will meet in Gainesville on October 15</w:t>
      </w:r>
      <w:r w:rsidRPr="00EC3D04">
        <w:rPr>
          <w:b/>
          <w:vertAlign w:val="superscript"/>
        </w:rPr>
        <w:t>th</w:t>
      </w:r>
      <w:r>
        <w:rPr>
          <w:b/>
        </w:rPr>
        <w:t xml:space="preserve"> and 16</w:t>
      </w:r>
      <w:r w:rsidRPr="00EC3D04">
        <w:rPr>
          <w:b/>
          <w:vertAlign w:val="superscript"/>
        </w:rPr>
        <w:t>th</w:t>
      </w:r>
      <w:r>
        <w:rPr>
          <w:b/>
        </w:rPr>
        <w:t xml:space="preserve"> to consider these changes.</w:t>
      </w:r>
    </w:p>
    <w:p w:rsidR="004E142A" w:rsidRDefault="004E142A" w:rsidP="004E142A">
      <w:pPr>
        <w:pStyle w:val="BlockText"/>
      </w:pPr>
    </w:p>
    <w:p w:rsidR="00034306" w:rsidRDefault="00E519F0" w:rsidP="00E519F0">
      <w:pPr>
        <w:pStyle w:val="BlockText"/>
        <w:tabs>
          <w:tab w:val="left" w:pos="1710"/>
        </w:tabs>
        <w:ind w:left="1710" w:hanging="270"/>
      </w:pPr>
      <w:r w:rsidRPr="00E519F0">
        <w:rPr>
          <w:b/>
        </w:rPr>
        <w:t>B.</w:t>
      </w:r>
      <w:r w:rsidR="00C80E12">
        <w:t xml:space="preserve"> </w:t>
      </w:r>
      <w:r w:rsidR="004E142A">
        <w:t xml:space="preserve">This board has received or disposed of the following Petitions for Declaratory </w:t>
      </w:r>
      <w:r w:rsidR="00C80E12">
        <w:t xml:space="preserve">     </w:t>
      </w:r>
      <w:r w:rsidR="004E142A">
        <w:t>Statement (if any</w:t>
      </w:r>
      <w:r w:rsidR="00B73DBD">
        <w:t xml:space="preserve">): </w:t>
      </w:r>
      <w:r w:rsidR="00EC3D04">
        <w:rPr>
          <w:b/>
        </w:rPr>
        <w:t>James Schock</w:t>
      </w:r>
      <w:r w:rsidR="003A5916">
        <w:t xml:space="preserve">, seeking a determination of </w:t>
      </w:r>
      <w:r w:rsidR="00EC3D04">
        <w:t>what license is required to install and inspect sprinklers constructed under the Florida Building Code, Residential Plumbing Section P2904.</w:t>
      </w:r>
    </w:p>
    <w:p w:rsidR="00A9229C" w:rsidRDefault="00A9229C" w:rsidP="00A9229C">
      <w:pPr>
        <w:pStyle w:val="BlockText"/>
      </w:pPr>
    </w:p>
    <w:p w:rsidR="004E142A" w:rsidRDefault="00EC3D04" w:rsidP="00EC3D04">
      <w:pPr>
        <w:pStyle w:val="BlockText"/>
        <w:tabs>
          <w:tab w:val="left" w:pos="1710"/>
        </w:tabs>
        <w:ind w:left="1350"/>
      </w:pPr>
      <w:r w:rsidRPr="00EC3D04">
        <w:rPr>
          <w:b/>
        </w:rPr>
        <w:t xml:space="preserve"> C.</w:t>
      </w:r>
      <w:r w:rsidR="00E519F0">
        <w:t xml:space="preserve"> </w:t>
      </w:r>
      <w:r w:rsidR="004E142A">
        <w:t xml:space="preserve">This board has received or disposed of the following Petitions for Variance or Waiver (if any): </w:t>
      </w:r>
      <w:r w:rsidR="004204AE">
        <w:t>None</w:t>
      </w:r>
      <w:r w:rsidR="00920535">
        <w:t xml:space="preserve"> noticed</w:t>
      </w:r>
      <w:r w:rsidR="004204AE">
        <w:t>.</w:t>
      </w:r>
    </w:p>
    <w:p w:rsidR="000B70C4" w:rsidRPr="003134D3" w:rsidRDefault="000B70C4" w:rsidP="000B70C4">
      <w:pPr>
        <w:pStyle w:val="BlockText"/>
        <w:tabs>
          <w:tab w:val="left" w:pos="1710"/>
        </w:tabs>
      </w:pPr>
    </w:p>
    <w:p w:rsidR="00F73B56" w:rsidRDefault="004E142A" w:rsidP="00EC3D04">
      <w:pPr>
        <w:pStyle w:val="BlockText"/>
        <w:numPr>
          <w:ilvl w:val="0"/>
          <w:numId w:val="11"/>
        </w:numPr>
      </w:pPr>
      <w:r w:rsidRPr="00FE4DEA">
        <w:rPr>
          <w:b/>
          <w:u w:val="single"/>
        </w:rPr>
        <w:t>Florida Building Commission</w:t>
      </w:r>
      <w:r>
        <w:rPr>
          <w:rStyle w:val="FootnoteReference"/>
          <w:u w:val="single"/>
        </w:rPr>
        <w:footnoteReference w:id="2"/>
      </w:r>
      <w:r>
        <w:t xml:space="preserve"> – Chapter 553, Part IV and Chapter 61G20, FAC): </w:t>
      </w:r>
    </w:p>
    <w:p w:rsidR="00F73B56" w:rsidRDefault="00F73B56" w:rsidP="00F73B56">
      <w:pPr>
        <w:pStyle w:val="BlockText"/>
        <w:ind w:left="720"/>
        <w:rPr>
          <w:u w:val="single"/>
        </w:rPr>
      </w:pPr>
    </w:p>
    <w:p w:rsidR="00FE4DEA" w:rsidRDefault="00F73B56" w:rsidP="00FE4DEA">
      <w:pPr>
        <w:pStyle w:val="BlockText"/>
      </w:pPr>
      <w:r>
        <w:rPr>
          <w:b/>
          <w:u w:val="single"/>
        </w:rPr>
        <w:t xml:space="preserve">CODE </w:t>
      </w:r>
      <w:r w:rsidRPr="00D255AC">
        <w:rPr>
          <w:b/>
          <w:u w:val="single"/>
        </w:rPr>
        <w:t>NOTE</w:t>
      </w:r>
      <w:r w:rsidRPr="00D255AC">
        <w:rPr>
          <w:b/>
        </w:rPr>
        <w:t xml:space="preserve">: </w:t>
      </w:r>
      <w:r w:rsidR="006E0D5B">
        <w:rPr>
          <w:b/>
        </w:rPr>
        <w:t>T</w:t>
      </w:r>
      <w:r w:rsidRPr="00571120">
        <w:rPr>
          <w:b/>
        </w:rPr>
        <w:t>he effective date of the next Florida Bu</w:t>
      </w:r>
      <w:r w:rsidR="006E0D5B">
        <w:rPr>
          <w:b/>
        </w:rPr>
        <w:t xml:space="preserve">ilding Code, which </w:t>
      </w:r>
      <w:r w:rsidR="00FE4DEA">
        <w:rPr>
          <w:b/>
        </w:rPr>
        <w:t>is</w:t>
      </w:r>
      <w:r>
        <w:rPr>
          <w:b/>
        </w:rPr>
        <w:t xml:space="preserve"> entitled "Florida Building Code 5</w:t>
      </w:r>
      <w:r w:rsidRPr="00571120">
        <w:rPr>
          <w:b/>
          <w:vertAlign w:val="superscript"/>
        </w:rPr>
        <w:t>th</w:t>
      </w:r>
      <w:r w:rsidR="006E0D5B">
        <w:rPr>
          <w:b/>
        </w:rPr>
        <w:t xml:space="preserve"> Edition (2014),</w:t>
      </w:r>
      <w:r>
        <w:rPr>
          <w:b/>
        </w:rPr>
        <w:t>"</w:t>
      </w:r>
      <w:r w:rsidR="000B0D3F">
        <w:rPr>
          <w:b/>
        </w:rPr>
        <w:t xml:space="preserve"> </w:t>
      </w:r>
      <w:r w:rsidR="00FE4DEA">
        <w:rPr>
          <w:b/>
        </w:rPr>
        <w:t xml:space="preserve">was </w:t>
      </w:r>
      <w:r w:rsidR="006E0D5B">
        <w:rPr>
          <w:b/>
        </w:rPr>
        <w:t>June 30, 2015.</w:t>
      </w:r>
      <w:r w:rsidR="007A5E81">
        <w:rPr>
          <w:b/>
        </w:rPr>
        <w:t xml:space="preserve"> See</w:t>
      </w:r>
      <w:r w:rsidR="007A5E81" w:rsidRPr="007A5E81">
        <w:t>: Rule 61G20-1.001</w:t>
      </w:r>
      <w:r w:rsidR="00FE4DEA">
        <w:t>.</w:t>
      </w:r>
      <w:r w:rsidR="00FE4DEA" w:rsidRPr="00FE4DEA">
        <w:t xml:space="preserve"> </w:t>
      </w:r>
      <w:r w:rsidR="00FE4DEA">
        <w:t>The commission will next meet at The Plaza hotel i</w:t>
      </w:r>
      <w:r w:rsidR="00EC3D04">
        <w:t>n Daytona Beach, on October 14-15</w:t>
      </w:r>
      <w:r w:rsidR="00FE4DEA">
        <w:t>, 2015, to consider the petitions for Declaratory Statements and for other board business, including various disab</w:t>
      </w:r>
      <w:r w:rsidR="00EC3D04">
        <w:t>ility accessibility waivers</w:t>
      </w:r>
      <w:r w:rsidR="00FE4DEA">
        <w:t>.</w:t>
      </w:r>
    </w:p>
    <w:p w:rsidR="00B0622F" w:rsidRPr="00FE4DEA" w:rsidRDefault="00FE4DEA" w:rsidP="00FE4DEA">
      <w:pPr>
        <w:pStyle w:val="BlockText"/>
        <w:ind w:left="720"/>
      </w:pPr>
      <w:r>
        <w:t xml:space="preserve"> </w:t>
      </w:r>
    </w:p>
    <w:p w:rsidR="00B46596" w:rsidRDefault="00E1125C" w:rsidP="00FE4DEA">
      <w:pPr>
        <w:pStyle w:val="BlockText"/>
        <w:numPr>
          <w:ilvl w:val="0"/>
          <w:numId w:val="44"/>
        </w:numPr>
      </w:pPr>
      <w:r>
        <w:t>This board has proposed, adopted, repealed or amended the following rules (if any):</w:t>
      </w:r>
      <w:r w:rsidR="00AB69C6">
        <w:t xml:space="preserve"> </w:t>
      </w:r>
    </w:p>
    <w:p w:rsidR="00B46596" w:rsidRDefault="00B46596" w:rsidP="00B46596">
      <w:pPr>
        <w:pStyle w:val="BlockText"/>
        <w:ind w:left="1800"/>
      </w:pPr>
    </w:p>
    <w:p w:rsidR="007A5E81" w:rsidRDefault="00B46596" w:rsidP="00D9392D">
      <w:pPr>
        <w:pStyle w:val="BlockText"/>
        <w:numPr>
          <w:ilvl w:val="2"/>
          <w:numId w:val="11"/>
        </w:numPr>
        <w:ind w:hanging="360"/>
      </w:pPr>
      <w:r w:rsidRPr="00B46596">
        <w:rPr>
          <w:b/>
        </w:rPr>
        <w:t>Rule 61G20-1.003</w:t>
      </w:r>
      <w:r>
        <w:t xml:space="preserve">, to delay the </w:t>
      </w:r>
      <w:r w:rsidR="00AB69C6">
        <w:t xml:space="preserve">effective date of </w:t>
      </w:r>
      <w:r>
        <w:t>the requirement of a second fire service elevator as continued in Section 403.6.1., Florida Building Code, Building volume (</w:t>
      </w:r>
      <w:r w:rsidR="00EB7798">
        <w:t>2014</w:t>
      </w:r>
      <w:r>
        <w:t>) [which is no longer needed since the legislature delayed the effective date until next year in the budget implementation bill].</w:t>
      </w:r>
    </w:p>
    <w:p w:rsidR="00B46596" w:rsidRDefault="00B46596" w:rsidP="00B46596">
      <w:pPr>
        <w:pStyle w:val="BlockText"/>
        <w:ind w:left="2520"/>
      </w:pPr>
    </w:p>
    <w:p w:rsidR="00B46596" w:rsidRDefault="00B46596" w:rsidP="00B46596">
      <w:pPr>
        <w:pStyle w:val="BlockText"/>
        <w:numPr>
          <w:ilvl w:val="2"/>
          <w:numId w:val="11"/>
        </w:numPr>
      </w:pPr>
      <w:r>
        <w:rPr>
          <w:b/>
        </w:rPr>
        <w:t>Rule 61G20-1.004</w:t>
      </w:r>
      <w:r>
        <w:t>, to delay the effective date of the mandatory blower door testing and mechanical ventilation requirements for residential buildings or dwelling units as contained in Section 303.4, Florida Building Code, Residential volume (2014) and in Section 492.4.1, Florida Building Code, Energy Conservation volume (2014) [both of which are no longer needed since the legislature delayed the effective date until next year in the budget implementation bill].</w:t>
      </w:r>
    </w:p>
    <w:p w:rsidR="00B46596" w:rsidRDefault="00B46596" w:rsidP="00B46596">
      <w:pPr>
        <w:pStyle w:val="BlockText"/>
      </w:pPr>
    </w:p>
    <w:p w:rsidR="00B46596" w:rsidRDefault="00FA43C6" w:rsidP="00D9392D">
      <w:pPr>
        <w:pStyle w:val="BlockText"/>
        <w:numPr>
          <w:ilvl w:val="2"/>
          <w:numId w:val="11"/>
        </w:numPr>
        <w:ind w:hanging="360"/>
      </w:pPr>
      <w:r>
        <w:rPr>
          <w:b/>
        </w:rPr>
        <w:t>Rule 61G20-4.00</w:t>
      </w:r>
      <w:r w:rsidR="00B46596">
        <w:rPr>
          <w:b/>
        </w:rPr>
        <w:t>1</w:t>
      </w:r>
      <w:r w:rsidR="00B46596">
        <w:t xml:space="preserve">, </w:t>
      </w:r>
      <w:r>
        <w:t>to update the commission’s form in order to comply with the legislative mandate that fees be collected for accessibility wavier applications.</w:t>
      </w:r>
    </w:p>
    <w:p w:rsidR="00B46596" w:rsidRDefault="00B46596" w:rsidP="00B46596">
      <w:pPr>
        <w:pStyle w:val="BlockText"/>
      </w:pPr>
    </w:p>
    <w:p w:rsidR="007C1C60" w:rsidRDefault="00E1125C" w:rsidP="00B15D63">
      <w:pPr>
        <w:pStyle w:val="BlockText"/>
        <w:numPr>
          <w:ilvl w:val="1"/>
          <w:numId w:val="11"/>
        </w:numPr>
        <w:ind w:hanging="540"/>
      </w:pPr>
      <w:r>
        <w:t>This board has received or disposed of the following Petition</w:t>
      </w:r>
      <w:r w:rsidR="00C05096">
        <w:t>(</w:t>
      </w:r>
      <w:r>
        <w:t>s</w:t>
      </w:r>
      <w:r w:rsidR="00C05096">
        <w:t>)</w:t>
      </w:r>
      <w:r>
        <w:t xml:space="preserve"> for </w:t>
      </w:r>
      <w:r w:rsidR="003747B5">
        <w:t xml:space="preserve">Declaratory Statement: </w:t>
      </w:r>
    </w:p>
    <w:p w:rsidR="007C1C60" w:rsidRDefault="007C1C60" w:rsidP="007C1C60">
      <w:pPr>
        <w:pStyle w:val="BlockText"/>
        <w:ind w:left="1620"/>
      </w:pPr>
    </w:p>
    <w:p w:rsidR="00FE4DEA" w:rsidRDefault="00236AF7" w:rsidP="007C1C60">
      <w:pPr>
        <w:pStyle w:val="BlockText"/>
        <w:numPr>
          <w:ilvl w:val="2"/>
          <w:numId w:val="11"/>
        </w:numPr>
        <w:ind w:hanging="360"/>
      </w:pPr>
      <w:r w:rsidRPr="00173510">
        <w:rPr>
          <w:b/>
        </w:rPr>
        <w:t>RECA and Frank LaPete</w:t>
      </w:r>
      <w:r>
        <w:t>, seeking a determination of whether replacement fenestration products must meet current code energy requirement</w:t>
      </w:r>
      <w:r w:rsidR="0032220C">
        <w:t>s</w:t>
      </w:r>
      <w:r>
        <w:t xml:space="preserve">, regardless of </w:t>
      </w:r>
      <w:r w:rsidR="007C1C60">
        <w:t>whether it constitutes a “renovation</w:t>
      </w:r>
      <w:r>
        <w:t>”</w:t>
      </w:r>
      <w:r w:rsidR="007C1C60">
        <w:t xml:space="preserve"> [which requires costs in excess of 30% of the structures current market value]. The Energy Conservation Technical Advisory Committee was not able to complete its consideration of this petition at its August meeting, so it has been continued until the TAC’s next meeting on September 25</w:t>
      </w:r>
      <w:r w:rsidR="007C1C60" w:rsidRPr="007C1C60">
        <w:rPr>
          <w:vertAlign w:val="superscript"/>
        </w:rPr>
        <w:t>th</w:t>
      </w:r>
      <w:r w:rsidR="007C1C60">
        <w:t>, after which it will be taken up by the entire commission on October 15, 2015, for final disposition.</w:t>
      </w:r>
    </w:p>
    <w:p w:rsidR="007C1C60" w:rsidRDefault="007C1C60" w:rsidP="007C1C60">
      <w:pPr>
        <w:pStyle w:val="BlockText"/>
        <w:ind w:left="2520"/>
      </w:pPr>
    </w:p>
    <w:p w:rsidR="007C1C60" w:rsidRDefault="007C1C60" w:rsidP="007C1C60">
      <w:pPr>
        <w:pStyle w:val="BlockText"/>
        <w:numPr>
          <w:ilvl w:val="2"/>
          <w:numId w:val="11"/>
        </w:numPr>
        <w:ind w:hanging="360"/>
      </w:pPr>
      <w:r>
        <w:rPr>
          <w:b/>
        </w:rPr>
        <w:t xml:space="preserve">Bracken Engineering, Inc. </w:t>
      </w:r>
      <w:r>
        <w:t>– Petition seeks the agency’s opinion as to the applicability of Section 708, Florida Building Code, Existing Building volume (2014) to roof repairs made pursuant to Section 6.6.2 thereof.</w:t>
      </w:r>
    </w:p>
    <w:p w:rsidR="0032220C" w:rsidRDefault="0032220C" w:rsidP="0032220C">
      <w:pPr>
        <w:pStyle w:val="ListParagraph"/>
      </w:pPr>
    </w:p>
    <w:p w:rsidR="0032220C" w:rsidRDefault="0032220C" w:rsidP="007C1C60">
      <w:pPr>
        <w:pStyle w:val="BlockText"/>
        <w:numPr>
          <w:ilvl w:val="2"/>
          <w:numId w:val="11"/>
        </w:numPr>
        <w:ind w:hanging="360"/>
      </w:pPr>
      <w:r>
        <w:rPr>
          <w:b/>
        </w:rPr>
        <w:t>Bracken Engineering, Inc.</w:t>
      </w:r>
      <w:r>
        <w:t xml:space="preserve"> – Petition seeks the agency’s opinion as to the applicability of the Preface to Section 1603.1, Florida Building Code, Building volume (2014), and clarification as to whether code requirements for snow load and earthquake design data are exempted.</w:t>
      </w:r>
    </w:p>
    <w:p w:rsidR="007C1C60" w:rsidRDefault="007C1C60" w:rsidP="007C1C60">
      <w:pPr>
        <w:pStyle w:val="BlockText"/>
      </w:pPr>
    </w:p>
    <w:p w:rsidR="007C1C60" w:rsidRDefault="007C1C60" w:rsidP="007C1C60">
      <w:pPr>
        <w:pStyle w:val="BlockText"/>
        <w:numPr>
          <w:ilvl w:val="2"/>
          <w:numId w:val="11"/>
        </w:numPr>
        <w:ind w:hanging="360"/>
      </w:pPr>
      <w:r>
        <w:rPr>
          <w:b/>
        </w:rPr>
        <w:t>Pipeline Technologies, Inc.</w:t>
      </w:r>
      <w:r>
        <w:t xml:space="preserve"> – Petition seeks</w:t>
      </w:r>
      <w:r w:rsidR="0032220C">
        <w:t xml:space="preserve"> clarification as to whether a permit is mandatory for installing Cured in Place Pipe in drainage systems within the walls and under the slabs of existing buildings for the purpose of rehabilitation.</w:t>
      </w:r>
    </w:p>
    <w:p w:rsidR="000B0D3F" w:rsidRPr="000B0D3F" w:rsidRDefault="000B0D3F" w:rsidP="00E235EA">
      <w:pPr>
        <w:pStyle w:val="BlockText"/>
      </w:pPr>
    </w:p>
    <w:p w:rsidR="00681534" w:rsidRDefault="000B0D3F" w:rsidP="00B15D63">
      <w:pPr>
        <w:pStyle w:val="BlockText"/>
        <w:numPr>
          <w:ilvl w:val="1"/>
          <w:numId w:val="11"/>
        </w:numPr>
        <w:ind w:hanging="540"/>
      </w:pPr>
      <w:r>
        <w:t>This board has received or disposed of the following Petitions for Variance or Waiver (if any</w:t>
      </w:r>
      <w:r w:rsidR="006E0D5B">
        <w:t>): None noticed.</w:t>
      </w:r>
    </w:p>
    <w:p w:rsidR="00681534" w:rsidRDefault="00681534" w:rsidP="00681534">
      <w:pPr>
        <w:pStyle w:val="BlockText"/>
        <w:ind w:left="1800"/>
      </w:pPr>
    </w:p>
    <w:p w:rsidR="00681534" w:rsidRDefault="008F17A7" w:rsidP="00B15D63">
      <w:pPr>
        <w:pStyle w:val="BlockText"/>
        <w:numPr>
          <w:ilvl w:val="1"/>
          <w:numId w:val="11"/>
        </w:numPr>
        <w:ind w:hanging="540"/>
      </w:pPr>
      <w:r w:rsidRPr="00681534">
        <w:t>Th</w:t>
      </w:r>
      <w:r>
        <w:t xml:space="preserve">is </w:t>
      </w:r>
      <w:r w:rsidR="00452CC3">
        <w:t>board has received a petition for</w:t>
      </w:r>
      <w:r>
        <w:t xml:space="preserve"> </w:t>
      </w:r>
      <w:r w:rsidR="00452CC3">
        <w:t>interpretation</w:t>
      </w:r>
      <w:r>
        <w:t xml:space="preserve"> of building code as follows (If any):</w:t>
      </w:r>
      <w:r w:rsidR="00452CC3">
        <w:t xml:space="preserve"> </w:t>
      </w:r>
      <w:r w:rsidR="00681534">
        <w:t>None noticed.</w:t>
      </w:r>
    </w:p>
    <w:p w:rsidR="00996855" w:rsidRPr="00996855" w:rsidRDefault="00996855" w:rsidP="00681534">
      <w:pPr>
        <w:pStyle w:val="BlockText"/>
        <w:rPr>
          <w:b/>
        </w:rPr>
      </w:pPr>
    </w:p>
    <w:p w:rsidR="000340FB" w:rsidRDefault="00941C32" w:rsidP="0017187B">
      <w:pPr>
        <w:pStyle w:val="BlockText"/>
        <w:ind w:firstLine="720"/>
      </w:pPr>
      <w:r w:rsidRPr="00DD46B2">
        <w:rPr>
          <w:b/>
        </w:rPr>
        <w:t xml:space="preserve">8. </w:t>
      </w:r>
      <w:r w:rsidRPr="00DD46B2">
        <w:rPr>
          <w:b/>
          <w:u w:val="single"/>
        </w:rPr>
        <w:t>DBPR/Home Inspectors:</w:t>
      </w:r>
      <w:r>
        <w:t xml:space="preserve"> </w:t>
      </w:r>
      <w:r w:rsidR="00681534">
        <w:t>Nothing new to report.</w:t>
      </w:r>
    </w:p>
    <w:p w:rsidR="0041534C" w:rsidRDefault="0041534C" w:rsidP="0041534C">
      <w:pPr>
        <w:pStyle w:val="BlockText"/>
      </w:pPr>
    </w:p>
    <w:p w:rsidR="008035A4" w:rsidRDefault="00C01BBA" w:rsidP="00C01BBA">
      <w:pPr>
        <w:pStyle w:val="BlockText"/>
        <w:ind w:left="720"/>
      </w:pPr>
      <w:r w:rsidRPr="00DD46B2">
        <w:rPr>
          <w:b/>
        </w:rPr>
        <w:t>9</w:t>
      </w:r>
      <w:r w:rsidR="007B1B79" w:rsidRPr="00DD46B2">
        <w:rPr>
          <w:b/>
        </w:rPr>
        <w:t xml:space="preserve">. </w:t>
      </w:r>
      <w:r w:rsidR="000340FB" w:rsidRPr="00DD46B2">
        <w:rPr>
          <w:b/>
          <w:u w:val="single"/>
        </w:rPr>
        <w:t>Board of Professional Geologists</w:t>
      </w:r>
      <w:r w:rsidR="000340FB" w:rsidRPr="000340FB">
        <w:rPr>
          <w:u w:val="single"/>
        </w:rPr>
        <w:t>:</w:t>
      </w:r>
      <w:r w:rsidR="000340FB">
        <w:t xml:space="preserve"> Chapter 492, Florida Statutes, and Rule Chapter 61G16, F.A</w:t>
      </w:r>
      <w:r w:rsidR="008035A4">
        <w:t>.C.:</w:t>
      </w:r>
    </w:p>
    <w:p w:rsidR="008035A4" w:rsidRDefault="008035A4" w:rsidP="008035A4">
      <w:pPr>
        <w:pStyle w:val="BlockText"/>
        <w:ind w:left="1080"/>
      </w:pPr>
    </w:p>
    <w:p w:rsidR="008035A4" w:rsidRDefault="008035A4" w:rsidP="00B15D63">
      <w:pPr>
        <w:pStyle w:val="BlockText"/>
        <w:numPr>
          <w:ilvl w:val="4"/>
          <w:numId w:val="11"/>
        </w:numPr>
        <w:ind w:left="2070" w:hanging="630"/>
      </w:pPr>
      <w:r>
        <w:t xml:space="preserve">This board has proposed, adopted, repealed or amended the following rules (if any): </w:t>
      </w:r>
      <w:r w:rsidR="004E572B">
        <w:t xml:space="preserve"> </w:t>
      </w:r>
      <w:r w:rsidR="00B15D63">
        <w:t>None noticed.</w:t>
      </w:r>
    </w:p>
    <w:p w:rsidR="00B15D63" w:rsidRDefault="00B15D63" w:rsidP="00B15D63">
      <w:pPr>
        <w:pStyle w:val="BlockText"/>
        <w:ind w:left="2070"/>
      </w:pPr>
    </w:p>
    <w:p w:rsidR="00B15D63" w:rsidRDefault="00B15D63" w:rsidP="00B15D63">
      <w:pPr>
        <w:pStyle w:val="BlockText"/>
        <w:numPr>
          <w:ilvl w:val="4"/>
          <w:numId w:val="11"/>
        </w:numPr>
        <w:ind w:left="2070" w:hanging="630"/>
      </w:pPr>
      <w:r>
        <w:t>T</w:t>
      </w:r>
      <w:r w:rsidR="008035A4">
        <w:t>his board has received or disposed of the following Petitions for Declaratory St</w:t>
      </w:r>
      <w:r w:rsidR="00663C9D">
        <w:t xml:space="preserve">atement (if any): </w:t>
      </w:r>
      <w:r w:rsidR="00143919">
        <w:t xml:space="preserve"> None noticed</w:t>
      </w:r>
      <w:r w:rsidR="00AF448F">
        <w:t xml:space="preserve"> </w:t>
      </w:r>
    </w:p>
    <w:p w:rsidR="00B15D63" w:rsidRDefault="00B15D63" w:rsidP="00B15D63">
      <w:pPr>
        <w:pStyle w:val="BlockText"/>
      </w:pPr>
    </w:p>
    <w:p w:rsidR="008035A4" w:rsidRDefault="008035A4" w:rsidP="00B15D63">
      <w:pPr>
        <w:pStyle w:val="BlockText"/>
        <w:numPr>
          <w:ilvl w:val="4"/>
          <w:numId w:val="11"/>
        </w:numPr>
        <w:ind w:left="2070" w:hanging="630"/>
      </w:pPr>
      <w:r>
        <w:t>This board has received or disposed of the following Petitions for Variance or Waiver (if any): None noticed.</w:t>
      </w:r>
    </w:p>
    <w:p w:rsidR="0094577A" w:rsidRDefault="0094577A" w:rsidP="0094577A">
      <w:pPr>
        <w:pStyle w:val="BlockText"/>
      </w:pPr>
    </w:p>
    <w:p w:rsidR="00317330" w:rsidRDefault="0094577A" w:rsidP="0045633D">
      <w:pPr>
        <w:pStyle w:val="BlockText"/>
        <w:ind w:left="720"/>
      </w:pPr>
      <w:r w:rsidRPr="00DD46B2">
        <w:rPr>
          <w:b/>
        </w:rPr>
        <w:t>10</w:t>
      </w:r>
      <w:r w:rsidRPr="00DD46B2">
        <w:rPr>
          <w:b/>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1C3A80" w:rsidRDefault="001C3A80" w:rsidP="0045633D">
      <w:pPr>
        <w:pStyle w:val="BlockText"/>
        <w:ind w:left="720"/>
      </w:pPr>
    </w:p>
    <w:p w:rsidR="005F51C9" w:rsidRDefault="004B10A3" w:rsidP="00E235EA">
      <w:pPr>
        <w:pStyle w:val="BlockText"/>
        <w:ind w:left="810" w:hanging="90"/>
        <w:rPr>
          <w:b/>
        </w:rPr>
      </w:pPr>
      <w:r w:rsidRPr="00DD46B2">
        <w:rPr>
          <w:b/>
        </w:rPr>
        <w:t xml:space="preserve">11. </w:t>
      </w:r>
      <w:r w:rsidRPr="00DD46B2">
        <w:rPr>
          <w:b/>
          <w:u w:val="single"/>
        </w:rPr>
        <w:t>Asbestos Consultants</w:t>
      </w:r>
      <w:r>
        <w:t xml:space="preserve"> – Chapter </w:t>
      </w:r>
      <w:r w:rsidR="00C906E0">
        <w:t>469</w:t>
      </w:r>
      <w:r>
        <w:t>, Florida Statutes, and Chapter</w:t>
      </w:r>
      <w:r w:rsidR="009D71A1">
        <w:t xml:space="preserve"> 61</w:t>
      </w:r>
      <w:r w:rsidR="00C60ABB">
        <w:t>E1</w:t>
      </w:r>
      <w:r w:rsidR="00452CC3">
        <w:t xml:space="preserve">, F.A.C.:  </w:t>
      </w:r>
      <w:r w:rsidR="0079604D">
        <w:t>Rule 61E1-6001, regarding disciplinary guidelines, has been noticed for rule development.</w:t>
      </w:r>
    </w:p>
    <w:p w:rsidR="005F51C9" w:rsidRDefault="005F51C9" w:rsidP="00DE52F2">
      <w:pPr>
        <w:pStyle w:val="BlockText"/>
        <w:rPr>
          <w:b/>
        </w:rPr>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rsidRPr="00041C50">
        <w:rPr>
          <w:b/>
        </w:rPr>
        <w:t>1.</w:t>
      </w:r>
      <w:r>
        <w:t xml:space="preserve"> </w:t>
      </w:r>
      <w:r w:rsidRPr="00430AB5">
        <w:rPr>
          <w:b/>
          <w:u w:val="single"/>
        </w:rPr>
        <w:t>Water Well Contractors</w:t>
      </w:r>
      <w:r w:rsidRPr="00430AB5">
        <w:rPr>
          <w:u w:val="single"/>
        </w:rPr>
        <w:t>:</w:t>
      </w:r>
      <w:r>
        <w:t xml:space="preserve">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r>
      <w:r w:rsidRPr="00041C50">
        <w:rPr>
          <w:b/>
        </w:rPr>
        <w:t>2.</w:t>
      </w:r>
      <w:r>
        <w:t xml:space="preserve"> </w:t>
      </w:r>
      <w:r w:rsidRPr="00430AB5">
        <w:rPr>
          <w:b/>
          <w:u w:val="single"/>
        </w:rPr>
        <w:t>Consumptive Use Permits:</w:t>
      </w:r>
      <w:r>
        <w:t xml:space="preserve">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BE34DD" w:rsidRDefault="00DE52F2" w:rsidP="00BE34DD">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173510" w:rsidRDefault="00173510" w:rsidP="00BE34DD">
      <w:pPr>
        <w:pStyle w:val="BlockText"/>
      </w:pPr>
    </w:p>
    <w:p w:rsidR="00CA5EE6" w:rsidRPr="00CF2BE6" w:rsidRDefault="00CA5EE6" w:rsidP="0008109E">
      <w:pPr>
        <w:pStyle w:val="BlockText"/>
        <w:numPr>
          <w:ilvl w:val="0"/>
          <w:numId w:val="15"/>
        </w:numPr>
        <w:rPr>
          <w:u w:val="single"/>
        </w:rPr>
      </w:pPr>
      <w:r w:rsidRPr="00CF2BE6">
        <w:rPr>
          <w:b/>
          <w:u w:val="single"/>
        </w:rPr>
        <w:t>Division of Environmental Health</w:t>
      </w:r>
      <w:r w:rsidRPr="00CF2BE6">
        <w:rPr>
          <w:u w:val="single"/>
        </w:rPr>
        <w:t>:</w:t>
      </w:r>
      <w:r w:rsidR="003C3E7C" w:rsidRPr="00CF2BE6">
        <w:rPr>
          <w:u w:val="single"/>
        </w:rPr>
        <w:t xml:space="preserve"> </w:t>
      </w:r>
      <w:r w:rsidR="00BE34DD" w:rsidRPr="00CF2BE6">
        <w:rPr>
          <w:u w:val="single"/>
        </w:rPr>
        <w:t xml:space="preserve"> </w:t>
      </w:r>
    </w:p>
    <w:p w:rsidR="00BE34DD" w:rsidRDefault="00BE34DD" w:rsidP="00BE34DD">
      <w:pPr>
        <w:pStyle w:val="BlockText"/>
        <w:ind w:left="1080"/>
      </w:pPr>
    </w:p>
    <w:p w:rsidR="00BE34DD" w:rsidRDefault="00431C88" w:rsidP="00BE34DD">
      <w:pPr>
        <w:pStyle w:val="BlockText"/>
        <w:ind w:left="720"/>
        <w:rPr>
          <w:rFonts w:eastAsiaTheme="minorHAnsi"/>
          <w:iCs w:val="0"/>
        </w:rPr>
      </w:pPr>
      <w:r>
        <w:rPr>
          <w:rFonts w:eastAsiaTheme="minorHAnsi"/>
          <w:b/>
          <w:iCs w:val="0"/>
          <w:u w:val="single"/>
        </w:rPr>
        <w:t>Meeting Notification</w:t>
      </w:r>
      <w:r w:rsidR="00BE34DD" w:rsidRPr="003C3E7C">
        <w:rPr>
          <w:rFonts w:eastAsiaTheme="minorHAnsi"/>
          <w:b/>
          <w:iCs w:val="0"/>
          <w:u w:val="single"/>
        </w:rPr>
        <w:t>:</w:t>
      </w:r>
      <w:r w:rsidR="00BE34DD">
        <w:rPr>
          <w:rFonts w:eastAsiaTheme="minorHAnsi"/>
          <w:iCs w:val="0"/>
        </w:rPr>
        <w:t xml:space="preserve"> The Variance Review and Advisory Committee on the standards for onsite sewage treatment and disposal systems, has announced a series of monthly meetings around the state during 2015.</w:t>
      </w:r>
    </w:p>
    <w:p w:rsidR="003C3E7C" w:rsidRDefault="003C3E7C" w:rsidP="00746128"/>
    <w:p w:rsidR="003C3E7C" w:rsidRDefault="003C3E7C" w:rsidP="003C3E7C">
      <w:pPr>
        <w:pStyle w:val="BlockText"/>
        <w:ind w:left="720"/>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r w:rsidR="00746128">
        <w:t>H.</w:t>
      </w:r>
    </w:p>
    <w:p w:rsidR="00E03EA5" w:rsidRDefault="00E03EA5" w:rsidP="003C3E7C">
      <w:pPr>
        <w:pStyle w:val="BlockText"/>
        <w:ind w:left="720"/>
      </w:pPr>
    </w:p>
    <w:p w:rsidR="00E03EA5" w:rsidRDefault="00E03EA5" w:rsidP="00E03EA5">
      <w:pPr>
        <w:pStyle w:val="BlockText"/>
        <w:numPr>
          <w:ilvl w:val="0"/>
          <w:numId w:val="45"/>
        </w:numPr>
        <w:ind w:left="1800"/>
      </w:pPr>
      <w:r>
        <w:t>The following rules have been proposed for creation or amendment (if any):</w:t>
      </w:r>
      <w:r w:rsidR="004D0301">
        <w:t xml:space="preserve"> </w:t>
      </w:r>
      <w:r w:rsidR="004D0301" w:rsidRPr="004D0301">
        <w:rPr>
          <w:b/>
        </w:rPr>
        <w:t>Rules 64E-10.001, .002, .003 and .004</w:t>
      </w:r>
      <w:r w:rsidR="004D0301">
        <w:t>, regarding sanitary facilities for public buildings, palaces and places of employment, are being amended to: add general requirements for toilets and washrooms accessible to the public and employees; require use of EPA registered tuberculocidal disinfectant; and, delete the special requirements for temporary outdoor events.</w:t>
      </w:r>
    </w:p>
    <w:p w:rsidR="003B388E" w:rsidRDefault="003B388E" w:rsidP="003C3E7C">
      <w:pPr>
        <w:pStyle w:val="BlockText"/>
        <w:ind w:left="720"/>
      </w:pPr>
    </w:p>
    <w:p w:rsidR="003C3E7C" w:rsidRDefault="003B388E" w:rsidP="00041C50">
      <w:pPr>
        <w:pStyle w:val="BlockText"/>
        <w:numPr>
          <w:ilvl w:val="0"/>
          <w:numId w:val="45"/>
        </w:numPr>
        <w:ind w:left="1800"/>
      </w:pPr>
      <w:r>
        <w:t>The following Petition(s) for Declaratory Statement have been filed or disposed of (if any):</w:t>
      </w:r>
      <w:r w:rsidR="00200AF1">
        <w:t xml:space="preserve"> </w:t>
      </w:r>
      <w:r w:rsidR="000C5FBA">
        <w:t>None to report.</w:t>
      </w:r>
    </w:p>
    <w:p w:rsidR="000C5FBA" w:rsidRDefault="000C5FBA" w:rsidP="000C5FBA">
      <w:pPr>
        <w:pStyle w:val="BlockText"/>
        <w:ind w:left="1890"/>
      </w:pPr>
    </w:p>
    <w:p w:rsidR="00D17508" w:rsidRDefault="00CA5EE6" w:rsidP="00541BCF">
      <w:pPr>
        <w:pStyle w:val="BlockText"/>
        <w:numPr>
          <w:ilvl w:val="0"/>
          <w:numId w:val="45"/>
        </w:numPr>
        <w:ind w:left="1800"/>
      </w:pPr>
      <w:r>
        <w:t>The following Petitions for Variance or Wavier have been received or disposed of</w:t>
      </w:r>
      <w:r w:rsidR="002630FF">
        <w:t xml:space="preserve"> (if any</w:t>
      </w:r>
      <w:r w:rsidR="00BC261C">
        <w:t xml:space="preserve">): </w:t>
      </w:r>
      <w:r w:rsidR="00430AB5">
        <w:t>Albert Frick/.BUSSE Florida, regarding Rule  64E-6.005, .012 and .013 requiring that onsite sewage systems be located at least five (5) feet from the building foundation</w:t>
      </w:r>
      <w:r w:rsidR="00CF2BE6">
        <w:t>, concrete construction and no bypass in an aerobic treatment unit, was granted to avoid a substantial hardship.</w:t>
      </w:r>
    </w:p>
    <w:p w:rsidR="0045633D" w:rsidRDefault="0045633D" w:rsidP="0045633D">
      <w:pPr>
        <w:pStyle w:val="ListParagraph"/>
        <w:rPr>
          <w:b/>
        </w:rPr>
      </w:pPr>
    </w:p>
    <w:p w:rsidR="008F58B8" w:rsidRDefault="00746128" w:rsidP="00DE52F2">
      <w:pPr>
        <w:pStyle w:val="BlockText"/>
      </w:pPr>
      <w:r w:rsidRPr="00746128">
        <w:rPr>
          <w:b/>
        </w:rPr>
        <w:t>D.</w:t>
      </w:r>
      <w:r>
        <w:t xml:space="preserve"> </w:t>
      </w:r>
      <w:r w:rsidR="00C428D0">
        <w:t xml:space="preserve"> </w:t>
      </w:r>
      <w:r w:rsidR="00DE52F2">
        <w:rPr>
          <w:b/>
        </w:rPr>
        <w:t xml:space="preserve">Department of </w:t>
      </w:r>
      <w:r w:rsidR="004E142A" w:rsidRPr="00251EB1">
        <w:rPr>
          <w:b/>
        </w:rPr>
        <w:t>Financial Services</w:t>
      </w:r>
      <w:r w:rsidR="004E142A">
        <w:t xml:space="preserve">: </w:t>
      </w:r>
    </w:p>
    <w:p w:rsidR="00436BA2" w:rsidRDefault="00436BA2" w:rsidP="00436BA2">
      <w:pPr>
        <w:pStyle w:val="BlockText"/>
        <w:ind w:left="720"/>
      </w:pPr>
    </w:p>
    <w:p w:rsidR="0074409F" w:rsidRDefault="00DE52F2" w:rsidP="0074409F">
      <w:pPr>
        <w:pStyle w:val="BlockText"/>
        <w:ind w:left="720"/>
      </w:pPr>
      <w:r w:rsidRPr="00041C50">
        <w:rPr>
          <w:b/>
        </w:rPr>
        <w:t xml:space="preserve">1. </w:t>
      </w:r>
      <w:r w:rsidR="003B59EA" w:rsidRPr="00041C50">
        <w:rPr>
          <w:b/>
        </w:rPr>
        <w:t xml:space="preserve"> </w:t>
      </w:r>
      <w:r w:rsidR="00436BA2" w:rsidRPr="00CF2BE6">
        <w:rPr>
          <w:b/>
          <w:u w:val="single"/>
        </w:rPr>
        <w:t>Boiler Safety Act</w:t>
      </w:r>
      <w:r w:rsidR="00436BA2">
        <w:t xml:space="preserve"> - Chapter 554, F. S., and Chapter 69A-51, F.A.C.</w:t>
      </w:r>
      <w:r w:rsidR="0074409F">
        <w:t xml:space="preserve">: </w:t>
      </w:r>
    </w:p>
    <w:p w:rsidR="002630FF" w:rsidRDefault="002630FF" w:rsidP="0074409F">
      <w:pPr>
        <w:pStyle w:val="BlockText"/>
        <w:ind w:left="720"/>
      </w:pPr>
    </w:p>
    <w:p w:rsidR="002630FF" w:rsidRDefault="00CF2BE6" w:rsidP="00CF2BE6">
      <w:pPr>
        <w:pStyle w:val="BlockText"/>
        <w:ind w:left="1800" w:hanging="360"/>
      </w:pPr>
      <w:r w:rsidRPr="00EB7798">
        <w:rPr>
          <w:b/>
        </w:rPr>
        <w:t>A</w:t>
      </w:r>
      <w:r w:rsidR="0074409F" w:rsidRPr="00EB7798">
        <w:rPr>
          <w:b/>
        </w:rPr>
        <w:t>.</w:t>
      </w:r>
      <w:r w:rsidR="0074409F">
        <w:t xml:space="preserve"> </w:t>
      </w:r>
      <w:r w:rsidR="002630FF">
        <w:t xml:space="preserve">The following rules have been proposed for adoption or amendment (if any): </w:t>
      </w:r>
      <w:r w:rsidR="00746128">
        <w:t>Nothing new to report.</w:t>
      </w:r>
    </w:p>
    <w:p w:rsidR="002630FF" w:rsidRDefault="002630FF" w:rsidP="002630FF">
      <w:pPr>
        <w:pStyle w:val="BlockText"/>
        <w:ind w:left="1436"/>
      </w:pPr>
    </w:p>
    <w:p w:rsidR="002630FF" w:rsidRDefault="0074409F" w:rsidP="00CF2BE6">
      <w:pPr>
        <w:pStyle w:val="BlockText"/>
        <w:numPr>
          <w:ilvl w:val="0"/>
          <w:numId w:val="46"/>
        </w:numPr>
        <w:ind w:left="1800"/>
      </w:pPr>
      <w:r>
        <w:t>The agency has received the following petitions</w:t>
      </w:r>
      <w:r w:rsidR="002630FF">
        <w:t xml:space="preserve"> for Declaratory Statement or Variance/Waiver (if any):</w:t>
      </w:r>
      <w:r w:rsidR="000C5FBA">
        <w:t xml:space="preserve"> None to report</w:t>
      </w:r>
      <w:r w:rsidR="002630FF">
        <w:t>.</w:t>
      </w:r>
    </w:p>
    <w:p w:rsidR="008F58B8" w:rsidRDefault="008F58B8" w:rsidP="002630FF">
      <w:pPr>
        <w:pStyle w:val="BlockText"/>
        <w:ind w:left="1800"/>
      </w:pPr>
    </w:p>
    <w:p w:rsidR="00B7181B" w:rsidRDefault="003C2DE3" w:rsidP="00B7181B">
      <w:pPr>
        <w:pStyle w:val="BlockText"/>
        <w:numPr>
          <w:ilvl w:val="0"/>
          <w:numId w:val="15"/>
        </w:numPr>
      </w:pPr>
      <w:r w:rsidRPr="00B7181B">
        <w:rPr>
          <w:b/>
          <w:u w:val="single"/>
        </w:rPr>
        <w:t>Division of Workers’ Compensation</w:t>
      </w:r>
      <w:r w:rsidR="004E142A">
        <w:t xml:space="preserve"> – Chapter 440 and 6</w:t>
      </w:r>
      <w:r w:rsidR="00BD42D8">
        <w:t>9L FAC:</w:t>
      </w:r>
      <w:r w:rsidR="0032124B">
        <w:t xml:space="preserve"> The following rules have been proposed for adoption or amendment (if any):</w:t>
      </w:r>
      <w:r w:rsidR="009D3EF7">
        <w:t xml:space="preserve"> </w:t>
      </w:r>
    </w:p>
    <w:p w:rsidR="00EB7798" w:rsidRDefault="00EB7798" w:rsidP="00EB7798">
      <w:pPr>
        <w:pStyle w:val="BlockText"/>
        <w:ind w:left="1080"/>
      </w:pPr>
    </w:p>
    <w:p w:rsidR="0032124B" w:rsidRDefault="00B7181B" w:rsidP="00B7181B">
      <w:pPr>
        <w:pStyle w:val="BlockText"/>
        <w:numPr>
          <w:ilvl w:val="0"/>
          <w:numId w:val="47"/>
        </w:numPr>
      </w:pPr>
      <w:r>
        <w:rPr>
          <w:b/>
        </w:rPr>
        <w:t>Rules 69L-3.018-.0193,</w:t>
      </w:r>
      <w:r w:rsidR="00C976E2">
        <w:t xml:space="preserve"> regarding </w:t>
      </w:r>
      <w:r>
        <w:t xml:space="preserve">certain wage loss benefits, are being proposed for </w:t>
      </w:r>
      <w:r w:rsidRPr="00B7181B">
        <w:rPr>
          <w:u w:val="single"/>
        </w:rPr>
        <w:t>repeal</w:t>
      </w:r>
      <w:r>
        <w:t xml:space="preserve">. </w:t>
      </w:r>
    </w:p>
    <w:p w:rsidR="00B7181B" w:rsidRDefault="00B7181B" w:rsidP="00B7181B">
      <w:pPr>
        <w:pStyle w:val="BlockText"/>
        <w:ind w:left="1800"/>
      </w:pPr>
    </w:p>
    <w:p w:rsidR="00B7181B" w:rsidRDefault="00B7181B" w:rsidP="00B7181B">
      <w:pPr>
        <w:pStyle w:val="BlockText"/>
        <w:numPr>
          <w:ilvl w:val="0"/>
          <w:numId w:val="47"/>
        </w:numPr>
      </w:pPr>
      <w:r>
        <w:rPr>
          <w:b/>
        </w:rPr>
        <w:t>Rule 69L-6.025</w:t>
      </w:r>
      <w:r>
        <w:t>, regarding conditional releases of stop-work orders and periodic payment plans, is being amended.</w:t>
      </w:r>
    </w:p>
    <w:p w:rsidR="000C5FBA" w:rsidRDefault="000C5FBA" w:rsidP="00B7181B">
      <w:pPr>
        <w:pStyle w:val="BlockText"/>
      </w:pPr>
    </w:p>
    <w:p w:rsidR="00D17508" w:rsidRDefault="00C428D0" w:rsidP="00D17508">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D17508" w:rsidRDefault="00D17508" w:rsidP="00D17508">
      <w:pPr>
        <w:pStyle w:val="BlockText"/>
        <w:ind w:left="720"/>
        <w:rPr>
          <w:b/>
          <w:u w:val="single"/>
        </w:rPr>
      </w:pPr>
    </w:p>
    <w:p w:rsidR="00876A95" w:rsidRDefault="00041C50" w:rsidP="00D17508">
      <w:pPr>
        <w:pStyle w:val="BlockText"/>
        <w:numPr>
          <w:ilvl w:val="0"/>
          <w:numId w:val="15"/>
        </w:numPr>
      </w:pPr>
      <w:r w:rsidRPr="00B7181B">
        <w:rPr>
          <w:b/>
          <w:u w:val="single"/>
        </w:rPr>
        <w:t xml:space="preserve">Office of </w:t>
      </w:r>
      <w:r w:rsidR="0001260C" w:rsidRPr="00B7181B">
        <w:rPr>
          <w:b/>
          <w:u w:val="single"/>
        </w:rPr>
        <w:t>State Fire Marshal</w:t>
      </w:r>
      <w:r w:rsidR="0001260C">
        <w:t xml:space="preserve"> - Chapter 633, Florida Statutes and Chapter 69A, F.C.A.: </w:t>
      </w:r>
    </w:p>
    <w:p w:rsidR="00876A95" w:rsidRDefault="00876A95" w:rsidP="00876A95">
      <w:pPr>
        <w:pStyle w:val="BlockText"/>
        <w:ind w:left="1080"/>
      </w:pPr>
    </w:p>
    <w:p w:rsidR="00D17508" w:rsidRDefault="000E282A" w:rsidP="00F515F7">
      <w:pPr>
        <w:pStyle w:val="BlockText"/>
        <w:numPr>
          <w:ilvl w:val="0"/>
          <w:numId w:val="48"/>
        </w:numPr>
        <w:ind w:firstLine="720"/>
      </w:pPr>
      <w:r>
        <w:t>The following rules are being proposed or amended</w:t>
      </w:r>
      <w:r w:rsidR="001D2330">
        <w:t xml:space="preserve"> (if any)</w:t>
      </w:r>
      <w:r>
        <w:t>:</w:t>
      </w:r>
      <w:r w:rsidR="00DF2996">
        <w:t xml:space="preserve"> </w:t>
      </w:r>
      <w:r w:rsidR="004706AB" w:rsidRPr="00D17508">
        <w:rPr>
          <w:b/>
        </w:rPr>
        <w:t xml:space="preserve">Rule </w:t>
      </w:r>
      <w:r w:rsidR="00D17508" w:rsidRPr="00D17508">
        <w:rPr>
          <w:b/>
        </w:rPr>
        <w:t>69A-3</w:t>
      </w:r>
      <w:r w:rsidR="004706AB" w:rsidRPr="00D17508">
        <w:rPr>
          <w:b/>
        </w:rPr>
        <w:t>7.055</w:t>
      </w:r>
      <w:r w:rsidR="00FC4FC5">
        <w:t xml:space="preserve"> regarding </w:t>
      </w:r>
      <w:r w:rsidR="004706AB">
        <w:t xml:space="preserve">curriculum requirements for training </w:t>
      </w:r>
      <w:r w:rsidR="00FC4FC5">
        <w:t xml:space="preserve">firefighter </w:t>
      </w:r>
      <w:r w:rsidR="00D17508">
        <w:t>recruits and firefighter/emergency medical technicians</w:t>
      </w:r>
      <w:r w:rsidR="004706AB">
        <w:t>.</w:t>
      </w:r>
    </w:p>
    <w:p w:rsidR="00D17508" w:rsidRDefault="00D17508" w:rsidP="00D17508">
      <w:pPr>
        <w:pStyle w:val="BlockText"/>
        <w:ind w:left="720"/>
      </w:pPr>
    </w:p>
    <w:p w:rsidR="005C76EE" w:rsidRDefault="000E282A" w:rsidP="00F515F7">
      <w:pPr>
        <w:pStyle w:val="BlockText"/>
        <w:numPr>
          <w:ilvl w:val="0"/>
          <w:numId w:val="48"/>
        </w:numPr>
        <w:ind w:firstLine="720"/>
      </w:pPr>
      <w:r>
        <w:t xml:space="preserve">The following petitions for Declaratory Statement </w:t>
      </w:r>
      <w:r w:rsidR="0017420F">
        <w:t xml:space="preserve">and petitions for Variance or Waiver </w:t>
      </w:r>
      <w:r>
        <w:t>have been received or disposed of:</w:t>
      </w:r>
    </w:p>
    <w:p w:rsidR="00F515F7" w:rsidRDefault="00F515F7" w:rsidP="00F515F7">
      <w:pPr>
        <w:pStyle w:val="ListParagraph"/>
      </w:pPr>
    </w:p>
    <w:p w:rsidR="00F515F7" w:rsidRDefault="00F515F7" w:rsidP="00F515F7">
      <w:pPr>
        <w:pStyle w:val="BlockText"/>
        <w:numPr>
          <w:ilvl w:val="2"/>
          <w:numId w:val="48"/>
        </w:numPr>
        <w:ind w:left="1980" w:firstLine="0"/>
      </w:pPr>
      <w:r>
        <w:rPr>
          <w:b/>
        </w:rPr>
        <w:t xml:space="preserve">Phillips Green </w:t>
      </w:r>
      <w:r>
        <w:t>– Petition filed on August 12, 2015, seeking the agency’s opinion as to the applicability of Section 633.124(2</w:t>
      </w:r>
      <w:r w:rsidR="00BB3554">
        <w:t>) (</w:t>
      </w:r>
      <w:r>
        <w:t>a), Florida Statutes, as it applies to the installation of fire sprinkler systems in one and two family dwellings when required under a local government in accordance with Sections 633.208(8) and (9).</w:t>
      </w:r>
    </w:p>
    <w:p w:rsidR="00F515F7" w:rsidRDefault="00F515F7" w:rsidP="00F515F7">
      <w:pPr>
        <w:pStyle w:val="BlockText"/>
        <w:ind w:left="1980"/>
      </w:pPr>
    </w:p>
    <w:p w:rsidR="00F515F7" w:rsidRDefault="00F515F7" w:rsidP="00F76C6F">
      <w:pPr>
        <w:pStyle w:val="BlockText"/>
        <w:numPr>
          <w:ilvl w:val="2"/>
          <w:numId w:val="48"/>
        </w:numPr>
        <w:tabs>
          <w:tab w:val="left" w:pos="1710"/>
        </w:tabs>
      </w:pPr>
      <w:r>
        <w:rPr>
          <w:b/>
        </w:rPr>
        <w:t>James Schock</w:t>
      </w:r>
      <w:r>
        <w:t xml:space="preserve"> – Petition filed on August 17, 2015,</w:t>
      </w:r>
      <w:r w:rsidR="00F76C6F" w:rsidRPr="00F76C6F">
        <w:t xml:space="preserve"> </w:t>
      </w:r>
      <w:r w:rsidR="00F76C6F">
        <w:t>seeking a determination of what license is required to install and inspect sprinklers constructed under the Florida Building Code, Residential Plumbing Section P2904.</w:t>
      </w:r>
    </w:p>
    <w:p w:rsidR="00640C66" w:rsidRDefault="00640C66" w:rsidP="000C5FBA">
      <w:pPr>
        <w:pStyle w:val="BlockText"/>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w:t>
      </w:r>
      <w:r w:rsidR="000C5FBA">
        <w:t xml:space="preserve">all of </w:t>
      </w:r>
      <w:r>
        <w:t>them; however, if anyone is interested in the department’s interpretation of a particular code section, these statements can be found on the division</w:t>
      </w:r>
      <w:r w:rsidR="00D17508">
        <w:t>’s public</w:t>
      </w:r>
      <w:r>
        <w:t xml:space="preserve"> website. </w:t>
      </w:r>
    </w:p>
    <w:p w:rsidR="00DD6729" w:rsidRDefault="00DD6729" w:rsidP="00997BD1">
      <w:pPr>
        <w:pStyle w:val="BlockText"/>
      </w:pPr>
    </w:p>
    <w:p w:rsidR="00C416D8" w:rsidRDefault="008476AE" w:rsidP="00997BD1">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w:t>
      </w:r>
      <w:r w:rsidR="00EE60EE">
        <w:t>) (</w:t>
      </w:r>
      <w:r w:rsidR="00757661">
        <w:t>b)</w:t>
      </w:r>
      <w:r w:rsidR="00997BD1">
        <w:t>, effective July 1, 2013,</w:t>
      </w:r>
      <w:r w:rsidR="00757661">
        <w:t xml:space="preserve"> EXMEPTS certain structures from application of the Florida Fire Prevention Code.</w:t>
      </w:r>
      <w:r w:rsidR="00997BD1" w:rsidRPr="00997BD1">
        <w:rPr>
          <w:b/>
        </w:rPr>
        <w:t xml:space="preserve"> </w:t>
      </w:r>
    </w:p>
    <w:p w:rsidR="004271D8" w:rsidRDefault="004271D8" w:rsidP="005C76EE">
      <w:pPr>
        <w:pStyle w:val="BlockText"/>
        <w:rPr>
          <w:b/>
          <w:u w:val="single"/>
        </w:rPr>
      </w:pPr>
    </w:p>
    <w:p w:rsidR="00F515F7" w:rsidRDefault="00CF37B7" w:rsidP="00041C50">
      <w:pPr>
        <w:pStyle w:val="BlockText"/>
      </w:pPr>
      <w:r w:rsidRPr="00CD02EB">
        <w:rPr>
          <w:b/>
          <w:u w:val="single"/>
        </w:rPr>
        <w:t>Legislative Action:</w:t>
      </w:r>
      <w:r w:rsidR="00156092">
        <w:t xml:space="preserve"> </w:t>
      </w:r>
      <w:r w:rsidR="00CC4315">
        <w:t xml:space="preserve"> </w:t>
      </w:r>
      <w:r w:rsidR="00041C50">
        <w:t xml:space="preserve">Since adjournment of the </w:t>
      </w:r>
      <w:r w:rsidR="00431C88">
        <w:t>2015 Re</w:t>
      </w:r>
      <w:r w:rsidR="00BC261C">
        <w:t>gu</w:t>
      </w:r>
      <w:r w:rsidR="00CC4315">
        <w:t xml:space="preserve">lar Legislative Session, </w:t>
      </w:r>
      <w:r w:rsidR="00041C50">
        <w:t>a Special Session “A” was held to pass a state budget and bills related thereto</w:t>
      </w:r>
      <w:r w:rsidR="00F515F7">
        <w:t xml:space="preserve"> (which were passed)</w:t>
      </w:r>
      <w:r w:rsidR="00041C50">
        <w:t>, and a Sp</w:t>
      </w:r>
      <w:r w:rsidR="003B1697">
        <w:t>e</w:t>
      </w:r>
      <w:r w:rsidR="00041C50">
        <w:t xml:space="preserve">cial Session “B” </w:t>
      </w:r>
      <w:r w:rsidR="00F515F7">
        <w:t>began</w:t>
      </w:r>
      <w:r w:rsidR="00041C50">
        <w:t xml:space="preserve"> on Monday, August 10, 2015, to re-draw congressional districts that have been found unconstitutional by the Florida Supreme Court</w:t>
      </w:r>
      <w:r w:rsidR="00F515F7">
        <w:t xml:space="preserve"> (for which no resolution was achieved, so a Special Session “C” will now be held</w:t>
      </w:r>
      <w:r w:rsidR="00041C50">
        <w:t xml:space="preserve">. </w:t>
      </w:r>
    </w:p>
    <w:p w:rsidR="00F515F7" w:rsidRDefault="00F515F7" w:rsidP="00041C50">
      <w:pPr>
        <w:pStyle w:val="BlockText"/>
      </w:pPr>
    </w:p>
    <w:p w:rsidR="00A504D3" w:rsidRPr="0042730E" w:rsidRDefault="00A504D3" w:rsidP="00041C50">
      <w:pPr>
        <w:pStyle w:val="BlockText"/>
        <w:rPr>
          <w:b/>
        </w:rPr>
      </w:pPr>
      <w:r w:rsidRPr="0042730E">
        <w:rPr>
          <w:b/>
        </w:rPr>
        <w:t xml:space="preserve">To date, there are </w:t>
      </w:r>
      <w:r w:rsidR="0042730E" w:rsidRPr="0042730E">
        <w:rPr>
          <w:b/>
        </w:rPr>
        <w:t xml:space="preserve">55 </w:t>
      </w:r>
      <w:r w:rsidRPr="0042730E">
        <w:rPr>
          <w:b/>
        </w:rPr>
        <w:t>pre-filed bills pending</w:t>
      </w:r>
      <w:r w:rsidR="00F515F7" w:rsidRPr="0042730E">
        <w:rPr>
          <w:b/>
        </w:rPr>
        <w:t xml:space="preserve"> for consideration during the 2016 Regular Legislative Session, which begins in January</w:t>
      </w:r>
      <w:r w:rsidRPr="0042730E">
        <w:rPr>
          <w:b/>
        </w:rPr>
        <w:t>.</w:t>
      </w:r>
      <w:r w:rsidR="0042730E" w:rsidRPr="0042730E">
        <w:rPr>
          <w:b/>
        </w:rPr>
        <w:t xml:space="preserve"> None of these are construction-related at this time.</w:t>
      </w:r>
    </w:p>
    <w:p w:rsidR="00F515F7" w:rsidRPr="00774784" w:rsidRDefault="00F515F7" w:rsidP="00041C50">
      <w:pPr>
        <w:pStyle w:val="BlockText"/>
      </w:pPr>
    </w:p>
    <w:p w:rsidR="00E435B7" w:rsidRPr="00E435B7" w:rsidRDefault="00E435B7" w:rsidP="00E435B7">
      <w:pPr>
        <w:jc w:val="center"/>
        <w:rPr>
          <w:rFonts w:cs="Times New Roman"/>
          <w:u w:val="single"/>
        </w:rPr>
      </w:pPr>
      <w:r w:rsidRPr="00E435B7">
        <w:rPr>
          <w:rFonts w:cs="Times New Roman"/>
          <w:u w:val="single"/>
        </w:rPr>
        <w:t>NOTE:</w:t>
      </w:r>
    </w:p>
    <w:p w:rsidR="00A504D3" w:rsidRPr="00E435B7" w:rsidRDefault="00E435B7" w:rsidP="00E435B7">
      <w:pPr>
        <w:jc w:val="both"/>
        <w:rPr>
          <w:rFonts w:cs="Times New Roman"/>
        </w:rPr>
      </w:pPr>
      <w:r w:rsidRPr="00E435B7">
        <w:rPr>
          <w:rFonts w:cs="Times New Roman"/>
        </w:rPr>
        <w:t>Once a bill has passed both chambers, it is “enrolled,” which means it is the final version that will be presented to the Governor, who then has only 15 days to veto, signing or allow the bill to become law without his signature. “Presentment” of a bill to the Governor requires a certification signed by both presiding officers that the bill has passed the respective chamber, but here is NO DEADLINE by which the bill must be so presented</w:t>
      </w:r>
      <w:r w:rsidR="00A504D3">
        <w:rPr>
          <w:rFonts w:cs="Times New Roman"/>
        </w:rPr>
        <w:t xml:space="preserve"> to the Governor.</w:t>
      </w:r>
    </w:p>
    <w:p w:rsidR="00BC261C" w:rsidRDefault="00BC261C" w:rsidP="002B78B0">
      <w:pPr>
        <w:pStyle w:val="BlockText"/>
      </w:pPr>
    </w:p>
    <w:p w:rsidR="00BC261C" w:rsidRDefault="00BC261C" w:rsidP="002B78B0">
      <w:pPr>
        <w:pStyle w:val="BlockText"/>
      </w:pPr>
      <w:r>
        <w:t>Respectfully submitted,</w:t>
      </w:r>
    </w:p>
    <w:p w:rsidR="00BC261C" w:rsidRDefault="00BC261C"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466EB9" w:rsidRDefault="00F515F7" w:rsidP="002B78B0">
      <w:pPr>
        <w:pStyle w:val="BlockText"/>
      </w:pPr>
      <w:r>
        <w:t>September 13</w:t>
      </w:r>
      <w:r w:rsidR="0029168D">
        <w:t>, 2</w:t>
      </w:r>
      <w:r w:rsidR="004271D8">
        <w:t>015</w:t>
      </w:r>
    </w:p>
    <w:sectPr w:rsidR="00466EB9"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4B" w:rsidRDefault="00221E4B" w:rsidP="009A2CBA">
      <w:r>
        <w:separator/>
      </w:r>
    </w:p>
  </w:endnote>
  <w:endnote w:type="continuationSeparator" w:id="0">
    <w:p w:rsidR="00221E4B" w:rsidRDefault="00221E4B"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91308E">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91308E">
      <w:rPr>
        <w:noProof/>
        <w:sz w:val="20"/>
      </w:rPr>
      <w:instrText>10</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4B" w:rsidRDefault="00221E4B" w:rsidP="009A2CBA">
      <w:r>
        <w:separator/>
      </w:r>
    </w:p>
  </w:footnote>
  <w:footnote w:type="continuationSeparator" w:id="0">
    <w:p w:rsidR="00221E4B" w:rsidRDefault="00221E4B" w:rsidP="009A2CBA">
      <w:r>
        <w:continuationSeparator/>
      </w:r>
    </w:p>
  </w:footnote>
  <w:footnote w:id="1">
    <w:p w:rsidR="00FF5097" w:rsidRDefault="00FF5097">
      <w:pPr>
        <w:pStyle w:val="FootnoteText"/>
      </w:pPr>
    </w:p>
  </w:footnote>
  <w:footnote w:id="2">
    <w:p w:rsidR="00FF5097" w:rsidRDefault="00FF5097" w:rsidP="004E142A">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w:t>
      </w:r>
      <w:r w:rsidR="007C1C60">
        <w:t>, but is specifically authorized to issue declaratory statement interpreting sections of the code</w:t>
      </w:r>
      <w:r>
        <w:t>.</w:t>
      </w:r>
    </w:p>
    <w:p w:rsidR="00FF5097" w:rsidRDefault="00FF5097"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06C845F6"/>
    <w:multiLevelType w:val="hybridMultilevel"/>
    <w:tmpl w:val="0520DBCC"/>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492D1FC">
      <w:start w:val="1"/>
      <w:numFmt w:val="lowerRoman"/>
      <w:lvlText w:val="%3."/>
      <w:lvlJc w:val="right"/>
      <w:pPr>
        <w:ind w:left="3240" w:hanging="180"/>
      </w:pPr>
      <w:rPr>
        <w:rFonts w:ascii="Times New Roman" w:eastAsiaTheme="minorEastAsia" w:hAnsi="Times New Roman" w:cstheme="minorBid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842C8E"/>
    <w:multiLevelType w:val="multilevel"/>
    <w:tmpl w:val="E1B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70347"/>
    <w:multiLevelType w:val="hybridMultilevel"/>
    <w:tmpl w:val="83EA3382"/>
    <w:lvl w:ilvl="0" w:tplc="69649F7A">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1BF0B81"/>
    <w:multiLevelType w:val="hybridMultilevel"/>
    <w:tmpl w:val="5E22D09E"/>
    <w:lvl w:ilvl="0" w:tplc="04090019">
      <w:start w:val="2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66245"/>
    <w:multiLevelType w:val="multilevel"/>
    <w:tmpl w:val="666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0F4A2B"/>
    <w:multiLevelType w:val="multilevel"/>
    <w:tmpl w:val="1B3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62313"/>
    <w:multiLevelType w:val="multilevel"/>
    <w:tmpl w:val="8A14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62CE4"/>
    <w:multiLevelType w:val="hybridMultilevel"/>
    <w:tmpl w:val="AFCCD08C"/>
    <w:lvl w:ilvl="0" w:tplc="2B7ED4C2">
      <w:start w:val="3"/>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AC7912"/>
    <w:multiLevelType w:val="multilevel"/>
    <w:tmpl w:val="D47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9036A7"/>
    <w:multiLevelType w:val="multilevel"/>
    <w:tmpl w:val="E52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122782"/>
    <w:multiLevelType w:val="multilevel"/>
    <w:tmpl w:val="B05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50E0A57"/>
    <w:multiLevelType w:val="hybridMultilevel"/>
    <w:tmpl w:val="A14EDEC4"/>
    <w:lvl w:ilvl="0" w:tplc="454857CA">
      <w:start w:val="1"/>
      <w:numFmt w:val="decimal"/>
      <w:lvlText w:val="%1."/>
      <w:lvlJc w:val="left"/>
      <w:pPr>
        <w:ind w:left="1080" w:hanging="360"/>
      </w:pPr>
      <w:rPr>
        <w:rFonts w:hint="default"/>
        <w:b/>
      </w:rPr>
    </w:lvl>
    <w:lvl w:ilvl="1" w:tplc="89A62B52">
      <w:start w:val="1"/>
      <w:numFmt w:val="upp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787DFB"/>
    <w:multiLevelType w:val="multilevel"/>
    <w:tmpl w:val="B90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440002EB"/>
    <w:multiLevelType w:val="multilevel"/>
    <w:tmpl w:val="40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148088C"/>
    <w:multiLevelType w:val="hybridMultilevel"/>
    <w:tmpl w:val="D8582808"/>
    <w:lvl w:ilvl="0" w:tplc="42AE776C">
      <w:start w:val="2"/>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54562567"/>
    <w:multiLevelType w:val="hybridMultilevel"/>
    <w:tmpl w:val="5254EE84"/>
    <w:lvl w:ilvl="0" w:tplc="CF7EB4F0">
      <w:start w:val="1"/>
      <w:numFmt w:val="upperLetter"/>
      <w:lvlText w:val="%1."/>
      <w:lvlJc w:val="left"/>
      <w:pPr>
        <w:ind w:left="198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9A5854"/>
    <w:multiLevelType w:val="multilevel"/>
    <w:tmpl w:val="AE0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657EF"/>
    <w:multiLevelType w:val="hybridMultilevel"/>
    <w:tmpl w:val="9446A63A"/>
    <w:lvl w:ilvl="0" w:tplc="6832C474">
      <w:start w:val="1"/>
      <w:numFmt w:val="upperLetter"/>
      <w:lvlText w:val="%1."/>
      <w:lvlJc w:val="left"/>
      <w:pPr>
        <w:ind w:left="1800" w:hanging="360"/>
      </w:pPr>
      <w:rPr>
        <w:rFonts w:hint="default"/>
        <w:b/>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B73C9"/>
    <w:multiLevelType w:val="multilevel"/>
    <w:tmpl w:val="74D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E150D"/>
    <w:multiLevelType w:val="hybridMultilevel"/>
    <w:tmpl w:val="869EE4C2"/>
    <w:lvl w:ilvl="0" w:tplc="04090019">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DF5132"/>
    <w:multiLevelType w:val="multilevel"/>
    <w:tmpl w:val="48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AE4765"/>
    <w:multiLevelType w:val="hybridMultilevel"/>
    <w:tmpl w:val="6F64C03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15EAF"/>
    <w:multiLevelType w:val="multilevel"/>
    <w:tmpl w:val="71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75D07"/>
    <w:multiLevelType w:val="multilevel"/>
    <w:tmpl w:val="5F5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7"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1"/>
  </w:num>
  <w:num w:numId="4">
    <w:abstractNumId w:val="47"/>
  </w:num>
  <w:num w:numId="5">
    <w:abstractNumId w:val="34"/>
  </w:num>
  <w:num w:numId="6">
    <w:abstractNumId w:val="48"/>
  </w:num>
  <w:num w:numId="7">
    <w:abstractNumId w:val="12"/>
  </w:num>
  <w:num w:numId="8">
    <w:abstractNumId w:val="17"/>
  </w:num>
  <w:num w:numId="9">
    <w:abstractNumId w:val="3"/>
  </w:num>
  <w:num w:numId="10">
    <w:abstractNumId w:val="1"/>
  </w:num>
  <w:num w:numId="11">
    <w:abstractNumId w:val="24"/>
  </w:num>
  <w:num w:numId="12">
    <w:abstractNumId w:val="5"/>
  </w:num>
  <w:num w:numId="13">
    <w:abstractNumId w:val="28"/>
  </w:num>
  <w:num w:numId="14">
    <w:abstractNumId w:val="13"/>
  </w:num>
  <w:num w:numId="15">
    <w:abstractNumId w:val="21"/>
  </w:num>
  <w:num w:numId="16">
    <w:abstractNumId w:val="23"/>
  </w:num>
  <w:num w:numId="17">
    <w:abstractNumId w:val="46"/>
  </w:num>
  <w:num w:numId="18">
    <w:abstractNumId w:val="14"/>
  </w:num>
  <w:num w:numId="19">
    <w:abstractNumId w:val="30"/>
  </w:num>
  <w:num w:numId="20">
    <w:abstractNumId w:val="26"/>
  </w:num>
  <w:num w:numId="21">
    <w:abstractNumId w:val="6"/>
  </w:num>
  <w:num w:numId="22">
    <w:abstractNumId w:val="11"/>
  </w:num>
  <w:num w:numId="23">
    <w:abstractNumId w:val="33"/>
  </w:num>
  <w:num w:numId="24">
    <w:abstractNumId w:val="42"/>
  </w:num>
  <w:num w:numId="25">
    <w:abstractNumId w:val="8"/>
  </w:num>
  <w:num w:numId="26">
    <w:abstractNumId w:val="39"/>
  </w:num>
  <w:num w:numId="27">
    <w:abstractNumId w:val="31"/>
  </w:num>
  <w:num w:numId="28">
    <w:abstractNumId w:val="16"/>
  </w:num>
  <w:num w:numId="29">
    <w:abstractNumId w:val="40"/>
  </w:num>
  <w:num w:numId="30">
    <w:abstractNumId w:val="19"/>
  </w:num>
  <w:num w:numId="31">
    <w:abstractNumId w:val="45"/>
  </w:num>
  <w:num w:numId="32">
    <w:abstractNumId w:val="29"/>
  </w:num>
  <w:num w:numId="33">
    <w:abstractNumId w:val="15"/>
  </w:num>
  <w:num w:numId="34">
    <w:abstractNumId w:val="38"/>
  </w:num>
  <w:num w:numId="35">
    <w:abstractNumId w:val="43"/>
  </w:num>
  <w:num w:numId="36">
    <w:abstractNumId w:val="35"/>
  </w:num>
  <w:num w:numId="37">
    <w:abstractNumId w:val="10"/>
  </w:num>
  <w:num w:numId="38">
    <w:abstractNumId w:val="25"/>
  </w:num>
  <w:num w:numId="39">
    <w:abstractNumId w:val="7"/>
  </w:num>
  <w:num w:numId="40">
    <w:abstractNumId w:val="22"/>
  </w:num>
  <w:num w:numId="41">
    <w:abstractNumId w:val="20"/>
  </w:num>
  <w:num w:numId="42">
    <w:abstractNumId w:val="9"/>
  </w:num>
  <w:num w:numId="43">
    <w:abstractNumId w:val="18"/>
  </w:num>
  <w:num w:numId="44">
    <w:abstractNumId w:val="27"/>
  </w:num>
  <w:num w:numId="45">
    <w:abstractNumId w:val="32"/>
  </w:num>
  <w:num w:numId="46">
    <w:abstractNumId w:val="4"/>
  </w:num>
  <w:num w:numId="47">
    <w:abstractNumId w:val="36"/>
  </w:num>
  <w:num w:numId="48">
    <w:abstractNumId w:val="44"/>
  </w:num>
  <w:num w:numId="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5B23"/>
    <w:rsid w:val="00066D23"/>
    <w:rsid w:val="00071707"/>
    <w:rsid w:val="00072343"/>
    <w:rsid w:val="00074EDF"/>
    <w:rsid w:val="0008109E"/>
    <w:rsid w:val="00084298"/>
    <w:rsid w:val="00086D79"/>
    <w:rsid w:val="00094361"/>
    <w:rsid w:val="00094EBD"/>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3919"/>
    <w:rsid w:val="001462FC"/>
    <w:rsid w:val="00146574"/>
    <w:rsid w:val="00146E4E"/>
    <w:rsid w:val="001476D7"/>
    <w:rsid w:val="00150F40"/>
    <w:rsid w:val="00151063"/>
    <w:rsid w:val="00151720"/>
    <w:rsid w:val="00151F43"/>
    <w:rsid w:val="00156092"/>
    <w:rsid w:val="001572A8"/>
    <w:rsid w:val="00162E5A"/>
    <w:rsid w:val="001649EE"/>
    <w:rsid w:val="00165F0B"/>
    <w:rsid w:val="001673C5"/>
    <w:rsid w:val="0017187B"/>
    <w:rsid w:val="00172C04"/>
    <w:rsid w:val="00173510"/>
    <w:rsid w:val="00173BB8"/>
    <w:rsid w:val="0017420F"/>
    <w:rsid w:val="00175923"/>
    <w:rsid w:val="001768AB"/>
    <w:rsid w:val="00176CCB"/>
    <w:rsid w:val="001776E6"/>
    <w:rsid w:val="00177AA7"/>
    <w:rsid w:val="00182EC5"/>
    <w:rsid w:val="00183D27"/>
    <w:rsid w:val="0019065B"/>
    <w:rsid w:val="00193DF7"/>
    <w:rsid w:val="001963BC"/>
    <w:rsid w:val="001A3667"/>
    <w:rsid w:val="001B0E80"/>
    <w:rsid w:val="001B11FD"/>
    <w:rsid w:val="001B4226"/>
    <w:rsid w:val="001B5A99"/>
    <w:rsid w:val="001B5DD4"/>
    <w:rsid w:val="001B6195"/>
    <w:rsid w:val="001B73F6"/>
    <w:rsid w:val="001C3A80"/>
    <w:rsid w:val="001C7B0D"/>
    <w:rsid w:val="001D0121"/>
    <w:rsid w:val="001D1B70"/>
    <w:rsid w:val="001D2330"/>
    <w:rsid w:val="001D25D1"/>
    <w:rsid w:val="001D35CA"/>
    <w:rsid w:val="001D50A8"/>
    <w:rsid w:val="001D5776"/>
    <w:rsid w:val="001E327E"/>
    <w:rsid w:val="001E3281"/>
    <w:rsid w:val="001F01B4"/>
    <w:rsid w:val="001F0D0C"/>
    <w:rsid w:val="001F18CD"/>
    <w:rsid w:val="001F7DB9"/>
    <w:rsid w:val="00200951"/>
    <w:rsid w:val="00200AF1"/>
    <w:rsid w:val="002031ED"/>
    <w:rsid w:val="002066F0"/>
    <w:rsid w:val="00210263"/>
    <w:rsid w:val="002145F0"/>
    <w:rsid w:val="00217DA2"/>
    <w:rsid w:val="00217EBB"/>
    <w:rsid w:val="00221926"/>
    <w:rsid w:val="00221AAE"/>
    <w:rsid w:val="00221E4B"/>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58FB"/>
    <w:rsid w:val="00261795"/>
    <w:rsid w:val="00262A25"/>
    <w:rsid w:val="002630F7"/>
    <w:rsid w:val="002630FF"/>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5A54"/>
    <w:rsid w:val="002A7577"/>
    <w:rsid w:val="002A777F"/>
    <w:rsid w:val="002B09F1"/>
    <w:rsid w:val="002B0DFC"/>
    <w:rsid w:val="002B35C5"/>
    <w:rsid w:val="002B3E98"/>
    <w:rsid w:val="002B78B0"/>
    <w:rsid w:val="002C0513"/>
    <w:rsid w:val="002C3294"/>
    <w:rsid w:val="002C378F"/>
    <w:rsid w:val="002C5E1D"/>
    <w:rsid w:val="002D1599"/>
    <w:rsid w:val="002D366C"/>
    <w:rsid w:val="002D4362"/>
    <w:rsid w:val="002E2A6D"/>
    <w:rsid w:val="002E2F5E"/>
    <w:rsid w:val="002F015B"/>
    <w:rsid w:val="002F16B3"/>
    <w:rsid w:val="002F2016"/>
    <w:rsid w:val="002F61E3"/>
    <w:rsid w:val="00304305"/>
    <w:rsid w:val="00305D83"/>
    <w:rsid w:val="00305FDE"/>
    <w:rsid w:val="00311BC1"/>
    <w:rsid w:val="00311DF4"/>
    <w:rsid w:val="00312FA2"/>
    <w:rsid w:val="003134D3"/>
    <w:rsid w:val="0031487D"/>
    <w:rsid w:val="003154E8"/>
    <w:rsid w:val="00317330"/>
    <w:rsid w:val="0032124B"/>
    <w:rsid w:val="00321E89"/>
    <w:rsid w:val="0032220C"/>
    <w:rsid w:val="003239B0"/>
    <w:rsid w:val="0032443B"/>
    <w:rsid w:val="0032598E"/>
    <w:rsid w:val="00325FC1"/>
    <w:rsid w:val="003319A7"/>
    <w:rsid w:val="00332825"/>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52AB"/>
    <w:rsid w:val="003B59EA"/>
    <w:rsid w:val="003B5B30"/>
    <w:rsid w:val="003C09F0"/>
    <w:rsid w:val="003C265E"/>
    <w:rsid w:val="003C2DE3"/>
    <w:rsid w:val="003C3E7C"/>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3F6A5C"/>
    <w:rsid w:val="00401A5C"/>
    <w:rsid w:val="004077C2"/>
    <w:rsid w:val="0041051F"/>
    <w:rsid w:val="00413E91"/>
    <w:rsid w:val="00414D9E"/>
    <w:rsid w:val="0041534C"/>
    <w:rsid w:val="00416C25"/>
    <w:rsid w:val="00416CC9"/>
    <w:rsid w:val="004200FB"/>
    <w:rsid w:val="004204AE"/>
    <w:rsid w:val="00421A4C"/>
    <w:rsid w:val="00425FE8"/>
    <w:rsid w:val="004271D8"/>
    <w:rsid w:val="0042730E"/>
    <w:rsid w:val="00427E2F"/>
    <w:rsid w:val="00430AB5"/>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2EF7"/>
    <w:rsid w:val="004C4506"/>
    <w:rsid w:val="004C458B"/>
    <w:rsid w:val="004C5780"/>
    <w:rsid w:val="004C63D8"/>
    <w:rsid w:val="004C7846"/>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0E7"/>
    <w:rsid w:val="005D71D8"/>
    <w:rsid w:val="005E196A"/>
    <w:rsid w:val="005E4539"/>
    <w:rsid w:val="005E73B8"/>
    <w:rsid w:val="005F17D4"/>
    <w:rsid w:val="005F1FB3"/>
    <w:rsid w:val="005F2098"/>
    <w:rsid w:val="005F2E38"/>
    <w:rsid w:val="005F4A79"/>
    <w:rsid w:val="005F51C9"/>
    <w:rsid w:val="005F705E"/>
    <w:rsid w:val="005F770C"/>
    <w:rsid w:val="00600D46"/>
    <w:rsid w:val="00604806"/>
    <w:rsid w:val="0060730E"/>
    <w:rsid w:val="006077FF"/>
    <w:rsid w:val="00614279"/>
    <w:rsid w:val="00620CC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D7"/>
    <w:rsid w:val="00657E5B"/>
    <w:rsid w:val="00660E5F"/>
    <w:rsid w:val="00660F73"/>
    <w:rsid w:val="0066317C"/>
    <w:rsid w:val="006639C7"/>
    <w:rsid w:val="00663A8E"/>
    <w:rsid w:val="00663C9D"/>
    <w:rsid w:val="006668DE"/>
    <w:rsid w:val="0066697C"/>
    <w:rsid w:val="0066753D"/>
    <w:rsid w:val="00667D54"/>
    <w:rsid w:val="00675E10"/>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1C4E"/>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4A54"/>
    <w:rsid w:val="007150E1"/>
    <w:rsid w:val="00720A29"/>
    <w:rsid w:val="00722B80"/>
    <w:rsid w:val="00722DD1"/>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4176"/>
    <w:rsid w:val="007E7F26"/>
    <w:rsid w:val="007F16BD"/>
    <w:rsid w:val="007F2F12"/>
    <w:rsid w:val="007F63B9"/>
    <w:rsid w:val="007F6E51"/>
    <w:rsid w:val="00801B02"/>
    <w:rsid w:val="008035A4"/>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018F"/>
    <w:rsid w:val="008714D7"/>
    <w:rsid w:val="008750C1"/>
    <w:rsid w:val="00875906"/>
    <w:rsid w:val="00876A95"/>
    <w:rsid w:val="0088153B"/>
    <w:rsid w:val="00883771"/>
    <w:rsid w:val="0088673E"/>
    <w:rsid w:val="00886D9E"/>
    <w:rsid w:val="0089089A"/>
    <w:rsid w:val="00894D34"/>
    <w:rsid w:val="00897F26"/>
    <w:rsid w:val="008A4467"/>
    <w:rsid w:val="008A7FFE"/>
    <w:rsid w:val="008B06DE"/>
    <w:rsid w:val="008B10F9"/>
    <w:rsid w:val="008B64BE"/>
    <w:rsid w:val="008B6B8E"/>
    <w:rsid w:val="008B6F95"/>
    <w:rsid w:val="008C0D2B"/>
    <w:rsid w:val="008C23E6"/>
    <w:rsid w:val="008C30E6"/>
    <w:rsid w:val="008C44B6"/>
    <w:rsid w:val="008C4CD7"/>
    <w:rsid w:val="008C57F6"/>
    <w:rsid w:val="008C6567"/>
    <w:rsid w:val="008D5528"/>
    <w:rsid w:val="008D7EAD"/>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08E"/>
    <w:rsid w:val="00913DE9"/>
    <w:rsid w:val="00915698"/>
    <w:rsid w:val="00920535"/>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53FE2"/>
    <w:rsid w:val="009615F7"/>
    <w:rsid w:val="0096439D"/>
    <w:rsid w:val="00965188"/>
    <w:rsid w:val="009679F7"/>
    <w:rsid w:val="00972224"/>
    <w:rsid w:val="0098369B"/>
    <w:rsid w:val="009855ED"/>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53D8"/>
    <w:rsid w:val="009B6571"/>
    <w:rsid w:val="009B7504"/>
    <w:rsid w:val="009C4A92"/>
    <w:rsid w:val="009C6254"/>
    <w:rsid w:val="009C6CE8"/>
    <w:rsid w:val="009C6F42"/>
    <w:rsid w:val="009D31D6"/>
    <w:rsid w:val="009D3EF7"/>
    <w:rsid w:val="009D4AA9"/>
    <w:rsid w:val="009D54A5"/>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04D3"/>
    <w:rsid w:val="00A52844"/>
    <w:rsid w:val="00A52BEC"/>
    <w:rsid w:val="00A57777"/>
    <w:rsid w:val="00A57E0F"/>
    <w:rsid w:val="00A65C42"/>
    <w:rsid w:val="00A67E6D"/>
    <w:rsid w:val="00A75304"/>
    <w:rsid w:val="00A82F6F"/>
    <w:rsid w:val="00A862A4"/>
    <w:rsid w:val="00A903BC"/>
    <w:rsid w:val="00A9229C"/>
    <w:rsid w:val="00A92BA2"/>
    <w:rsid w:val="00A9360E"/>
    <w:rsid w:val="00A973D9"/>
    <w:rsid w:val="00AA0190"/>
    <w:rsid w:val="00AA1C3B"/>
    <w:rsid w:val="00AA1DC4"/>
    <w:rsid w:val="00AA20DC"/>
    <w:rsid w:val="00AA2435"/>
    <w:rsid w:val="00AA29A7"/>
    <w:rsid w:val="00AA49B9"/>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E786D"/>
    <w:rsid w:val="00AF0CA4"/>
    <w:rsid w:val="00AF1CAD"/>
    <w:rsid w:val="00AF448F"/>
    <w:rsid w:val="00AF4CC5"/>
    <w:rsid w:val="00B02CB3"/>
    <w:rsid w:val="00B04E9C"/>
    <w:rsid w:val="00B0622F"/>
    <w:rsid w:val="00B06511"/>
    <w:rsid w:val="00B06DF9"/>
    <w:rsid w:val="00B102F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409D"/>
    <w:rsid w:val="00B65A78"/>
    <w:rsid w:val="00B665B0"/>
    <w:rsid w:val="00B70EED"/>
    <w:rsid w:val="00B7181B"/>
    <w:rsid w:val="00B7209C"/>
    <w:rsid w:val="00B73DBD"/>
    <w:rsid w:val="00B754FE"/>
    <w:rsid w:val="00B75D21"/>
    <w:rsid w:val="00B82AFD"/>
    <w:rsid w:val="00B82F44"/>
    <w:rsid w:val="00B854DA"/>
    <w:rsid w:val="00B86298"/>
    <w:rsid w:val="00B901A9"/>
    <w:rsid w:val="00B92C29"/>
    <w:rsid w:val="00B94BF6"/>
    <w:rsid w:val="00B94EA1"/>
    <w:rsid w:val="00B94EB0"/>
    <w:rsid w:val="00B96D89"/>
    <w:rsid w:val="00B972A0"/>
    <w:rsid w:val="00BA2CBC"/>
    <w:rsid w:val="00BA363C"/>
    <w:rsid w:val="00BA5910"/>
    <w:rsid w:val="00BA7E0B"/>
    <w:rsid w:val="00BB3554"/>
    <w:rsid w:val="00BB3CE8"/>
    <w:rsid w:val="00BB43FD"/>
    <w:rsid w:val="00BB6D12"/>
    <w:rsid w:val="00BB7583"/>
    <w:rsid w:val="00BC261C"/>
    <w:rsid w:val="00BC3E94"/>
    <w:rsid w:val="00BC3ED9"/>
    <w:rsid w:val="00BC4B4F"/>
    <w:rsid w:val="00BC5032"/>
    <w:rsid w:val="00BC59CC"/>
    <w:rsid w:val="00BD0579"/>
    <w:rsid w:val="00BD1D69"/>
    <w:rsid w:val="00BD42D8"/>
    <w:rsid w:val="00BD45AE"/>
    <w:rsid w:val="00BE34DD"/>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7427B"/>
    <w:rsid w:val="00C80E12"/>
    <w:rsid w:val="00C80F74"/>
    <w:rsid w:val="00C84E54"/>
    <w:rsid w:val="00C8621F"/>
    <w:rsid w:val="00C906E0"/>
    <w:rsid w:val="00C959A0"/>
    <w:rsid w:val="00C976E2"/>
    <w:rsid w:val="00C97707"/>
    <w:rsid w:val="00CA1872"/>
    <w:rsid w:val="00CA1D5A"/>
    <w:rsid w:val="00CA349E"/>
    <w:rsid w:val="00CA5910"/>
    <w:rsid w:val="00CA5EE6"/>
    <w:rsid w:val="00CA6A88"/>
    <w:rsid w:val="00CB0D76"/>
    <w:rsid w:val="00CB169A"/>
    <w:rsid w:val="00CB18D5"/>
    <w:rsid w:val="00CB393B"/>
    <w:rsid w:val="00CC08D4"/>
    <w:rsid w:val="00CC1B0F"/>
    <w:rsid w:val="00CC4315"/>
    <w:rsid w:val="00CC601F"/>
    <w:rsid w:val="00CD02EB"/>
    <w:rsid w:val="00CD6E9F"/>
    <w:rsid w:val="00CE6BAF"/>
    <w:rsid w:val="00CF0F17"/>
    <w:rsid w:val="00CF2384"/>
    <w:rsid w:val="00CF2A48"/>
    <w:rsid w:val="00CF2BE6"/>
    <w:rsid w:val="00CF2DBD"/>
    <w:rsid w:val="00CF37B7"/>
    <w:rsid w:val="00CF3D80"/>
    <w:rsid w:val="00CF569B"/>
    <w:rsid w:val="00CF7C33"/>
    <w:rsid w:val="00D0142A"/>
    <w:rsid w:val="00D025A9"/>
    <w:rsid w:val="00D03141"/>
    <w:rsid w:val="00D11596"/>
    <w:rsid w:val="00D15049"/>
    <w:rsid w:val="00D17508"/>
    <w:rsid w:val="00D17EF8"/>
    <w:rsid w:val="00D22A20"/>
    <w:rsid w:val="00D255AC"/>
    <w:rsid w:val="00D318BB"/>
    <w:rsid w:val="00D31E05"/>
    <w:rsid w:val="00D35E4B"/>
    <w:rsid w:val="00D4023D"/>
    <w:rsid w:val="00D40DAB"/>
    <w:rsid w:val="00D42313"/>
    <w:rsid w:val="00D43858"/>
    <w:rsid w:val="00D45220"/>
    <w:rsid w:val="00D45F79"/>
    <w:rsid w:val="00D45FC8"/>
    <w:rsid w:val="00D500C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D18B8"/>
    <w:rsid w:val="00DD1B53"/>
    <w:rsid w:val="00DD2D4F"/>
    <w:rsid w:val="00DD3ECB"/>
    <w:rsid w:val="00DD4201"/>
    <w:rsid w:val="00DD46B2"/>
    <w:rsid w:val="00DD5289"/>
    <w:rsid w:val="00DD5BF9"/>
    <w:rsid w:val="00DD6729"/>
    <w:rsid w:val="00DD760C"/>
    <w:rsid w:val="00DE0FB7"/>
    <w:rsid w:val="00DE3DD6"/>
    <w:rsid w:val="00DE4100"/>
    <w:rsid w:val="00DE517B"/>
    <w:rsid w:val="00DE52F2"/>
    <w:rsid w:val="00DE5A5D"/>
    <w:rsid w:val="00DE67A8"/>
    <w:rsid w:val="00DF072F"/>
    <w:rsid w:val="00DF0B84"/>
    <w:rsid w:val="00DF1ACD"/>
    <w:rsid w:val="00DF255F"/>
    <w:rsid w:val="00DF2996"/>
    <w:rsid w:val="00DF4C21"/>
    <w:rsid w:val="00E028F5"/>
    <w:rsid w:val="00E03EA5"/>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19F0"/>
    <w:rsid w:val="00E576B4"/>
    <w:rsid w:val="00E62413"/>
    <w:rsid w:val="00E64091"/>
    <w:rsid w:val="00E66237"/>
    <w:rsid w:val="00E66470"/>
    <w:rsid w:val="00E67C64"/>
    <w:rsid w:val="00E71BDF"/>
    <w:rsid w:val="00E81A71"/>
    <w:rsid w:val="00E8267C"/>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539A"/>
    <w:rsid w:val="00EC6DFA"/>
    <w:rsid w:val="00ED39C3"/>
    <w:rsid w:val="00ED66FE"/>
    <w:rsid w:val="00ED68AB"/>
    <w:rsid w:val="00EE3D44"/>
    <w:rsid w:val="00EE41E2"/>
    <w:rsid w:val="00EE60EE"/>
    <w:rsid w:val="00EF1906"/>
    <w:rsid w:val="00EF1953"/>
    <w:rsid w:val="00EF2347"/>
    <w:rsid w:val="00EF2D9E"/>
    <w:rsid w:val="00EF30B1"/>
    <w:rsid w:val="00EF3BC8"/>
    <w:rsid w:val="00EF7F7D"/>
    <w:rsid w:val="00F003DC"/>
    <w:rsid w:val="00F00476"/>
    <w:rsid w:val="00F012AB"/>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15F7"/>
    <w:rsid w:val="00F52831"/>
    <w:rsid w:val="00F53B73"/>
    <w:rsid w:val="00F53D3E"/>
    <w:rsid w:val="00F56C3E"/>
    <w:rsid w:val="00F60C95"/>
    <w:rsid w:val="00F61714"/>
    <w:rsid w:val="00F6434D"/>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7E6A-AB3B-4599-ACC6-40715489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3337</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22314</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2015-09-12T15:10:00Z</dcterms:created>
  <dcterms:modified xsi:type="dcterms:W3CDTF">2015-09-14T14:47:00Z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