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992C68">
        <w:t xml:space="preserve"> of July/August </w:t>
      </w:r>
      <w:r w:rsidR="00B607ED">
        <w:t>2015</w:t>
      </w:r>
    </w:p>
    <w:p w:rsidR="006F4CE9" w:rsidRDefault="006F4CE9" w:rsidP="00D9771C">
      <w:pPr>
        <w:pStyle w:val="BlockText"/>
        <w:rPr>
          <w:b/>
          <w:u w:val="single"/>
        </w:rPr>
      </w:pPr>
    </w:p>
    <w:p w:rsidR="00CC601F" w:rsidRDefault="00CC601F" w:rsidP="007D14A8">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C97707" w:rsidRDefault="00C97707" w:rsidP="007D14A8">
      <w:pPr>
        <w:pStyle w:val="BlockText"/>
        <w:rPr>
          <w:b/>
          <w:u w:val="single"/>
        </w:rPr>
      </w:pPr>
    </w:p>
    <w:p w:rsidR="00F817C9" w:rsidRDefault="00F817C9" w:rsidP="00F817C9">
      <w:r>
        <w:rPr>
          <w:u w:val="single"/>
        </w:rPr>
        <w:t>Pennsylvania National Mutual Casualty Insurance Company v. St. Catherine of Siena Parish</w:t>
      </w:r>
      <w:r>
        <w:t>, 2015 WL 3609353 (11</w:t>
      </w:r>
      <w:r>
        <w:rPr>
          <w:vertAlign w:val="superscript"/>
        </w:rPr>
        <w:t>th</w:t>
      </w:r>
      <w:r>
        <w:t xml:space="preserve"> Cir. June 10, 2015).</w:t>
      </w:r>
    </w:p>
    <w:p w:rsidR="00F817C9" w:rsidRDefault="00F817C9" w:rsidP="00F817C9"/>
    <w:p w:rsidR="00F817C9" w:rsidRDefault="00F817C9" w:rsidP="00F817C9">
      <w:r>
        <w:t xml:space="preserve">After its insured suffered an adverse judgment for breach of a roofing contract, the roofer’s insurer filed a declaratory judgment action seeking a determination of no coverage.  The Eleventh Circuit, applying Alabama law, determined the insured was liable to its insured for the breach of contract damages.  The damages resulted when the insured re-roofed a church and used the wrong fasteners.  As a result the roof leaked and caused damages to the roof deck and plaster below.  The repair required removal of the defectively installed shingles to get to the deck below.  </w:t>
      </w:r>
    </w:p>
    <w:p w:rsidR="00F817C9" w:rsidRDefault="00F817C9" w:rsidP="00F817C9"/>
    <w:p w:rsidR="00F817C9" w:rsidRDefault="00F817C9" w:rsidP="00F817C9">
      <w:r>
        <w:rPr>
          <w:u w:val="single"/>
        </w:rPr>
        <w:t>The State of Florida v. Florida Workers’ Advocates, et al</w:t>
      </w:r>
      <w:r>
        <w:t>, Florida 3d DCA Case No. 3D14-2062 filed June 24, 2015.</w:t>
      </w:r>
    </w:p>
    <w:p w:rsidR="00F817C9" w:rsidRDefault="00F817C9" w:rsidP="00F817C9"/>
    <w:p w:rsidR="00F817C9" w:rsidRDefault="00F817C9" w:rsidP="00F817C9">
      <w:r>
        <w:t>The District Court of Appeal reversed a trial court decision that had declared the exclusiveness of liability provision of the Florida Workers’ Compensation Law to be facially unconstitutional.  Unfortunately it reversed the judgment based on mootness and lack of standing and declined to review the constitutional issues.</w:t>
      </w:r>
    </w:p>
    <w:p w:rsidR="009230A5" w:rsidRPr="00B972A0" w:rsidRDefault="009230A5" w:rsidP="007D14A8">
      <w:pPr>
        <w:pStyle w:val="BlockText"/>
        <w:rPr>
          <w:b/>
          <w:u w:val="single"/>
        </w:rPr>
      </w:pP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897F26" w:rsidP="00897F26">
      <w:pPr>
        <w:pStyle w:val="BlockText"/>
        <w:ind w:left="1440"/>
        <w:rPr>
          <w:b/>
        </w:rPr>
      </w:pPr>
      <w:r w:rsidRPr="00897F26">
        <w:rPr>
          <w:b/>
        </w:rPr>
        <w:t>A.</w:t>
      </w:r>
      <w:r>
        <w:t xml:space="preserve"> </w:t>
      </w:r>
      <w:r w:rsidR="00E1125C">
        <w:t xml:space="preserve">This board has </w:t>
      </w:r>
      <w:r w:rsidR="00052694">
        <w:t>proposed</w:t>
      </w:r>
      <w:r w:rsidR="00E1125C">
        <w:t xml:space="preserve"> </w:t>
      </w:r>
      <w:r w:rsidR="004E142A">
        <w:t>adopt</w:t>
      </w:r>
      <w:r w:rsidR="00E1125C">
        <w:t>ed, repealed</w:t>
      </w:r>
      <w:r w:rsidR="004E142A">
        <w:t xml:space="preserve"> or amend</w:t>
      </w:r>
      <w:r w:rsidR="00E1125C">
        <w:t>ed</w:t>
      </w:r>
      <w:r w:rsidR="004E142A">
        <w:t xml:space="preserve"> the following rules (if any)</w:t>
      </w:r>
      <w:r w:rsidR="00B754FE">
        <w:t>:</w:t>
      </w:r>
    </w:p>
    <w:p w:rsidR="004A46B4" w:rsidRDefault="004A46B4" w:rsidP="004A46B4">
      <w:pPr>
        <w:pStyle w:val="BlockText"/>
        <w:ind w:left="1800"/>
      </w:pPr>
    </w:p>
    <w:p w:rsidR="00B972A0" w:rsidRDefault="00B972A0" w:rsidP="00B972A0">
      <w:pPr>
        <w:pStyle w:val="BlockText"/>
        <w:numPr>
          <w:ilvl w:val="2"/>
          <w:numId w:val="18"/>
        </w:numPr>
        <w:ind w:left="2160"/>
      </w:pPr>
      <w:r w:rsidRPr="00EF2347">
        <w:rPr>
          <w:b/>
        </w:rPr>
        <w:t>Rule 61G4-15.001(1)</w:t>
      </w:r>
      <w:r>
        <w:t xml:space="preserve"> proposed amendments being discussed to clarify that work experience must be on “habitable” and “new” structures and “ground up construct</w:t>
      </w:r>
      <w:r w:rsidR="00BB7583">
        <w:t>ion” has been discussed five (5)</w:t>
      </w:r>
      <w:r w:rsidR="00234D30">
        <w:t xml:space="preserve"> </w:t>
      </w:r>
      <w:r w:rsidR="00B86298">
        <w:t>time</w:t>
      </w:r>
      <w:r w:rsidR="00234D30">
        <w:t xml:space="preserve">s by </w:t>
      </w:r>
      <w:r w:rsidR="00B86298">
        <w:t>the board</w:t>
      </w:r>
      <w:r>
        <w:t>, but nothing has yet been approved for publication</w:t>
      </w:r>
      <w:r w:rsidR="00B06511">
        <w:rPr>
          <w:rStyle w:val="FootnoteReference"/>
        </w:rPr>
        <w:footnoteReference w:id="1"/>
      </w:r>
      <w:r>
        <w:t>. This proposal would also clarify the matrix of verifications that are no longer required.</w:t>
      </w:r>
    </w:p>
    <w:p w:rsidR="00BB7583" w:rsidRDefault="00BB7583" w:rsidP="00BB7583">
      <w:pPr>
        <w:pStyle w:val="BlockText"/>
        <w:ind w:left="2160"/>
      </w:pPr>
    </w:p>
    <w:p w:rsidR="00BB7583" w:rsidRDefault="00BB7583" w:rsidP="00B972A0">
      <w:pPr>
        <w:pStyle w:val="BlockText"/>
        <w:numPr>
          <w:ilvl w:val="2"/>
          <w:numId w:val="18"/>
        </w:numPr>
        <w:ind w:left="2160"/>
      </w:pPr>
      <w:r>
        <w:rPr>
          <w:b/>
        </w:rPr>
        <w:t xml:space="preserve">Rule 61G4-18.004 </w:t>
      </w:r>
      <w:r>
        <w:t>proposed to be amended to clarify requirements for the approval of Continuing Education courses.</w:t>
      </w:r>
    </w:p>
    <w:p w:rsidR="00234D30" w:rsidRDefault="00234D30" w:rsidP="00234D30">
      <w:pPr>
        <w:pStyle w:val="BlockText"/>
        <w:ind w:left="2160"/>
      </w:pPr>
    </w:p>
    <w:p w:rsidR="00234D30" w:rsidRDefault="00234D30" w:rsidP="00B972A0">
      <w:pPr>
        <w:pStyle w:val="BlockText"/>
        <w:numPr>
          <w:ilvl w:val="2"/>
          <w:numId w:val="18"/>
        </w:numPr>
        <w:ind w:left="2160"/>
      </w:pPr>
      <w:r>
        <w:rPr>
          <w:b/>
        </w:rPr>
        <w:t xml:space="preserve">Rules workshop </w:t>
      </w:r>
      <w:r>
        <w:t>will be held by the bo</w:t>
      </w:r>
      <w:r w:rsidR="00BB7583">
        <w:t xml:space="preserve">ard on August 13, 2015, beginning at 10:30 a.m. at The Vinoy in St. Petersburg </w:t>
      </w:r>
      <w:r>
        <w:t>to consider a possible rule about the installation of pool he</w:t>
      </w:r>
      <w:r w:rsidR="00BB7583">
        <w:t>aters by AC licensees, who</w:t>
      </w:r>
      <w:r>
        <w:t xml:space="preserve"> performed such work until the board’s Declaratory Statement in 2012 opining that only a pool contractor could do so.</w:t>
      </w:r>
    </w:p>
    <w:p w:rsidR="00F21C36" w:rsidRPr="001776E6" w:rsidRDefault="00F21C36" w:rsidP="00F21C36">
      <w:pPr>
        <w:pStyle w:val="BlockText"/>
        <w:tabs>
          <w:tab w:val="left" w:pos="1440"/>
          <w:tab w:val="left" w:pos="1980"/>
        </w:tabs>
        <w:rPr>
          <w:b/>
        </w:rPr>
      </w:pPr>
    </w:p>
    <w:p w:rsidR="00182EC5" w:rsidRPr="00D03141" w:rsidRDefault="00193DF7" w:rsidP="00897F26">
      <w:pPr>
        <w:pStyle w:val="BlockText"/>
        <w:numPr>
          <w:ilvl w:val="3"/>
          <w:numId w:val="18"/>
        </w:numPr>
        <w:ind w:left="1710" w:hanging="270"/>
        <w:rPr>
          <w:b/>
        </w:rPr>
      </w:pPr>
      <w:r>
        <w:t xml:space="preserve">This board has </w:t>
      </w:r>
      <w:r w:rsidRPr="00176CCB">
        <w:rPr>
          <w:b/>
          <w:u w:val="single"/>
        </w:rPr>
        <w:t>disposed</w:t>
      </w:r>
      <w:r>
        <w:t xml:space="preserve"> of </w:t>
      </w:r>
      <w:r w:rsidR="0032443B">
        <w:t>the following Petitions for Declaratory Statement (if any):</w:t>
      </w:r>
    </w:p>
    <w:p w:rsidR="00072343" w:rsidRPr="00072343" w:rsidRDefault="00072343" w:rsidP="00EE60EE">
      <w:pPr>
        <w:pStyle w:val="BlockText"/>
        <w:rPr>
          <w:b/>
        </w:rPr>
      </w:pPr>
    </w:p>
    <w:p w:rsidR="00EE60EE" w:rsidRPr="00EE60EE" w:rsidRDefault="00EE60EE" w:rsidP="00EE60EE">
      <w:pPr>
        <w:pStyle w:val="BlockText"/>
        <w:numPr>
          <w:ilvl w:val="5"/>
          <w:numId w:val="18"/>
        </w:numPr>
        <w:ind w:left="2160" w:hanging="270"/>
        <w:rPr>
          <w:b/>
        </w:rPr>
      </w:pPr>
      <w:r>
        <w:rPr>
          <w:b/>
        </w:rPr>
        <w:t xml:space="preserve"> </w:t>
      </w:r>
      <w:r w:rsidR="00342825">
        <w:rPr>
          <w:b/>
        </w:rPr>
        <w:t>James M. Sapp/MESA</w:t>
      </w:r>
      <w:r w:rsidR="00342825">
        <w:t xml:space="preserve"> -</w:t>
      </w:r>
      <w:r w:rsidR="00342825">
        <w:rPr>
          <w:b/>
        </w:rPr>
        <w:t xml:space="preserve"> </w:t>
      </w:r>
      <w:r w:rsidR="00342825">
        <w:t xml:space="preserve">Petition filed April 10, 2015, seeking a determination of the type of license required to perform the excavation of pipelines and associated trenching activities, and whether </w:t>
      </w:r>
      <w:r w:rsidR="004C4506">
        <w:t>an</w:t>
      </w:r>
      <w:r w:rsidR="00342825">
        <w:t xml:space="preserve"> Underground Utility and Excavation contractor is limited to work on water, sewer and storm drain lines.</w:t>
      </w:r>
      <w:r w:rsidR="00342825">
        <w:rPr>
          <w:b/>
        </w:rPr>
        <w:t xml:space="preserve"> </w:t>
      </w:r>
      <w:r w:rsidR="00342825">
        <w:t>It appears from the petition that this company works on oil and gas pipelines.</w:t>
      </w:r>
      <w:r w:rsidR="000C0376">
        <w:t xml:space="preserve"> By order filed on June 25, 2015, the board declined to answer because the petitioner did not state its particular set of circumstances.</w:t>
      </w:r>
    </w:p>
    <w:p w:rsidR="00EE60EE" w:rsidRDefault="00EE60EE" w:rsidP="00EE60EE">
      <w:pPr>
        <w:pStyle w:val="BlockText"/>
        <w:ind w:left="2160"/>
        <w:rPr>
          <w:b/>
        </w:rPr>
      </w:pPr>
    </w:p>
    <w:p w:rsidR="00EE60EE" w:rsidRDefault="00A67E6D" w:rsidP="00EE60EE">
      <w:pPr>
        <w:pStyle w:val="BlockText"/>
        <w:numPr>
          <w:ilvl w:val="5"/>
          <w:numId w:val="18"/>
        </w:numPr>
        <w:ind w:left="2160" w:hanging="270"/>
        <w:rPr>
          <w:b/>
        </w:rPr>
      </w:pPr>
      <w:r w:rsidRPr="00EE60EE">
        <w:rPr>
          <w:b/>
        </w:rPr>
        <w:t>John Fitch</w:t>
      </w:r>
      <w:r>
        <w:t xml:space="preserve"> – Petition was filed on February 24, 2015, seeking a determination of whether a general contractor can apply “non-hot tar” as a roofing system on new construction built by that contractor. By order entered on June 10, 2015, the board declined to answer the petition as being legally insufficient pursuant to Rule 28-105.002, FAC.</w:t>
      </w:r>
    </w:p>
    <w:p w:rsidR="00EE60EE" w:rsidRDefault="00EE60EE" w:rsidP="00EE60EE">
      <w:pPr>
        <w:pStyle w:val="ListParagraph"/>
        <w:rPr>
          <w:b/>
        </w:rPr>
      </w:pPr>
    </w:p>
    <w:p w:rsidR="00EE60EE" w:rsidRDefault="000C0376" w:rsidP="00EE60EE">
      <w:pPr>
        <w:pStyle w:val="BlockText"/>
        <w:numPr>
          <w:ilvl w:val="5"/>
          <w:numId w:val="18"/>
        </w:numPr>
        <w:ind w:left="2160" w:hanging="270"/>
        <w:rPr>
          <w:b/>
        </w:rPr>
      </w:pPr>
      <w:r w:rsidRPr="00EE60EE">
        <w:rPr>
          <w:b/>
        </w:rPr>
        <w:t>Robert M. Solliday, Jr./Elite Mechanical Systems, LLC</w:t>
      </w:r>
      <w:r>
        <w:t xml:space="preserve"> – Petition filed in March 2015, seeking a determination of whether the phrase “fuel oil and gasoline piping and tank and pump installation” used in s. 489.105(3)(m) allows a Plumbing contractor to install diesel fuel piping and tanks. By order entered on June 25, 2015, </w:t>
      </w:r>
      <w:r w:rsidR="009D54A5">
        <w:t xml:space="preserve">the board </w:t>
      </w:r>
      <w:r>
        <w:t>answer</w:t>
      </w:r>
      <w:r w:rsidR="00176CCB">
        <w:t>ed</w:t>
      </w:r>
      <w:r>
        <w:t xml:space="preserve"> the petition in the affirmative.</w:t>
      </w:r>
    </w:p>
    <w:p w:rsidR="00EE60EE" w:rsidRDefault="00EE60EE" w:rsidP="00EE60EE">
      <w:pPr>
        <w:pStyle w:val="ListParagraph"/>
        <w:rPr>
          <w:b/>
        </w:rPr>
      </w:pPr>
    </w:p>
    <w:p w:rsidR="00EE60EE" w:rsidRDefault="00DE67A8" w:rsidP="00EE60EE">
      <w:pPr>
        <w:pStyle w:val="BlockText"/>
        <w:numPr>
          <w:ilvl w:val="5"/>
          <w:numId w:val="18"/>
        </w:numPr>
        <w:ind w:left="2160" w:hanging="270"/>
        <w:rPr>
          <w:b/>
        </w:rPr>
      </w:pPr>
      <w:r w:rsidRPr="00EE60EE">
        <w:rPr>
          <w:b/>
        </w:rPr>
        <w:t>Josaphat J. Celestin</w:t>
      </w:r>
      <w:r>
        <w:t xml:space="preserve"> – Petition filed on March 11, 2015, seeking a determination of whether s. 489.105(3)</w:t>
      </w:r>
      <w:r w:rsidR="009D54A5">
        <w:t xml:space="preserve"> </w:t>
      </w:r>
      <w:r>
        <w:t>(a), (b) or (</w:t>
      </w:r>
      <w:r w:rsidR="009D54A5">
        <w:t>c) requires a license to allow</w:t>
      </w:r>
      <w:r>
        <w:t xml:space="preserve"> an individual to be a construction compliance manager, or whether a lo</w:t>
      </w:r>
      <w:r w:rsidR="009D54A5">
        <w:t>cal jurisdiction can require that</w:t>
      </w:r>
      <w:r>
        <w:t xml:space="preserve"> manager to be an engineer. By order entered on June 25, 2015, the board declined to answer the petition because the matter is related to foreseeable litigation.</w:t>
      </w:r>
    </w:p>
    <w:p w:rsidR="00EE60EE" w:rsidRDefault="00EE60EE" w:rsidP="00EE60EE">
      <w:pPr>
        <w:pStyle w:val="ListParagraph"/>
        <w:rPr>
          <w:b/>
        </w:rPr>
      </w:pPr>
    </w:p>
    <w:p w:rsidR="00EE60EE" w:rsidRDefault="00DE67A8" w:rsidP="00EE60EE">
      <w:pPr>
        <w:pStyle w:val="BlockText"/>
        <w:numPr>
          <w:ilvl w:val="5"/>
          <w:numId w:val="18"/>
        </w:numPr>
        <w:ind w:left="2160" w:hanging="270"/>
        <w:rPr>
          <w:b/>
        </w:rPr>
      </w:pPr>
      <w:r w:rsidRPr="00EE60EE">
        <w:rPr>
          <w:b/>
        </w:rPr>
        <w:t xml:space="preserve">Ramon A. Valeiro – </w:t>
      </w:r>
      <w:r>
        <w:t>Petition filed on April 20, 2015, seeking a determination of whether a contractor’s license is required to perform various management-type of activities. By order entered on June 25, 2015, the board declined to answer the petition because it did not appear that the petitioner was “substantially affected.”</w:t>
      </w:r>
    </w:p>
    <w:p w:rsidR="00EE60EE" w:rsidRDefault="00EE60EE" w:rsidP="00EE60EE">
      <w:pPr>
        <w:pStyle w:val="ListParagraph"/>
        <w:rPr>
          <w:b/>
        </w:rPr>
      </w:pPr>
    </w:p>
    <w:p w:rsidR="00EE60EE" w:rsidRDefault="00DE67A8" w:rsidP="00EE60EE">
      <w:pPr>
        <w:pStyle w:val="BlockText"/>
        <w:numPr>
          <w:ilvl w:val="5"/>
          <w:numId w:val="18"/>
        </w:numPr>
        <w:ind w:left="2160" w:hanging="270"/>
        <w:rPr>
          <w:b/>
        </w:rPr>
      </w:pPr>
      <w:r w:rsidRPr="00EE60EE">
        <w:rPr>
          <w:b/>
        </w:rPr>
        <w:t>Robert J. Miller</w:t>
      </w:r>
      <w:r>
        <w:t xml:space="preserve"> – Petition filed on April 9, 2015, seeking a determination of whether he can build concrete swimming pools. By order entered on July 22, 2015, the board declined to answer because the petition was not signed as required by Rule 28-105,</w:t>
      </w:r>
      <w:r w:rsidR="009D54A5">
        <w:t xml:space="preserve"> FAC.</w:t>
      </w:r>
    </w:p>
    <w:p w:rsidR="00EE60EE" w:rsidRDefault="00EE60EE" w:rsidP="00EE60EE">
      <w:pPr>
        <w:pStyle w:val="ListParagraph"/>
        <w:rPr>
          <w:b/>
        </w:rPr>
      </w:pPr>
    </w:p>
    <w:p w:rsidR="00EE60EE" w:rsidRDefault="009D54A5" w:rsidP="00EE60EE">
      <w:pPr>
        <w:pStyle w:val="BlockText"/>
        <w:numPr>
          <w:ilvl w:val="5"/>
          <w:numId w:val="18"/>
        </w:numPr>
        <w:ind w:left="2160" w:hanging="270"/>
        <w:rPr>
          <w:b/>
        </w:rPr>
      </w:pPr>
      <w:r w:rsidRPr="00EE60EE">
        <w:rPr>
          <w:b/>
        </w:rPr>
        <w:t>Jose Franco/Alliance Mechanical Solutions, LLC</w:t>
      </w:r>
      <w:r>
        <w:t xml:space="preserve">, filed on April 6, 2015, seeking a determination as to whether the installation of non-pressurized gas or fuel or fire or plumbing lines is within the scope of license for </w:t>
      </w:r>
      <w:r w:rsidRPr="00EE60EE">
        <w:rPr>
          <w:rFonts w:cs="Times New Roman"/>
        </w:rPr>
        <w:t>an Industrial Facility Specialty Contractor. At its July meeting the board determined that the p</w:t>
      </w:r>
      <w:r w:rsidR="00176CCB" w:rsidRPr="00EE60EE">
        <w:rPr>
          <w:rFonts w:cs="Times New Roman"/>
        </w:rPr>
        <w:t>etitioner did not have standing.</w:t>
      </w:r>
    </w:p>
    <w:p w:rsidR="00EE60EE" w:rsidRDefault="00EE60EE" w:rsidP="00EE60EE">
      <w:pPr>
        <w:pStyle w:val="ListParagraph"/>
        <w:rPr>
          <w:b/>
        </w:rPr>
      </w:pPr>
    </w:p>
    <w:p w:rsidR="00EE60EE" w:rsidRDefault="00176CCB" w:rsidP="00EE60EE">
      <w:pPr>
        <w:pStyle w:val="BlockText"/>
        <w:numPr>
          <w:ilvl w:val="5"/>
          <w:numId w:val="18"/>
        </w:numPr>
        <w:ind w:left="2160" w:hanging="270"/>
        <w:rPr>
          <w:b/>
        </w:rPr>
      </w:pPr>
      <w:r w:rsidRPr="00EE60EE">
        <w:rPr>
          <w:b/>
        </w:rPr>
        <w:t xml:space="preserve">Jeffery M. Rodewald/JRC Construction, LLC, </w:t>
      </w:r>
      <w:r>
        <w:t xml:space="preserve">filed on May 18, 2015, seeking a determination of whether a certified residential contractor can remodel a kitchen in a 20-unit 2-story residential condominium. </w:t>
      </w:r>
      <w:r w:rsidRPr="00EE60EE">
        <w:rPr>
          <w:rFonts w:cs="Times New Roman"/>
        </w:rPr>
        <w:t>At its July meeting the board determined that the p</w:t>
      </w:r>
      <w:r w:rsidR="00E81A71" w:rsidRPr="00EE60EE">
        <w:rPr>
          <w:rFonts w:cs="Times New Roman"/>
        </w:rPr>
        <w:t>etitioner did not have standing.</w:t>
      </w:r>
    </w:p>
    <w:p w:rsidR="00EE60EE" w:rsidRDefault="00EE60EE" w:rsidP="00EE60EE">
      <w:pPr>
        <w:pStyle w:val="ListParagraph"/>
        <w:rPr>
          <w:b/>
        </w:rPr>
      </w:pPr>
    </w:p>
    <w:p w:rsidR="00E81A71" w:rsidRPr="00EE60EE" w:rsidRDefault="00E81A71" w:rsidP="00EE60EE">
      <w:pPr>
        <w:pStyle w:val="BlockText"/>
        <w:numPr>
          <w:ilvl w:val="5"/>
          <w:numId w:val="18"/>
        </w:numPr>
        <w:ind w:left="2160" w:hanging="270"/>
        <w:rPr>
          <w:b/>
        </w:rPr>
      </w:pPr>
      <w:r w:rsidRPr="00EE60EE">
        <w:rPr>
          <w:b/>
        </w:rPr>
        <w:t xml:space="preserve">Robert J. Miller/Golden Construction Company, Inc. </w:t>
      </w:r>
      <w:r>
        <w:t>filed on April 9, 2015, seeking a determination of whether a certified general contractor can build concrete pools.</w:t>
      </w:r>
      <w:r w:rsidRPr="00EE60EE">
        <w:rPr>
          <w:b/>
        </w:rPr>
        <w:t xml:space="preserve"> </w:t>
      </w:r>
      <w:r>
        <w:t>At the board’s June meeting is was determined that this petition was unsigned and that the petitioner had no standing.</w:t>
      </w:r>
    </w:p>
    <w:p w:rsidR="00BB7583" w:rsidRPr="00BB7583" w:rsidRDefault="00BB7583" w:rsidP="00176CCB">
      <w:pPr>
        <w:pStyle w:val="BlockText"/>
        <w:tabs>
          <w:tab w:val="left" w:pos="1980"/>
        </w:tabs>
        <w:rPr>
          <w:b/>
        </w:rPr>
      </w:pPr>
    </w:p>
    <w:p w:rsidR="00D40DAB" w:rsidRPr="00DE67A8" w:rsidRDefault="00897F26" w:rsidP="00897F26">
      <w:pPr>
        <w:pStyle w:val="BlockText"/>
        <w:numPr>
          <w:ilvl w:val="0"/>
          <w:numId w:val="43"/>
        </w:numPr>
        <w:rPr>
          <w:b/>
        </w:rPr>
      </w:pPr>
      <w:r>
        <w:t>This</w:t>
      </w:r>
      <w:r w:rsidR="0032443B">
        <w:t xml:space="preserve"> board has </w:t>
      </w:r>
      <w:r w:rsidR="00193DF7" w:rsidRPr="00176CCB">
        <w:rPr>
          <w:b/>
          <w:u w:val="single"/>
        </w:rPr>
        <w:t>received</w:t>
      </w:r>
      <w:r w:rsidR="002558FB">
        <w:t xml:space="preserve"> of the following </w:t>
      </w:r>
      <w:r w:rsidR="009F7BC1">
        <w:t>Peti</w:t>
      </w:r>
      <w:r w:rsidR="0032443B">
        <w:t>tions for Declaratory Statement (if any)</w:t>
      </w:r>
      <w:r w:rsidR="009F7BC1">
        <w:t>:</w:t>
      </w:r>
      <w:r w:rsidR="00193DF7">
        <w:t xml:space="preserve"> </w:t>
      </w:r>
    </w:p>
    <w:p w:rsidR="00DE67A8" w:rsidRPr="006077FF" w:rsidRDefault="00DE67A8" w:rsidP="00DE67A8">
      <w:pPr>
        <w:pStyle w:val="BlockText"/>
        <w:ind w:left="1800"/>
        <w:rPr>
          <w:b/>
        </w:rPr>
      </w:pPr>
    </w:p>
    <w:p w:rsidR="006077FF" w:rsidRPr="006077FF" w:rsidRDefault="006077FF" w:rsidP="00897F26">
      <w:pPr>
        <w:pStyle w:val="BlockText"/>
        <w:numPr>
          <w:ilvl w:val="2"/>
          <w:numId w:val="43"/>
        </w:numPr>
        <w:ind w:left="2070"/>
        <w:rPr>
          <w:b/>
        </w:rPr>
      </w:pPr>
      <w:r w:rsidRPr="00D03141">
        <w:rPr>
          <w:b/>
        </w:rPr>
        <w:t>Rashella R. Crofut</w:t>
      </w:r>
      <w:r>
        <w:t xml:space="preserve"> – Petition filed on April 17, 2015 seeking a determination as to the application of s. 489.113, F. S., as it applies to work experience gained under a CGC for a Underground Utility and Excavation Contractor.</w:t>
      </w:r>
    </w:p>
    <w:p w:rsidR="006077FF" w:rsidRPr="006077FF" w:rsidRDefault="006077FF" w:rsidP="006077FF">
      <w:pPr>
        <w:pStyle w:val="BlockText"/>
        <w:ind w:left="3240"/>
        <w:rPr>
          <w:b/>
        </w:rPr>
      </w:pPr>
    </w:p>
    <w:p w:rsidR="006077FF" w:rsidRDefault="006077FF" w:rsidP="00897F26">
      <w:pPr>
        <w:pStyle w:val="BlockText"/>
        <w:numPr>
          <w:ilvl w:val="2"/>
          <w:numId w:val="43"/>
        </w:numPr>
        <w:ind w:left="2070"/>
        <w:rPr>
          <w:b/>
        </w:rPr>
      </w:pPr>
      <w:r>
        <w:rPr>
          <w:b/>
        </w:rPr>
        <w:t>James Friedrichs (Hernando County Building Official)</w:t>
      </w:r>
      <w:r>
        <w:t xml:space="preserve"> –</w:t>
      </w:r>
      <w:r w:rsidR="009D54A5">
        <w:t xml:space="preserve"> Petition filed on May 13,</w:t>
      </w:r>
      <w:r>
        <w:t xml:space="preserve"> 2015, seeking a determination of the application of Rule 61G4-15.015(2)(b) to panel-post and beam roofs installed by a Specialty Structure Contractor</w:t>
      </w:r>
      <w:r w:rsidRPr="006077FF">
        <w:rPr>
          <w:b/>
        </w:rPr>
        <w:t>.</w:t>
      </w:r>
    </w:p>
    <w:p w:rsidR="006077FF" w:rsidRDefault="006077FF" w:rsidP="006077FF">
      <w:pPr>
        <w:pStyle w:val="ListParagraph"/>
        <w:rPr>
          <w:b/>
        </w:rPr>
      </w:pPr>
    </w:p>
    <w:p w:rsidR="006077FF" w:rsidRPr="00A67E6D" w:rsidRDefault="006077FF" w:rsidP="00897F26">
      <w:pPr>
        <w:pStyle w:val="BlockText"/>
        <w:numPr>
          <w:ilvl w:val="2"/>
          <w:numId w:val="43"/>
        </w:numPr>
        <w:ind w:left="2070"/>
        <w:rPr>
          <w:b/>
        </w:rPr>
      </w:pPr>
      <w:r>
        <w:rPr>
          <w:b/>
        </w:rPr>
        <w:t xml:space="preserve">Roy Flournoy – </w:t>
      </w:r>
      <w:r>
        <w:t>Petition filed on April 23, 2015, seeking a determination</w:t>
      </w:r>
      <w:r w:rsidR="009D31D6">
        <w:t xml:space="preserve"> of whether s. 489.105(3</w:t>
      </w:r>
      <w:r w:rsidR="00C30DBA">
        <w:t>) (</w:t>
      </w:r>
      <w:r w:rsidR="009D31D6">
        <w:t>a) allows a CGC to perform progress/draw inspections for financial institutions for the purpose of establishing the status of the construction.</w:t>
      </w:r>
    </w:p>
    <w:p w:rsidR="00A67E6D" w:rsidRDefault="00A67E6D" w:rsidP="00A67E6D">
      <w:pPr>
        <w:pStyle w:val="ListParagraph"/>
        <w:rPr>
          <w:b/>
        </w:rPr>
      </w:pPr>
    </w:p>
    <w:p w:rsidR="00A67E6D" w:rsidRPr="000C0376" w:rsidRDefault="00A67E6D" w:rsidP="00897F26">
      <w:pPr>
        <w:pStyle w:val="BlockText"/>
        <w:numPr>
          <w:ilvl w:val="2"/>
          <w:numId w:val="43"/>
        </w:numPr>
        <w:ind w:left="2070"/>
        <w:rPr>
          <w:b/>
        </w:rPr>
      </w:pPr>
      <w:r>
        <w:rPr>
          <w:b/>
        </w:rPr>
        <w:t>Stephen F. Bender/HeatEx Industries, Inc.</w:t>
      </w:r>
      <w:r>
        <w:t xml:space="preserve"> – Petition filed on June 11, 2015, seeking a determination of whether s. 489.105 requires a license for industrial welding in the repair of boilers in petrochemical and power facilities.</w:t>
      </w:r>
    </w:p>
    <w:p w:rsidR="000C0376" w:rsidRDefault="000C0376" w:rsidP="000C0376">
      <w:pPr>
        <w:pStyle w:val="ListParagraph"/>
        <w:rPr>
          <w:b/>
        </w:rPr>
      </w:pPr>
    </w:p>
    <w:p w:rsidR="000C0376" w:rsidRPr="00EC6DFA" w:rsidRDefault="000C0376" w:rsidP="00897F26">
      <w:pPr>
        <w:pStyle w:val="BlockText"/>
        <w:numPr>
          <w:ilvl w:val="2"/>
          <w:numId w:val="43"/>
        </w:numPr>
        <w:ind w:left="2070"/>
        <w:rPr>
          <w:b/>
        </w:rPr>
      </w:pPr>
      <w:r>
        <w:rPr>
          <w:b/>
        </w:rPr>
        <w:t>National Metering Services, Inc.</w:t>
      </w:r>
      <w:r>
        <w:t xml:space="preserve"> – Petition filed July 13, 2015, seeking a determination as to whether the phrase “up to and including the meter location” as used in s. 489.105(3)(n) allows an Underground Utility and Excavation Contractor to replace water meters.</w:t>
      </w:r>
    </w:p>
    <w:p w:rsidR="009D54A5" w:rsidRPr="00E81A71" w:rsidRDefault="009D54A5" w:rsidP="00E81A71">
      <w:pPr>
        <w:rPr>
          <w:b/>
        </w:rPr>
      </w:pPr>
    </w:p>
    <w:p w:rsidR="009D54A5" w:rsidRPr="009D54A5" w:rsidRDefault="009D54A5" w:rsidP="00897F26">
      <w:pPr>
        <w:pStyle w:val="BlockText"/>
        <w:numPr>
          <w:ilvl w:val="2"/>
          <w:numId w:val="43"/>
        </w:numPr>
        <w:ind w:left="2160" w:hanging="270"/>
        <w:rPr>
          <w:b/>
        </w:rPr>
      </w:pPr>
      <w:r>
        <w:rPr>
          <w:b/>
        </w:rPr>
        <w:t>James Borst</w:t>
      </w:r>
      <w:r>
        <w:t xml:space="preserve"> – Petition filed on July 21, 2015, seeking a determination of whether a certified roofing contractor may re-roof an existing clear span metal building.</w:t>
      </w:r>
    </w:p>
    <w:p w:rsidR="00173BB8" w:rsidRDefault="00173BB8" w:rsidP="00173BB8">
      <w:pPr>
        <w:pStyle w:val="BlockText"/>
        <w:ind w:left="1800"/>
        <w:rPr>
          <w:b/>
        </w:rPr>
      </w:pPr>
    </w:p>
    <w:p w:rsidR="008C30E6" w:rsidRDefault="009F7BC1" w:rsidP="00897F26">
      <w:pPr>
        <w:pStyle w:val="BlockText"/>
        <w:numPr>
          <w:ilvl w:val="0"/>
          <w:numId w:val="43"/>
        </w:numPr>
      </w:pPr>
      <w:r>
        <w:t xml:space="preserve">This board has </w:t>
      </w:r>
      <w:r w:rsidRPr="00897F26">
        <w:rPr>
          <w:b/>
          <w:u w:val="single"/>
        </w:rPr>
        <w:t>received or disposed</w:t>
      </w:r>
      <w:r>
        <w:t xml:space="preserve"> of the following </w:t>
      </w:r>
      <w:r w:rsidR="002558FB">
        <w:t>Petition</w:t>
      </w:r>
      <w:r>
        <w:t>s</w:t>
      </w:r>
      <w:r w:rsidR="004E142A">
        <w:t xml:space="preserve"> for Va</w:t>
      </w:r>
      <w:r w:rsidR="0092555A">
        <w:t>riance or Waiver</w:t>
      </w:r>
      <w:r w:rsidR="00BB6D12">
        <w:t xml:space="preserve"> (if any):</w:t>
      </w:r>
      <w:r w:rsidR="00530BF1">
        <w:t xml:space="preserve"> </w:t>
      </w:r>
    </w:p>
    <w:p w:rsidR="008C30E6" w:rsidRDefault="008C30E6" w:rsidP="008C30E6">
      <w:pPr>
        <w:pStyle w:val="BlockText"/>
        <w:ind w:left="1800"/>
      </w:pPr>
    </w:p>
    <w:p w:rsidR="00EE60EE" w:rsidRDefault="008C30E6" w:rsidP="00EE60EE">
      <w:pPr>
        <w:pStyle w:val="BlockText"/>
        <w:numPr>
          <w:ilvl w:val="2"/>
          <w:numId w:val="11"/>
        </w:numPr>
        <w:ind w:left="2160" w:hanging="270"/>
      </w:pPr>
      <w:r>
        <w:rPr>
          <w:b/>
        </w:rPr>
        <w:t>Mehdi Jalayer and Ye Zhou</w:t>
      </w:r>
      <w:r w:rsidR="00530BF1">
        <w:rPr>
          <w:b/>
        </w:rPr>
        <w:t xml:space="preserve"> </w:t>
      </w:r>
      <w:r>
        <w:rPr>
          <w:b/>
        </w:rPr>
        <w:t xml:space="preserve">– </w:t>
      </w:r>
      <w:r>
        <w:t>Petition filed on March 26</w:t>
      </w:r>
      <w:r w:rsidR="00530BF1">
        <w:t>, 2015, as to Rule</w:t>
      </w:r>
      <w:r>
        <w:t>s 61G4-12.011(11), 12.011(12), 15.006(1) and 15.002(3)</w:t>
      </w:r>
      <w:r w:rsidR="00530BF1">
        <w:t xml:space="preserve">, </w:t>
      </w:r>
      <w:r>
        <w:t xml:space="preserve">as applied to Canadian citizens who do not have social security numbers nor FISO credit scores. By order </w:t>
      </w:r>
      <w:r w:rsidR="00C30DBA">
        <w:t>entered</w:t>
      </w:r>
      <w:r>
        <w:t xml:space="preserve"> on June 10, 2015, the waiver was granted.</w:t>
      </w:r>
    </w:p>
    <w:p w:rsidR="00EE60EE" w:rsidRDefault="00EE60EE" w:rsidP="00EE60EE">
      <w:pPr>
        <w:pStyle w:val="BlockText"/>
        <w:ind w:left="2160"/>
      </w:pPr>
    </w:p>
    <w:p w:rsidR="00EE60EE" w:rsidRDefault="008C30E6" w:rsidP="00EE60EE">
      <w:pPr>
        <w:pStyle w:val="BlockText"/>
        <w:numPr>
          <w:ilvl w:val="2"/>
          <w:numId w:val="11"/>
        </w:numPr>
        <w:ind w:left="2160" w:hanging="270"/>
      </w:pPr>
      <w:r w:rsidRPr="00EE60EE">
        <w:rPr>
          <w:b/>
        </w:rPr>
        <w:t xml:space="preserve">Jonathan Jasiewicz </w:t>
      </w:r>
      <w:r>
        <w:t>– Petition filed on May 1, 2015, as to Rule 61G4-16.005 requiring a passing grade to be valid for only four (4) years. By order entered on July 22, 2015, the board denied the petition because the petitioner did not demonstrate a substantial hardship.</w:t>
      </w:r>
    </w:p>
    <w:p w:rsidR="00EE60EE" w:rsidRDefault="00EE60EE" w:rsidP="00EE60EE">
      <w:pPr>
        <w:pStyle w:val="ListParagraph"/>
        <w:rPr>
          <w:b/>
        </w:rPr>
      </w:pPr>
    </w:p>
    <w:p w:rsidR="00EE60EE" w:rsidRDefault="008C30E6" w:rsidP="00EE60EE">
      <w:pPr>
        <w:pStyle w:val="BlockText"/>
        <w:numPr>
          <w:ilvl w:val="2"/>
          <w:numId w:val="11"/>
        </w:numPr>
        <w:ind w:left="2160" w:hanging="270"/>
      </w:pPr>
      <w:r w:rsidRPr="00EE60EE">
        <w:rPr>
          <w:b/>
        </w:rPr>
        <w:t>Ed Gund</w:t>
      </w:r>
      <w:r>
        <w:t xml:space="preserve"> – Petition filed on June 4, 2015, as to Rule 61G4-16.005, requiring a passing grade to be valid for only four (4) years.</w:t>
      </w:r>
    </w:p>
    <w:p w:rsidR="00EE60EE" w:rsidRDefault="00EE60EE" w:rsidP="00EE60EE">
      <w:pPr>
        <w:pStyle w:val="ListParagraph"/>
        <w:rPr>
          <w:b/>
        </w:rPr>
      </w:pPr>
    </w:p>
    <w:p w:rsidR="008C30E6" w:rsidRDefault="008C30E6" w:rsidP="00EE60EE">
      <w:pPr>
        <w:pStyle w:val="BlockText"/>
        <w:numPr>
          <w:ilvl w:val="2"/>
          <w:numId w:val="11"/>
        </w:numPr>
        <w:ind w:left="2160" w:hanging="270"/>
      </w:pPr>
      <w:r w:rsidRPr="00EE60EE">
        <w:rPr>
          <w:b/>
        </w:rPr>
        <w:t>Matthew Lani</w:t>
      </w:r>
      <w:r>
        <w:t xml:space="preserve"> – Petition filed on July 8, 2015, seeking to use an exam score on the CBC exam to qualify his application for a CGC license.</w:t>
      </w:r>
    </w:p>
    <w:p w:rsidR="00AA1DC4" w:rsidRPr="00AA1DC4" w:rsidRDefault="00AA1DC4" w:rsidP="00AA1DC4">
      <w:pPr>
        <w:pStyle w:val="BlockText"/>
        <w:rPr>
          <w:b/>
        </w:rPr>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897F26" w:rsidP="00897F26">
      <w:pPr>
        <w:pStyle w:val="BlockText"/>
        <w:ind w:left="1890" w:hanging="450"/>
      </w:pPr>
      <w:r w:rsidRPr="00897F26">
        <w:rPr>
          <w:b/>
        </w:rPr>
        <w:t>A</w:t>
      </w:r>
      <w:r w:rsidR="00663A8E" w:rsidRPr="00897F26">
        <w:rPr>
          <w:b/>
        </w:rPr>
        <w:t>.</w:t>
      </w:r>
      <w:r w:rsidR="00663A8E">
        <w:t xml:space="preserve"> </w:t>
      </w:r>
      <w:r>
        <w:t xml:space="preserve"> </w:t>
      </w:r>
      <w:r w:rsidR="00BD45AE">
        <w:t xml:space="preserve">This board has </w:t>
      </w:r>
      <w:r w:rsidR="00BE7523">
        <w:t>proposed</w:t>
      </w:r>
      <w:r w:rsidR="00BD45AE">
        <w:t xml:space="preserve"> adopted, repealed or amended the following rules (if any):</w:t>
      </w:r>
    </w:p>
    <w:p w:rsidR="005510CD" w:rsidRDefault="009855ED" w:rsidP="005510CD">
      <w:pPr>
        <w:pStyle w:val="BlockText"/>
        <w:ind w:left="2160" w:hanging="720"/>
      </w:pPr>
      <w:r>
        <w:t xml:space="preserve">      </w:t>
      </w:r>
      <w:r w:rsidR="00DB4628">
        <w:t>None to report.</w:t>
      </w:r>
    </w:p>
    <w:p w:rsidR="005510CD" w:rsidRDefault="005510CD" w:rsidP="005510CD">
      <w:pPr>
        <w:pStyle w:val="BlockText"/>
        <w:ind w:left="2160" w:hanging="720"/>
      </w:pPr>
    </w:p>
    <w:p w:rsidR="00530BF1" w:rsidRDefault="00897F26" w:rsidP="006960B4">
      <w:pPr>
        <w:pStyle w:val="BlockText"/>
        <w:ind w:left="1800" w:hanging="360"/>
      </w:pPr>
      <w:r w:rsidRPr="00897F26">
        <w:rPr>
          <w:b/>
        </w:rPr>
        <w:t>B</w:t>
      </w:r>
      <w:r w:rsidR="005510CD" w:rsidRPr="00897F26">
        <w:rPr>
          <w:b/>
        </w:rPr>
        <w:t>.</w:t>
      </w:r>
      <w:r w:rsidR="005510CD">
        <w:t xml:space="preserve"> </w:t>
      </w:r>
      <w:r w:rsidR="004E142A">
        <w:t xml:space="preserve">This board has received or disposed of the following Petitions for </w:t>
      </w:r>
      <w:r w:rsidR="00DB4628">
        <w:t xml:space="preserve">Declaratory Statement (if any): </w:t>
      </w:r>
      <w:r w:rsidR="006960B4">
        <w:rPr>
          <w:b/>
        </w:rPr>
        <w:t>Harry Carl Ashcraft IV</w:t>
      </w:r>
      <w:r w:rsidR="006960B4">
        <w:t>, filed on July 7</w:t>
      </w:r>
      <w:r w:rsidR="00530BF1">
        <w:t xml:space="preserve">, 2015, seeking a determination of whether an electrical contractor’s license is required </w:t>
      </w:r>
      <w:r w:rsidR="006960B4">
        <w:t>installation of “in-wall power extension kits,” and, if so, the type of license required.</w:t>
      </w:r>
    </w:p>
    <w:p w:rsidR="00530BF1" w:rsidRDefault="00530BF1" w:rsidP="00530BF1">
      <w:pPr>
        <w:pStyle w:val="BlockText"/>
        <w:ind w:left="1800" w:hanging="360"/>
      </w:pPr>
    </w:p>
    <w:p w:rsidR="00F2420F" w:rsidRDefault="00897F26" w:rsidP="00530BF1">
      <w:pPr>
        <w:pStyle w:val="BlockText"/>
        <w:ind w:left="1800" w:hanging="360"/>
      </w:pPr>
      <w:r w:rsidRPr="00897F26">
        <w:rPr>
          <w:b/>
        </w:rPr>
        <w:t>C</w:t>
      </w:r>
      <w:r w:rsidR="00530BF1" w:rsidRPr="00897F26">
        <w:rPr>
          <w:b/>
        </w:rPr>
        <w:t>.</w:t>
      </w:r>
      <w:r w:rsidR="00530BF1">
        <w:t xml:space="preserve"> </w:t>
      </w:r>
      <w:r w:rsidR="004E142A">
        <w:t xml:space="preserve">This board has received or disposed of the following Petitions for </w:t>
      </w:r>
      <w:r w:rsidR="009E2A70">
        <w:t>Va</w:t>
      </w:r>
      <w:r w:rsidR="00CB169A">
        <w:t xml:space="preserve">riance or Waiver </w:t>
      </w:r>
      <w:r w:rsidR="00DB4628">
        <w:t>(if any</w:t>
      </w:r>
      <w:r w:rsidR="006960B4">
        <w:t>): Simon P. Salgado, regarding Rule 61G6-6.017, which requires for certification that a passing examination score on any part is valid for a period of only two (2) years.</w:t>
      </w:r>
    </w:p>
    <w:p w:rsidR="005510CD" w:rsidRPr="00F917FF" w:rsidRDefault="005510CD" w:rsidP="005510CD">
      <w:pPr>
        <w:pStyle w:val="BlockText"/>
        <w:tabs>
          <w:tab w:val="left" w:pos="2430"/>
        </w:tabs>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6D1C4E">
      <w:pPr>
        <w:pStyle w:val="BlockText"/>
        <w:numPr>
          <w:ilvl w:val="4"/>
          <w:numId w:val="11"/>
        </w:numPr>
        <w:tabs>
          <w:tab w:val="left" w:pos="1710"/>
        </w:tabs>
        <w:ind w:left="1710" w:hanging="270"/>
      </w:pPr>
      <w:r>
        <w:t>This board has proposed, adopted, repealed or ame</w:t>
      </w:r>
      <w:r w:rsidR="000B1E71">
        <w:t>nded the following rules</w:t>
      </w:r>
      <w:r w:rsidR="00297D0C">
        <w:t xml:space="preserve"> (if any)</w:t>
      </w:r>
      <w:r w:rsidR="000B1E71">
        <w:t xml:space="preserve">: </w:t>
      </w:r>
      <w:r w:rsidR="00F21C36">
        <w:t xml:space="preserve"> </w:t>
      </w:r>
      <w:r w:rsidR="00D500CC">
        <w:t xml:space="preserve">None noticed. </w:t>
      </w:r>
    </w:p>
    <w:p w:rsidR="00AC4FD0" w:rsidRDefault="00AC4FD0" w:rsidP="00AC4FD0">
      <w:pPr>
        <w:pStyle w:val="BlockText"/>
        <w:ind w:left="1800"/>
      </w:pPr>
    </w:p>
    <w:p w:rsidR="004E142A" w:rsidRDefault="004E142A" w:rsidP="006D1C4E">
      <w:pPr>
        <w:pStyle w:val="BlockText"/>
        <w:numPr>
          <w:ilvl w:val="4"/>
          <w:numId w:val="11"/>
        </w:numPr>
        <w:ind w:left="1710" w:hanging="270"/>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6D1C4E">
      <w:pPr>
        <w:pStyle w:val="BlockText"/>
        <w:numPr>
          <w:ilvl w:val="4"/>
          <w:numId w:val="11"/>
        </w:numPr>
        <w:ind w:left="1710" w:hanging="270"/>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7B2FC8">
      <w:pPr>
        <w:pStyle w:val="BlockText"/>
        <w:numPr>
          <w:ilvl w:val="0"/>
          <w:numId w:val="11"/>
        </w:numPr>
      </w:pPr>
      <w:r w:rsidRPr="00E81A71">
        <w:rPr>
          <w:b/>
          <w:u w:val="single"/>
        </w:rPr>
        <w:t>Board of Landscape Architecture</w:t>
      </w:r>
      <w:r>
        <w:t xml:space="preserve"> – Chapter 481, Part II, FS and 61G10 FAC: </w:t>
      </w:r>
    </w:p>
    <w:p w:rsidR="00B52A30" w:rsidRDefault="00B52A30" w:rsidP="00B52A30">
      <w:pPr>
        <w:pStyle w:val="BlockText"/>
        <w:ind w:left="1080"/>
      </w:pPr>
    </w:p>
    <w:p w:rsidR="00271329" w:rsidRDefault="00B52A30" w:rsidP="00E519F0">
      <w:pPr>
        <w:pStyle w:val="BlockText"/>
        <w:numPr>
          <w:ilvl w:val="1"/>
          <w:numId w:val="11"/>
        </w:numPr>
        <w:tabs>
          <w:tab w:val="left" w:pos="1440"/>
        </w:tabs>
      </w:pPr>
      <w:r>
        <w:t>This board has proposed, adopted, repealed or amended the following rules</w:t>
      </w:r>
      <w:r w:rsidR="00CF569B">
        <w:t xml:space="preserve"> (both of which appear to be still pending)</w:t>
      </w:r>
      <w:r>
        <w:t>:</w:t>
      </w:r>
    </w:p>
    <w:p w:rsidR="00E519F0" w:rsidRDefault="00E519F0" w:rsidP="00E519F0">
      <w:pPr>
        <w:pStyle w:val="BlockText"/>
        <w:tabs>
          <w:tab w:val="left" w:pos="1440"/>
        </w:tabs>
        <w:ind w:left="1890"/>
      </w:pPr>
    </w:p>
    <w:p w:rsidR="00B52A30" w:rsidRDefault="00D4023D" w:rsidP="006D1C4E">
      <w:pPr>
        <w:pStyle w:val="BlockText"/>
        <w:numPr>
          <w:ilvl w:val="2"/>
          <w:numId w:val="11"/>
        </w:numPr>
        <w:ind w:left="2340"/>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6D1C4E">
      <w:pPr>
        <w:pStyle w:val="BlockText"/>
        <w:numPr>
          <w:ilvl w:val="2"/>
          <w:numId w:val="11"/>
        </w:numPr>
        <w:ind w:left="2340"/>
      </w:pPr>
      <w:r>
        <w:t>Rule 61G10-18.002, .003 and .006 regarding continuing education provides and course approvals.</w:t>
      </w:r>
    </w:p>
    <w:p w:rsidR="00E66237" w:rsidRDefault="00E66237" w:rsidP="00E66237">
      <w:pPr>
        <w:pStyle w:val="BlockText"/>
        <w:ind w:left="2520"/>
      </w:pPr>
    </w:p>
    <w:p w:rsidR="00B52A30" w:rsidRDefault="00B52A30" w:rsidP="006D1C4E">
      <w:pPr>
        <w:pStyle w:val="BlockText"/>
        <w:numPr>
          <w:ilvl w:val="1"/>
          <w:numId w:val="11"/>
        </w:numPr>
        <w:ind w:left="1800"/>
      </w:pPr>
      <w:r>
        <w:t>This board has received or disposed of the following Petitions for Declaratory Statement (if any): None noticed.</w:t>
      </w:r>
    </w:p>
    <w:p w:rsidR="00B52A30" w:rsidRDefault="00B52A30" w:rsidP="00B52A30">
      <w:pPr>
        <w:pStyle w:val="ListParagraph"/>
      </w:pPr>
    </w:p>
    <w:p w:rsidR="009855ED" w:rsidRDefault="00B52A30" w:rsidP="006D1C4E">
      <w:pPr>
        <w:pStyle w:val="BlockText"/>
        <w:numPr>
          <w:ilvl w:val="1"/>
          <w:numId w:val="11"/>
        </w:numPr>
        <w:ind w:left="1800"/>
      </w:pPr>
      <w:r>
        <w:t>This board has received or disposed of the following Petitions for Variance o</w:t>
      </w:r>
      <w:r w:rsidR="00D4023D">
        <w:t xml:space="preserve">r Waiver (if any): </w:t>
      </w:r>
      <w:r w:rsidR="009855ED">
        <w:t>None noticed.</w:t>
      </w:r>
    </w:p>
    <w:p w:rsidR="00E519F0" w:rsidRPr="00CC4315" w:rsidRDefault="00E519F0" w:rsidP="00E519F0">
      <w:pPr>
        <w:pStyle w:val="BlockText"/>
      </w:pPr>
    </w:p>
    <w:p w:rsidR="004E142A" w:rsidRDefault="004E142A" w:rsidP="009855ED">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B70C4" w:rsidRDefault="00E519F0" w:rsidP="00E519F0">
      <w:pPr>
        <w:pStyle w:val="BlockText"/>
        <w:ind w:left="1440"/>
      </w:pPr>
      <w:r w:rsidRPr="00E519F0">
        <w:rPr>
          <w:b/>
        </w:rPr>
        <w:t>A.</w:t>
      </w:r>
      <w:r>
        <w:t xml:space="preserve">  </w:t>
      </w:r>
      <w:r w:rsidR="00E1125C">
        <w:t xml:space="preserve">This board has </w:t>
      </w:r>
      <w:r w:rsidR="004204AE">
        <w:t>proposed</w:t>
      </w:r>
      <w:r w:rsidR="00E1125C">
        <w:t xml:space="preserve"> adopted, repealed or amended</w:t>
      </w:r>
      <w:r w:rsidR="00B73DBD">
        <w:t xml:space="preserve"> the followin</w:t>
      </w:r>
      <w:r w:rsidR="00434B55">
        <w:t>g rules (if any):</w:t>
      </w:r>
      <w:r w:rsidR="00DD5289">
        <w:t xml:space="preserve"> </w:t>
      </w:r>
    </w:p>
    <w:p w:rsidR="000B70C4" w:rsidRDefault="000B70C4" w:rsidP="000B70C4">
      <w:pPr>
        <w:pStyle w:val="BlockText"/>
        <w:ind w:left="1800"/>
      </w:pPr>
    </w:p>
    <w:p w:rsidR="004E572B" w:rsidRDefault="004E572B" w:rsidP="004E572B">
      <w:pPr>
        <w:pStyle w:val="BlockText"/>
        <w:numPr>
          <w:ilvl w:val="2"/>
          <w:numId w:val="20"/>
        </w:numPr>
        <w:ind w:left="2160"/>
      </w:pPr>
      <w:r>
        <w:rPr>
          <w:b/>
        </w:rPr>
        <w:t>Rule 61G18-011</w:t>
      </w:r>
      <w:r>
        <w:t>, adding subsection (6) for a definition of “Marine Engineer,” has been withdrawn.</w:t>
      </w:r>
    </w:p>
    <w:p w:rsidR="004E572B" w:rsidRDefault="004E572B" w:rsidP="004E572B">
      <w:pPr>
        <w:pStyle w:val="BlockText"/>
        <w:ind w:left="2160"/>
      </w:pPr>
    </w:p>
    <w:p w:rsidR="004E572B" w:rsidRDefault="004E572B" w:rsidP="004E572B">
      <w:pPr>
        <w:pStyle w:val="BlockText"/>
        <w:numPr>
          <w:ilvl w:val="2"/>
          <w:numId w:val="20"/>
        </w:numPr>
        <w:ind w:left="2160"/>
      </w:pPr>
      <w:r>
        <w:rPr>
          <w:b/>
        </w:rPr>
        <w:t xml:space="preserve">Rules 61G15-20.001-.007 </w:t>
      </w:r>
      <w:r>
        <w:t>have been noticed for clarification of educational requirements.</w:t>
      </w:r>
    </w:p>
    <w:p w:rsidR="004E572B" w:rsidRDefault="004E572B" w:rsidP="004E572B">
      <w:pPr>
        <w:pStyle w:val="ListParagraph"/>
      </w:pPr>
    </w:p>
    <w:p w:rsidR="004E572B" w:rsidRDefault="004E572B" w:rsidP="004E572B">
      <w:pPr>
        <w:pStyle w:val="BlockText"/>
        <w:numPr>
          <w:ilvl w:val="2"/>
          <w:numId w:val="20"/>
        </w:numPr>
        <w:ind w:left="2160"/>
      </w:pPr>
      <w:r w:rsidRPr="004E572B">
        <w:rPr>
          <w:b/>
        </w:rPr>
        <w:t>Rule 61G15-20.0010(2),</w:t>
      </w:r>
      <w:r>
        <w:t xml:space="preserve"> regarding Licensure by Examination, has been changed to correct errors.</w:t>
      </w:r>
    </w:p>
    <w:p w:rsidR="00AE786D" w:rsidRDefault="00AE786D" w:rsidP="00AE786D">
      <w:pPr>
        <w:pStyle w:val="ListParagraph"/>
      </w:pPr>
    </w:p>
    <w:p w:rsidR="00AE786D" w:rsidRDefault="00AE786D" w:rsidP="004E572B">
      <w:pPr>
        <w:pStyle w:val="BlockText"/>
        <w:numPr>
          <w:ilvl w:val="2"/>
          <w:numId w:val="20"/>
        </w:numPr>
        <w:ind w:left="2160"/>
      </w:pPr>
      <w:r w:rsidRPr="00AE786D">
        <w:rPr>
          <w:b/>
        </w:rPr>
        <w:t>Rule 61G15-22.0105</w:t>
      </w:r>
      <w:r>
        <w:t>, regarding approval of CE courses, are being amended to delete unnecessary language and to add new language for updates.</w:t>
      </w:r>
    </w:p>
    <w:p w:rsidR="004E572B" w:rsidRDefault="004E572B" w:rsidP="004E572B">
      <w:pPr>
        <w:pStyle w:val="ListParagraph"/>
      </w:pPr>
    </w:p>
    <w:p w:rsidR="004E572B" w:rsidRDefault="004E572B" w:rsidP="004E572B">
      <w:pPr>
        <w:pStyle w:val="BlockText"/>
        <w:numPr>
          <w:ilvl w:val="2"/>
          <w:numId w:val="20"/>
        </w:numPr>
        <w:ind w:left="2160"/>
      </w:pPr>
      <w:r w:rsidRPr="00EB5A62">
        <w:rPr>
          <w:b/>
        </w:rPr>
        <w:t>Rule 61G15-21.004</w:t>
      </w:r>
      <w:r>
        <w:t xml:space="preserve">, regarding </w:t>
      </w:r>
      <w:r w:rsidR="00EB5A62">
        <w:t>passing grade, is being amended to identity National Council of Examiners for Engineering and Surveying to make the determination of a passing grade (instead of “70 or better”).</w:t>
      </w:r>
    </w:p>
    <w:p w:rsidR="000B70C4" w:rsidRDefault="004E572B" w:rsidP="004E572B">
      <w:pPr>
        <w:pStyle w:val="BlockText"/>
        <w:ind w:left="2160"/>
      </w:pPr>
      <w:r>
        <w:t xml:space="preserve"> </w:t>
      </w:r>
    </w:p>
    <w:p w:rsidR="000B70C4" w:rsidRDefault="000B70C4" w:rsidP="000B70C4">
      <w:pPr>
        <w:pStyle w:val="BlockText"/>
        <w:numPr>
          <w:ilvl w:val="2"/>
          <w:numId w:val="20"/>
        </w:numPr>
        <w:ind w:left="2160"/>
      </w:pPr>
      <w:r w:rsidRPr="000B70C4">
        <w:rPr>
          <w:b/>
        </w:rPr>
        <w:t>Rule 61G15-21.007</w:t>
      </w:r>
      <w:r>
        <w:t xml:space="preserve"> is being </w:t>
      </w:r>
      <w:r w:rsidR="00EB5A62">
        <w:t>amended to provide</w:t>
      </w:r>
      <w:r>
        <w:t xml:space="preserve"> possible addition of course work options for those failing the examination 3 times.</w:t>
      </w:r>
    </w:p>
    <w:p w:rsidR="00EB5A62" w:rsidRDefault="00EB5A62" w:rsidP="00EB5A62">
      <w:pPr>
        <w:pStyle w:val="ListParagraph"/>
      </w:pPr>
    </w:p>
    <w:p w:rsidR="00EB5A62" w:rsidRDefault="00EB5A62" w:rsidP="000B70C4">
      <w:pPr>
        <w:pStyle w:val="BlockText"/>
        <w:numPr>
          <w:ilvl w:val="2"/>
          <w:numId w:val="20"/>
        </w:numPr>
        <w:ind w:left="2160"/>
      </w:pPr>
      <w:r w:rsidRPr="00EB5A62">
        <w:rPr>
          <w:b/>
        </w:rPr>
        <w:t>Rule 61G15-22.001-.014</w:t>
      </w:r>
      <w:r>
        <w:t>, regarding renewals, are being reviewed for possible changes.</w:t>
      </w:r>
    </w:p>
    <w:p w:rsidR="000B70C4" w:rsidRDefault="000B70C4" w:rsidP="000B70C4">
      <w:pPr>
        <w:pStyle w:val="BlockText"/>
        <w:ind w:left="2160"/>
      </w:pPr>
    </w:p>
    <w:p w:rsidR="000B70C4" w:rsidRDefault="000B70C4" w:rsidP="000B70C4">
      <w:pPr>
        <w:pStyle w:val="BlockText"/>
        <w:numPr>
          <w:ilvl w:val="2"/>
          <w:numId w:val="20"/>
        </w:numPr>
        <w:ind w:left="2160"/>
      </w:pPr>
      <w:r w:rsidRPr="000B70C4">
        <w:rPr>
          <w:b/>
        </w:rPr>
        <w:t>Rules 61G15-2</w:t>
      </w:r>
      <w:r w:rsidR="00AE786D">
        <w:rPr>
          <w:b/>
        </w:rPr>
        <w:t>3.001-.005</w:t>
      </w:r>
      <w:r>
        <w:rPr>
          <w:b/>
        </w:rPr>
        <w:t>,</w:t>
      </w:r>
      <w:r>
        <w:t xml:space="preserve"> regarding</w:t>
      </w:r>
      <w:r w:rsidR="00EB5A62">
        <w:t xml:space="preserve"> seals, signatures and dates, are being proposed for amendment.</w:t>
      </w:r>
    </w:p>
    <w:p w:rsidR="00784A25" w:rsidRDefault="00784A25" w:rsidP="00784A25">
      <w:pPr>
        <w:pStyle w:val="ListParagraph"/>
      </w:pPr>
    </w:p>
    <w:p w:rsidR="00784A25" w:rsidRDefault="00784A25" w:rsidP="000B70C4">
      <w:pPr>
        <w:pStyle w:val="BlockText"/>
        <w:numPr>
          <w:ilvl w:val="2"/>
          <w:numId w:val="20"/>
        </w:numPr>
        <w:ind w:left="2160"/>
      </w:pPr>
      <w:r w:rsidRPr="00784A25">
        <w:rPr>
          <w:b/>
        </w:rPr>
        <w:t>Rule 61G15-35.003</w:t>
      </w:r>
      <w:r>
        <w:t>, regarding qualification programs for Special Inspectors of Threshold Buildings, is being amended for updates to the existing forms.</w:t>
      </w:r>
    </w:p>
    <w:p w:rsidR="00B73DBD" w:rsidRDefault="00B73DBD" w:rsidP="00775D28">
      <w:pPr>
        <w:pStyle w:val="BlockText"/>
      </w:pPr>
    </w:p>
    <w:p w:rsidR="00E3126D" w:rsidRDefault="009E2A70" w:rsidP="00E519F0">
      <w:pPr>
        <w:pStyle w:val="BlockText"/>
        <w:numPr>
          <w:ilvl w:val="3"/>
          <w:numId w:val="18"/>
        </w:numPr>
        <w:ind w:left="1890" w:hanging="450"/>
      </w:pPr>
      <w:r>
        <w:t xml:space="preserve">This board has received or disposed of the following Petitions for </w:t>
      </w:r>
      <w:r w:rsidR="00052694">
        <w:t>Declaratory Statement</w:t>
      </w:r>
      <w:r w:rsidR="00003119">
        <w:t xml:space="preserve"> (if any</w:t>
      </w:r>
      <w:r w:rsidR="00775D28">
        <w:t>): None published</w:t>
      </w:r>
      <w:r w:rsidR="00E66237">
        <w:t>.</w:t>
      </w:r>
    </w:p>
    <w:p w:rsidR="000B0D3F" w:rsidRDefault="000B0D3F" w:rsidP="000B0D3F">
      <w:pPr>
        <w:pStyle w:val="BlockText"/>
        <w:ind w:left="1800"/>
      </w:pPr>
    </w:p>
    <w:p w:rsidR="00CC1B0F" w:rsidRDefault="000B0D3F" w:rsidP="00E519F0">
      <w:pPr>
        <w:pStyle w:val="BlockText"/>
        <w:numPr>
          <w:ilvl w:val="3"/>
          <w:numId w:val="18"/>
        </w:numPr>
        <w:ind w:left="1890" w:hanging="450"/>
      </w:pPr>
      <w:r>
        <w:t>This board has received or disposed of the following Petitions for Variance or Waiver (i</w:t>
      </w:r>
      <w:r w:rsidR="00B73DBD">
        <w:t>f any):</w:t>
      </w:r>
      <w:r w:rsidR="00034306">
        <w:t xml:space="preserve"> </w:t>
      </w:r>
      <w:r w:rsidR="00775D28">
        <w:t>None published.</w:t>
      </w:r>
    </w:p>
    <w:p w:rsidR="000B0D3F" w:rsidRDefault="000B0D3F" w:rsidP="000B0D3F">
      <w:pPr>
        <w:pStyle w:val="BlockText"/>
      </w:pPr>
    </w:p>
    <w:p w:rsidR="004E142A" w:rsidRDefault="004E142A" w:rsidP="007B2FC8">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4E142A" w:rsidRDefault="00E1125C" w:rsidP="00D0142A">
      <w:pPr>
        <w:pStyle w:val="BlockText"/>
        <w:numPr>
          <w:ilvl w:val="1"/>
          <w:numId w:val="11"/>
        </w:numPr>
      </w:pPr>
      <w:r>
        <w:t xml:space="preserve">This board has proposed, adopted, repealed or amended the following rules (if </w:t>
      </w:r>
      <w:r w:rsidR="00E519F0">
        <w:t xml:space="preserve">        </w:t>
      </w:r>
      <w:r>
        <w:t>any):</w:t>
      </w:r>
    </w:p>
    <w:p w:rsidR="00D0142A" w:rsidRDefault="00D0142A" w:rsidP="00D0142A">
      <w:pPr>
        <w:pStyle w:val="BlockText"/>
        <w:ind w:left="1890"/>
      </w:pPr>
    </w:p>
    <w:p w:rsidR="00D0142A" w:rsidRDefault="00D0142A" w:rsidP="00D0142A">
      <w:pPr>
        <w:pStyle w:val="BlockText"/>
        <w:numPr>
          <w:ilvl w:val="2"/>
          <w:numId w:val="11"/>
        </w:numPr>
      </w:pPr>
      <w:r w:rsidRPr="00D0142A">
        <w:rPr>
          <w:b/>
        </w:rPr>
        <w:t>Rule 61G19-6.006</w:t>
      </w:r>
      <w:r>
        <w:t xml:space="preserve">, regarding information required on certificates, is being </w:t>
      </w:r>
      <w:r w:rsidRPr="00D0142A">
        <w:rPr>
          <w:u w:val="single"/>
        </w:rPr>
        <w:t>repealed</w:t>
      </w:r>
      <w:r>
        <w:t>.</w:t>
      </w:r>
    </w:p>
    <w:p w:rsidR="00D0142A" w:rsidRDefault="00D0142A" w:rsidP="00D0142A">
      <w:pPr>
        <w:pStyle w:val="BlockText"/>
        <w:ind w:left="2520"/>
      </w:pPr>
    </w:p>
    <w:p w:rsidR="00D0142A" w:rsidRPr="00D0142A" w:rsidRDefault="00D0142A" w:rsidP="00D0142A">
      <w:pPr>
        <w:pStyle w:val="BlockText"/>
        <w:numPr>
          <w:ilvl w:val="2"/>
          <w:numId w:val="11"/>
        </w:numPr>
      </w:pPr>
      <w:r w:rsidRPr="00D0142A">
        <w:rPr>
          <w:b/>
        </w:rPr>
        <w:t>Rule 61G19-6.010</w:t>
      </w:r>
      <w:r>
        <w:t xml:space="preserve">, regarding other methods of qualification for standard certification, is being </w:t>
      </w:r>
      <w:r w:rsidRPr="00D0142A">
        <w:rPr>
          <w:u w:val="single"/>
        </w:rPr>
        <w:t>repealed.</w:t>
      </w:r>
    </w:p>
    <w:p w:rsidR="00D0142A" w:rsidRDefault="00D0142A" w:rsidP="00D0142A">
      <w:pPr>
        <w:pStyle w:val="BlockText"/>
      </w:pPr>
    </w:p>
    <w:p w:rsidR="00D0142A" w:rsidRDefault="00D0142A" w:rsidP="00D0142A">
      <w:pPr>
        <w:pStyle w:val="BlockText"/>
        <w:numPr>
          <w:ilvl w:val="2"/>
          <w:numId w:val="11"/>
        </w:numPr>
      </w:pPr>
      <w:r w:rsidRPr="00D0142A">
        <w:rPr>
          <w:b/>
        </w:rPr>
        <w:t>Rule 61G19-6.008</w:t>
      </w:r>
      <w:r>
        <w:t>, regarding reexamination, is being amended to remove obsolete and repetitive language.</w:t>
      </w:r>
    </w:p>
    <w:p w:rsidR="00D0142A" w:rsidRDefault="00D0142A" w:rsidP="00D0142A">
      <w:pPr>
        <w:pStyle w:val="BlockText"/>
      </w:pPr>
    </w:p>
    <w:p w:rsidR="00D0142A" w:rsidRDefault="00D0142A" w:rsidP="00FD3972">
      <w:pPr>
        <w:pStyle w:val="BlockText"/>
        <w:numPr>
          <w:ilvl w:val="2"/>
          <w:numId w:val="11"/>
        </w:numPr>
      </w:pPr>
      <w:r w:rsidRPr="00D0142A">
        <w:rPr>
          <w:b/>
        </w:rPr>
        <w:t>Rule 61G19-7.002</w:t>
      </w:r>
      <w:r>
        <w:t>, regarding training program providers, is being updated as to the location of department forms.</w:t>
      </w:r>
    </w:p>
    <w:p w:rsidR="00D0142A" w:rsidRDefault="00D0142A" w:rsidP="00D0142A">
      <w:pPr>
        <w:pStyle w:val="BlockText"/>
        <w:ind w:left="2520"/>
      </w:pPr>
    </w:p>
    <w:p w:rsidR="00D0142A" w:rsidRDefault="00D0142A" w:rsidP="00D0142A">
      <w:pPr>
        <w:pStyle w:val="BlockText"/>
        <w:numPr>
          <w:ilvl w:val="2"/>
          <w:numId w:val="11"/>
        </w:numPr>
      </w:pPr>
      <w:r w:rsidRPr="00D0142A">
        <w:rPr>
          <w:b/>
        </w:rPr>
        <w:t>Rule 61G19-7.004</w:t>
      </w:r>
      <w:r>
        <w:t>, regarding approval of training programs, is being updated as to the location of department forms.</w:t>
      </w:r>
    </w:p>
    <w:p w:rsidR="00D0142A" w:rsidRDefault="00D0142A" w:rsidP="00D0142A">
      <w:pPr>
        <w:pStyle w:val="BlockText"/>
      </w:pPr>
    </w:p>
    <w:p w:rsidR="00D0142A" w:rsidRDefault="00D0142A" w:rsidP="00D0142A">
      <w:pPr>
        <w:pStyle w:val="BlockText"/>
        <w:numPr>
          <w:ilvl w:val="2"/>
          <w:numId w:val="11"/>
        </w:numPr>
      </w:pPr>
      <w:r w:rsidRPr="00D0142A">
        <w:rPr>
          <w:b/>
        </w:rPr>
        <w:t>Rule</w:t>
      </w:r>
      <w:r>
        <w:t xml:space="preserve"> </w:t>
      </w:r>
      <w:r w:rsidRPr="00D0142A">
        <w:rPr>
          <w:b/>
        </w:rPr>
        <w:t>61G19-9.003</w:t>
      </w:r>
      <w:r>
        <w:t>, regarding registration of course providers, is being updated as to the location of department forms.</w:t>
      </w:r>
    </w:p>
    <w:p w:rsidR="00D0142A" w:rsidRDefault="00D0142A" w:rsidP="00D0142A">
      <w:pPr>
        <w:pStyle w:val="BlockText"/>
      </w:pPr>
    </w:p>
    <w:p w:rsidR="00D0142A" w:rsidRDefault="00D0142A" w:rsidP="00D0142A">
      <w:pPr>
        <w:pStyle w:val="BlockText"/>
        <w:numPr>
          <w:ilvl w:val="2"/>
          <w:numId w:val="11"/>
        </w:numPr>
      </w:pPr>
      <w:r w:rsidRPr="00D0142A">
        <w:rPr>
          <w:b/>
        </w:rPr>
        <w:t>Rule 61G19-9.004</w:t>
      </w:r>
      <w:r>
        <w:t>, regarding approval of courses, is being updated as to the location of department forms.</w:t>
      </w:r>
    </w:p>
    <w:p w:rsidR="00D0142A" w:rsidRDefault="00D0142A" w:rsidP="00D0142A">
      <w:pPr>
        <w:pStyle w:val="BlockText"/>
        <w:ind w:left="2520"/>
      </w:pPr>
    </w:p>
    <w:p w:rsidR="00D0142A" w:rsidRDefault="00D0142A" w:rsidP="00D0142A">
      <w:pPr>
        <w:pStyle w:val="BlockText"/>
        <w:numPr>
          <w:ilvl w:val="2"/>
          <w:numId w:val="11"/>
        </w:numPr>
      </w:pPr>
      <w:r w:rsidRPr="00D0142A">
        <w:rPr>
          <w:b/>
        </w:rPr>
        <w:t>Rule 61G19-9.005</w:t>
      </w:r>
      <w:r>
        <w:t>, regarding qualifications of course providers, is being updated as to the location of department forms.</w:t>
      </w:r>
    </w:p>
    <w:p w:rsidR="004E142A" w:rsidRDefault="004E142A" w:rsidP="004E142A">
      <w:pPr>
        <w:pStyle w:val="BlockText"/>
      </w:pPr>
    </w:p>
    <w:p w:rsidR="00034306" w:rsidRDefault="00E519F0" w:rsidP="00E519F0">
      <w:pPr>
        <w:pStyle w:val="BlockText"/>
        <w:tabs>
          <w:tab w:val="left" w:pos="1710"/>
        </w:tabs>
        <w:ind w:left="1710" w:hanging="270"/>
      </w:pPr>
      <w:r w:rsidRPr="00E519F0">
        <w:rPr>
          <w:b/>
        </w:rPr>
        <w:t>B.</w:t>
      </w:r>
      <w:r w:rsidR="00C80E12">
        <w:t xml:space="preserve"> </w:t>
      </w:r>
      <w:r w:rsidR="004E142A">
        <w:t xml:space="preserve">This board has received or disposed of the following Petitions for Declaratory </w:t>
      </w:r>
      <w:r w:rsidR="00C80E12">
        <w:t xml:space="preserve">     </w:t>
      </w:r>
      <w:r w:rsidR="004E142A">
        <w:t>Statement (if any</w:t>
      </w:r>
      <w:r w:rsidR="00B73DBD">
        <w:t xml:space="preserve">): </w:t>
      </w:r>
      <w:r w:rsidR="00D0142A" w:rsidRPr="003A5916">
        <w:rPr>
          <w:b/>
        </w:rPr>
        <w:t>John Comos, City of New Port Richey</w:t>
      </w:r>
      <w:r w:rsidR="003A5916" w:rsidRPr="003A5916">
        <w:rPr>
          <w:b/>
        </w:rPr>
        <w:t xml:space="preserve"> Building Department</w:t>
      </w:r>
      <w:r w:rsidR="003A5916">
        <w:t>, seeking a determination of whether anyone other than an electrical inspector can perform an inspection required by NFPA 70 for any residential or commercial/industrial building.</w:t>
      </w:r>
    </w:p>
    <w:p w:rsidR="00A9229C" w:rsidRDefault="00A9229C" w:rsidP="00A9229C">
      <w:pPr>
        <w:pStyle w:val="BlockText"/>
      </w:pPr>
    </w:p>
    <w:p w:rsidR="004E142A" w:rsidRDefault="00E519F0" w:rsidP="00E519F0">
      <w:pPr>
        <w:pStyle w:val="BlockText"/>
        <w:numPr>
          <w:ilvl w:val="4"/>
          <w:numId w:val="20"/>
        </w:numPr>
        <w:tabs>
          <w:tab w:val="left" w:pos="1710"/>
        </w:tabs>
        <w:ind w:left="1800"/>
      </w:pPr>
      <w:r>
        <w:t xml:space="preserve"> </w:t>
      </w:r>
      <w:r w:rsidR="004E142A">
        <w:t xml:space="preserve">This board has received or disposed of the following Petitions for Variance or Waiver (if any): </w:t>
      </w:r>
      <w:r w:rsidR="004204AE">
        <w:t>None</w:t>
      </w:r>
      <w:r w:rsidR="00920535">
        <w:t xml:space="preserve"> noticed</w:t>
      </w:r>
      <w:r w:rsidR="004204AE">
        <w:t>.</w:t>
      </w:r>
    </w:p>
    <w:p w:rsidR="000B70C4" w:rsidRPr="003134D3" w:rsidRDefault="000B70C4" w:rsidP="000B70C4">
      <w:pPr>
        <w:pStyle w:val="BlockText"/>
        <w:tabs>
          <w:tab w:val="left" w:pos="1710"/>
        </w:tabs>
      </w:pPr>
    </w:p>
    <w:p w:rsidR="00F73B56" w:rsidRDefault="004E142A" w:rsidP="007B2FC8">
      <w:pPr>
        <w:pStyle w:val="BlockText"/>
        <w:numPr>
          <w:ilvl w:val="0"/>
          <w:numId w:val="11"/>
        </w:numPr>
      </w:pPr>
      <w:r w:rsidRPr="00FE4DEA">
        <w:rPr>
          <w:b/>
          <w:u w:val="single"/>
        </w:rPr>
        <w:t>Florida Building Commission</w:t>
      </w:r>
      <w:r>
        <w:rPr>
          <w:rStyle w:val="FootnoteReference"/>
          <w:u w:val="single"/>
        </w:rPr>
        <w:footnoteReference w:id="2"/>
      </w:r>
      <w:r>
        <w:t xml:space="preserve"> – Chapter 553, Part IV and Chapter 61G20, FAC): </w:t>
      </w:r>
    </w:p>
    <w:p w:rsidR="00F73B56" w:rsidRDefault="00F73B56" w:rsidP="00F73B56">
      <w:pPr>
        <w:pStyle w:val="BlockText"/>
        <w:ind w:left="720"/>
        <w:rPr>
          <w:u w:val="single"/>
        </w:rPr>
      </w:pPr>
    </w:p>
    <w:p w:rsidR="00FE4DEA" w:rsidRDefault="00F73B56" w:rsidP="00FE4DEA">
      <w:pPr>
        <w:pStyle w:val="BlockText"/>
      </w:pPr>
      <w:r>
        <w:rPr>
          <w:b/>
          <w:u w:val="single"/>
        </w:rPr>
        <w:t xml:space="preserve">CODE </w:t>
      </w:r>
      <w:r w:rsidRPr="00D255AC">
        <w:rPr>
          <w:b/>
          <w:u w:val="single"/>
        </w:rPr>
        <w:t>NOTE</w:t>
      </w:r>
      <w:r w:rsidRPr="00D255AC">
        <w:rPr>
          <w:b/>
        </w:rPr>
        <w:t xml:space="preserve">: </w:t>
      </w:r>
      <w:r w:rsidR="006E0D5B">
        <w:rPr>
          <w:b/>
        </w:rPr>
        <w:t>T</w:t>
      </w:r>
      <w:r w:rsidRPr="00571120">
        <w:rPr>
          <w:b/>
        </w:rPr>
        <w:t>he effective date of the next Florida Bu</w:t>
      </w:r>
      <w:r w:rsidR="006E0D5B">
        <w:rPr>
          <w:b/>
        </w:rPr>
        <w:t xml:space="preserve">ilding Code, which </w:t>
      </w:r>
      <w:r w:rsidR="00FE4DEA">
        <w:rPr>
          <w:b/>
        </w:rPr>
        <w:t>is</w:t>
      </w:r>
      <w:r>
        <w:rPr>
          <w:b/>
        </w:rPr>
        <w:t xml:space="preserve"> entitled "Florida Building Code 5</w:t>
      </w:r>
      <w:r w:rsidRPr="00571120">
        <w:rPr>
          <w:b/>
          <w:vertAlign w:val="superscript"/>
        </w:rPr>
        <w:t>th</w:t>
      </w:r>
      <w:r w:rsidR="006E0D5B">
        <w:rPr>
          <w:b/>
        </w:rPr>
        <w:t xml:space="preserve"> Edition (2014),</w:t>
      </w:r>
      <w:r>
        <w:rPr>
          <w:b/>
        </w:rPr>
        <w:t>"</w:t>
      </w:r>
      <w:r w:rsidR="000B0D3F">
        <w:rPr>
          <w:b/>
        </w:rPr>
        <w:t xml:space="preserve"> </w:t>
      </w:r>
      <w:r w:rsidR="00FE4DEA">
        <w:rPr>
          <w:b/>
        </w:rPr>
        <w:t xml:space="preserve">was </w:t>
      </w:r>
      <w:r w:rsidR="006E0D5B">
        <w:rPr>
          <w:b/>
        </w:rPr>
        <w:t>June 30, 2015.</w:t>
      </w:r>
      <w:r w:rsidR="007A5E81">
        <w:rPr>
          <w:b/>
        </w:rPr>
        <w:t xml:space="preserve"> See</w:t>
      </w:r>
      <w:r w:rsidR="007A5E81" w:rsidRPr="007A5E81">
        <w:t>: Rule 61G20-1.001</w:t>
      </w:r>
      <w:r w:rsidR="00FE4DEA">
        <w:t>.</w:t>
      </w:r>
      <w:r w:rsidR="00FE4DEA" w:rsidRPr="00FE4DEA">
        <w:t xml:space="preserve"> </w:t>
      </w:r>
      <w:r w:rsidR="00FE4DEA">
        <w:t>The commission will next meet at The Plaza hotel in Daytona Beach, on August 17-18, 2015, to consider the petitions for Declaratory Statements and for other board business, including various disability accessibility waivers, and to re-consider the petition for emergency rule it approved at its June meeting.</w:t>
      </w:r>
    </w:p>
    <w:p w:rsidR="00B0622F" w:rsidRPr="00FE4DEA" w:rsidRDefault="00FE4DEA" w:rsidP="00FE4DEA">
      <w:pPr>
        <w:pStyle w:val="BlockText"/>
        <w:ind w:left="720"/>
      </w:pPr>
      <w:r>
        <w:t xml:space="preserve"> </w:t>
      </w:r>
    </w:p>
    <w:p w:rsidR="00C60ABB" w:rsidRDefault="00E1125C" w:rsidP="00FE4DEA">
      <w:pPr>
        <w:pStyle w:val="BlockText"/>
        <w:numPr>
          <w:ilvl w:val="0"/>
          <w:numId w:val="44"/>
        </w:numPr>
      </w:pPr>
      <w:r>
        <w:t>This board has proposed, adopted, repealed or amended the following rules (if any):</w:t>
      </w:r>
      <w:r w:rsidR="00AB69C6">
        <w:t xml:space="preserve"> </w:t>
      </w:r>
      <w:r w:rsidR="00EB7798">
        <w:t>Emergency rule</w:t>
      </w:r>
      <w:r w:rsidR="00AB69C6">
        <w:t xml:space="preserve"> delaying the effective date of </w:t>
      </w:r>
      <w:r w:rsidR="00EB7798">
        <w:t>2014 code requirements for</w:t>
      </w:r>
      <w:r w:rsidR="002066F0">
        <w:t xml:space="preserve"> the use of blower doors to determine air ventilation requirements for energy efficiency.</w:t>
      </w:r>
      <w:r w:rsidR="00EB7798">
        <w:rPr>
          <w:rStyle w:val="FootnoteReference"/>
        </w:rPr>
        <w:footnoteReference w:id="3"/>
      </w:r>
    </w:p>
    <w:p w:rsidR="007A5E81" w:rsidRDefault="007A5E81" w:rsidP="00E235EA">
      <w:pPr>
        <w:pStyle w:val="BlockText"/>
      </w:pPr>
    </w:p>
    <w:p w:rsidR="00FE4DEA" w:rsidRDefault="00E1125C" w:rsidP="00236AF7">
      <w:pPr>
        <w:pStyle w:val="BlockText"/>
        <w:numPr>
          <w:ilvl w:val="0"/>
          <w:numId w:val="44"/>
        </w:numPr>
      </w:pPr>
      <w:r>
        <w:t>This board has received or disposed of the following Petition</w:t>
      </w:r>
      <w:r w:rsidR="00C05096">
        <w:t>(</w:t>
      </w:r>
      <w:r>
        <w:t>s</w:t>
      </w:r>
      <w:r w:rsidR="00C05096">
        <w:t>)</w:t>
      </w:r>
      <w:r>
        <w:t xml:space="preserve"> for </w:t>
      </w:r>
      <w:r w:rsidR="003747B5">
        <w:t xml:space="preserve">Declaratory Statement: </w:t>
      </w:r>
      <w:r w:rsidR="00236AF7" w:rsidRPr="00173510">
        <w:rPr>
          <w:b/>
        </w:rPr>
        <w:t>RECA and Frank LaPete</w:t>
      </w:r>
      <w:r w:rsidR="00236AF7">
        <w:t>, seeking a determination of whether replacement fenestration products must meet current code energy requirement, regardless of being a “renovation.”</w:t>
      </w:r>
    </w:p>
    <w:p w:rsidR="000B0D3F" w:rsidRPr="000B0D3F" w:rsidRDefault="000B0D3F" w:rsidP="00E235EA">
      <w:pPr>
        <w:pStyle w:val="BlockText"/>
      </w:pPr>
    </w:p>
    <w:p w:rsidR="00681534" w:rsidRDefault="000B0D3F" w:rsidP="00FE4DEA">
      <w:pPr>
        <w:pStyle w:val="BlockText"/>
        <w:numPr>
          <w:ilvl w:val="0"/>
          <w:numId w:val="44"/>
        </w:numPr>
      </w:pPr>
      <w:r>
        <w:t>This board has received or disposed of the following Petitions for Variance or Waiver (if any</w:t>
      </w:r>
      <w:r w:rsidR="006E0D5B">
        <w:t>): None noticed.</w:t>
      </w:r>
    </w:p>
    <w:p w:rsidR="00681534" w:rsidRDefault="00681534" w:rsidP="00681534">
      <w:pPr>
        <w:pStyle w:val="BlockText"/>
        <w:ind w:left="1800"/>
      </w:pPr>
    </w:p>
    <w:p w:rsidR="00681534" w:rsidRDefault="008F17A7" w:rsidP="00FE4DEA">
      <w:pPr>
        <w:pStyle w:val="BlockText"/>
        <w:numPr>
          <w:ilvl w:val="0"/>
          <w:numId w:val="44"/>
        </w:numPr>
      </w:pPr>
      <w:r w:rsidRPr="00681534">
        <w:t>Th</w:t>
      </w:r>
      <w:r>
        <w:t xml:space="preserve">is </w:t>
      </w:r>
      <w:r w:rsidR="00452CC3">
        <w:t>board has received a petition for</w:t>
      </w:r>
      <w:r>
        <w:t xml:space="preserve"> </w:t>
      </w:r>
      <w:r w:rsidR="00452CC3">
        <w:t>interpretation</w:t>
      </w:r>
      <w:r>
        <w:t xml:space="preserve"> of building code as follows (If any):</w:t>
      </w:r>
      <w:r w:rsidR="00452CC3">
        <w:t xml:space="preserve"> </w:t>
      </w:r>
      <w:r w:rsidR="00681534">
        <w:t>None noticed.</w:t>
      </w:r>
    </w:p>
    <w:p w:rsidR="00996855" w:rsidRPr="00996855" w:rsidRDefault="00996855" w:rsidP="00681534">
      <w:pPr>
        <w:pStyle w:val="BlockText"/>
        <w:rPr>
          <w:b/>
        </w:rPr>
      </w:pPr>
    </w:p>
    <w:p w:rsidR="000340FB" w:rsidRDefault="00941C32" w:rsidP="0017187B">
      <w:pPr>
        <w:pStyle w:val="BlockText"/>
        <w:ind w:firstLine="720"/>
      </w:pPr>
      <w:r w:rsidRPr="00DD46B2">
        <w:rPr>
          <w:b/>
        </w:rPr>
        <w:t xml:space="preserve">8. </w:t>
      </w:r>
      <w:r w:rsidRPr="00DD46B2">
        <w:rPr>
          <w:b/>
          <w:u w:val="single"/>
        </w:rPr>
        <w:t>DBPR/Home Inspectors:</w:t>
      </w:r>
      <w:r>
        <w:t xml:space="preserve"> </w:t>
      </w:r>
      <w:r w:rsidR="00681534">
        <w:t>Nothing new to report.</w:t>
      </w:r>
    </w:p>
    <w:p w:rsidR="0041534C" w:rsidRDefault="0041534C" w:rsidP="0041534C">
      <w:pPr>
        <w:pStyle w:val="BlockText"/>
      </w:pPr>
    </w:p>
    <w:p w:rsidR="008035A4" w:rsidRDefault="00C01BBA" w:rsidP="00C01BBA">
      <w:pPr>
        <w:pStyle w:val="BlockText"/>
        <w:ind w:left="720"/>
      </w:pPr>
      <w:r w:rsidRPr="00DD46B2">
        <w:rPr>
          <w:b/>
        </w:rPr>
        <w:t>9</w:t>
      </w:r>
      <w:r w:rsidR="007B1B79" w:rsidRPr="00DD46B2">
        <w:rPr>
          <w:b/>
        </w:rPr>
        <w:t xml:space="preserve">. </w:t>
      </w:r>
      <w:r w:rsidR="000340FB" w:rsidRPr="00DD46B2">
        <w:rPr>
          <w:b/>
          <w:u w:val="single"/>
        </w:rPr>
        <w:t>Board of Professional Geologists</w:t>
      </w:r>
      <w:r w:rsidR="000340FB" w:rsidRPr="000340FB">
        <w:rPr>
          <w:u w:val="single"/>
        </w:rPr>
        <w:t>:</w:t>
      </w:r>
      <w:r w:rsidR="000340FB">
        <w:t xml:space="preserve"> Chapter 492, Florida Statutes, and Rule Chapter 61G16, F.A</w:t>
      </w:r>
      <w:r w:rsidR="008035A4">
        <w:t>.C.:</w:t>
      </w:r>
    </w:p>
    <w:p w:rsidR="008035A4" w:rsidRDefault="008035A4" w:rsidP="008035A4">
      <w:pPr>
        <w:pStyle w:val="BlockText"/>
        <w:ind w:left="1080"/>
      </w:pPr>
    </w:p>
    <w:p w:rsidR="000340FB" w:rsidRDefault="008035A4" w:rsidP="00DD46B2">
      <w:pPr>
        <w:pStyle w:val="BlockText"/>
        <w:numPr>
          <w:ilvl w:val="1"/>
          <w:numId w:val="11"/>
        </w:numPr>
        <w:ind w:hanging="450"/>
      </w:pPr>
      <w:r>
        <w:t xml:space="preserve">This board has proposed, adopted, repealed or amended the following rules (if any): </w:t>
      </w:r>
      <w:r w:rsidR="004E572B">
        <w:t xml:space="preserve"> Rules 61G16-3.</w:t>
      </w:r>
      <w:r w:rsidR="001C3A80">
        <w:t>001</w:t>
      </w:r>
      <w:r w:rsidR="004E572B">
        <w:t>(5)</w:t>
      </w:r>
      <w:r w:rsidR="00CC08D4">
        <w:t xml:space="preserve"> </w:t>
      </w:r>
      <w:r w:rsidR="004E572B">
        <w:t>(a), regarding schedule of fees for reinstatement of a null and void license, have been noticed for change</w:t>
      </w:r>
      <w:r w:rsidR="00C30DBA">
        <w:t>.</w:t>
      </w:r>
    </w:p>
    <w:p w:rsidR="008035A4" w:rsidRDefault="008035A4" w:rsidP="00143919">
      <w:pPr>
        <w:pStyle w:val="BlockText"/>
      </w:pPr>
    </w:p>
    <w:p w:rsidR="00AF448F" w:rsidRDefault="008035A4" w:rsidP="00DD46B2">
      <w:pPr>
        <w:pStyle w:val="BlockText"/>
        <w:numPr>
          <w:ilvl w:val="1"/>
          <w:numId w:val="11"/>
        </w:numPr>
        <w:ind w:hanging="450"/>
      </w:pPr>
      <w:r>
        <w:t>This board has received or disposed of the following Petitions for Declaratory St</w:t>
      </w:r>
      <w:r w:rsidR="00663C9D">
        <w:t xml:space="preserve">atement (if any): </w:t>
      </w:r>
      <w:r w:rsidR="00143919">
        <w:t xml:space="preserve"> None noticed</w:t>
      </w:r>
      <w:r w:rsidR="00AF448F">
        <w:t xml:space="preserve"> </w:t>
      </w:r>
    </w:p>
    <w:p w:rsidR="008035A4" w:rsidRDefault="008035A4" w:rsidP="008035A4">
      <w:pPr>
        <w:pStyle w:val="BlockText"/>
      </w:pPr>
    </w:p>
    <w:p w:rsidR="008035A4" w:rsidRDefault="008035A4" w:rsidP="00DD46B2">
      <w:pPr>
        <w:pStyle w:val="BlockText"/>
        <w:numPr>
          <w:ilvl w:val="1"/>
          <w:numId w:val="11"/>
        </w:numPr>
        <w:ind w:hanging="450"/>
      </w:pPr>
      <w:r>
        <w:t>This board has received or disposed of the following Petitions for Variance or Waiver (if any): None noticed.</w:t>
      </w:r>
    </w:p>
    <w:p w:rsidR="0094577A" w:rsidRDefault="0094577A" w:rsidP="0094577A">
      <w:pPr>
        <w:pStyle w:val="BlockText"/>
      </w:pPr>
    </w:p>
    <w:p w:rsidR="00317330" w:rsidRDefault="0094577A" w:rsidP="0045633D">
      <w:pPr>
        <w:pStyle w:val="BlockText"/>
        <w:ind w:left="720"/>
      </w:pPr>
      <w:r w:rsidRPr="00DD46B2">
        <w:rPr>
          <w:b/>
        </w:rPr>
        <w:t>10</w:t>
      </w:r>
      <w:r w:rsidRPr="00DD46B2">
        <w:rPr>
          <w:b/>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1C3A80" w:rsidRDefault="001C3A80" w:rsidP="0045633D">
      <w:pPr>
        <w:pStyle w:val="BlockText"/>
        <w:ind w:left="720"/>
      </w:pPr>
    </w:p>
    <w:p w:rsidR="005F51C9" w:rsidRDefault="004B10A3" w:rsidP="00E235EA">
      <w:pPr>
        <w:pStyle w:val="BlockText"/>
        <w:ind w:left="810" w:hanging="90"/>
        <w:rPr>
          <w:b/>
        </w:rPr>
      </w:pPr>
      <w:r w:rsidRPr="00DD46B2">
        <w:rPr>
          <w:b/>
        </w:rPr>
        <w:t xml:space="preserve">11. </w:t>
      </w:r>
      <w:r w:rsidRPr="00DD46B2">
        <w:rPr>
          <w:b/>
          <w:u w:val="single"/>
        </w:rPr>
        <w:t>Asbestos Consultants</w:t>
      </w:r>
      <w:r>
        <w:t xml:space="preserve"> – Chapter </w:t>
      </w:r>
      <w:r w:rsidR="00C906E0">
        <w:t>469</w:t>
      </w:r>
      <w:r>
        <w:t>, Florida Statutes, and Chapter</w:t>
      </w:r>
      <w:r w:rsidR="009D71A1">
        <w:t xml:space="preserve"> 61</w:t>
      </w:r>
      <w:r w:rsidR="00C60ABB">
        <w:t>E1</w:t>
      </w:r>
      <w:r w:rsidR="00452CC3">
        <w:t xml:space="preserve">, F.A.C.:  </w:t>
      </w:r>
      <w:r w:rsidR="0079604D">
        <w:t>Rule 61E1-6001, regarding disciplinary guidelines, has been noticed for rule development.</w:t>
      </w:r>
    </w:p>
    <w:p w:rsidR="005F51C9" w:rsidRDefault="005F51C9" w:rsidP="00DE52F2">
      <w:pPr>
        <w:pStyle w:val="BlockText"/>
        <w:rPr>
          <w:b/>
        </w:rPr>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rsidRPr="00041C50">
        <w:rPr>
          <w:b/>
        </w:rPr>
        <w:t>1.</w:t>
      </w:r>
      <w:r>
        <w:t xml:space="preserve"> </w:t>
      </w:r>
      <w:r w:rsidRPr="00430AB5">
        <w:rPr>
          <w:b/>
          <w:u w:val="single"/>
        </w:rPr>
        <w:t>Water Well Contractors</w:t>
      </w:r>
      <w:r w:rsidRPr="00430AB5">
        <w:rPr>
          <w:u w:val="single"/>
        </w:rPr>
        <w:t>:</w:t>
      </w:r>
      <w:r>
        <w:t xml:space="preserve">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r>
      <w:r w:rsidRPr="00041C50">
        <w:rPr>
          <w:b/>
        </w:rPr>
        <w:t>2.</w:t>
      </w:r>
      <w:r>
        <w:t xml:space="preserve"> </w:t>
      </w:r>
      <w:r w:rsidRPr="00430AB5">
        <w:rPr>
          <w:b/>
          <w:u w:val="single"/>
        </w:rPr>
        <w:t>Consumptive Use Permits:</w:t>
      </w:r>
      <w:r>
        <w:t xml:space="preserve">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BE34DD" w:rsidRDefault="00DE52F2" w:rsidP="00BE34DD">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173510" w:rsidRDefault="00173510" w:rsidP="00BE34DD">
      <w:pPr>
        <w:pStyle w:val="BlockText"/>
      </w:pPr>
    </w:p>
    <w:p w:rsidR="00CA5EE6" w:rsidRPr="00CF2BE6" w:rsidRDefault="00CA5EE6" w:rsidP="0008109E">
      <w:pPr>
        <w:pStyle w:val="BlockText"/>
        <w:numPr>
          <w:ilvl w:val="0"/>
          <w:numId w:val="15"/>
        </w:numPr>
        <w:rPr>
          <w:u w:val="single"/>
        </w:rPr>
      </w:pPr>
      <w:r w:rsidRPr="00CF2BE6">
        <w:rPr>
          <w:b/>
          <w:u w:val="single"/>
        </w:rPr>
        <w:t>Division of Environmental Health</w:t>
      </w:r>
      <w:r w:rsidRPr="00CF2BE6">
        <w:rPr>
          <w:u w:val="single"/>
        </w:rPr>
        <w:t>:</w:t>
      </w:r>
      <w:r w:rsidR="003C3E7C" w:rsidRPr="00CF2BE6">
        <w:rPr>
          <w:u w:val="single"/>
        </w:rPr>
        <w:t xml:space="preserve"> </w:t>
      </w:r>
      <w:r w:rsidR="00BE34DD" w:rsidRPr="00CF2BE6">
        <w:rPr>
          <w:u w:val="single"/>
        </w:rPr>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3C3E7C" w:rsidRDefault="003C3E7C" w:rsidP="00746128"/>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r w:rsidR="00746128">
        <w:t>H.</w:t>
      </w:r>
    </w:p>
    <w:p w:rsidR="003B388E" w:rsidRDefault="003B388E" w:rsidP="003C3E7C">
      <w:pPr>
        <w:pStyle w:val="BlockText"/>
        <w:ind w:left="720"/>
      </w:pPr>
    </w:p>
    <w:p w:rsidR="003C3E7C" w:rsidRDefault="003B388E" w:rsidP="00041C50">
      <w:pPr>
        <w:pStyle w:val="BlockText"/>
        <w:numPr>
          <w:ilvl w:val="0"/>
          <w:numId w:val="45"/>
        </w:numPr>
        <w:ind w:left="1800"/>
      </w:pPr>
      <w:r>
        <w:t>The following Petition(s) for Declaratory Statement have been filed or disposed of (if any):</w:t>
      </w:r>
      <w:r w:rsidR="00200AF1">
        <w:t xml:space="preserve"> </w:t>
      </w:r>
      <w:r w:rsidR="000C5FBA">
        <w:t>None to report.</w:t>
      </w:r>
    </w:p>
    <w:p w:rsidR="000C5FBA" w:rsidRDefault="000C5FBA" w:rsidP="000C5FBA">
      <w:pPr>
        <w:pStyle w:val="BlockText"/>
        <w:ind w:left="1890"/>
      </w:pPr>
    </w:p>
    <w:p w:rsidR="0045633D" w:rsidRDefault="00CA5EE6" w:rsidP="00041C50">
      <w:pPr>
        <w:pStyle w:val="BlockText"/>
        <w:numPr>
          <w:ilvl w:val="0"/>
          <w:numId w:val="45"/>
        </w:numPr>
        <w:ind w:left="1800"/>
      </w:pPr>
      <w:r>
        <w:t>The following Petitions for Variance or Wavier have been received or disposed of</w:t>
      </w:r>
      <w:r w:rsidR="002630FF">
        <w:t xml:space="preserve"> (if any</w:t>
      </w:r>
      <w:r w:rsidR="00BC261C">
        <w:t xml:space="preserve">): </w:t>
      </w:r>
      <w:r w:rsidR="00430AB5">
        <w:t>Albert Frick/.BUSSE Florida, regarding Rule  64E-6.005, .012 and .013 requiring that onsite sewage systems be located at least five (5) feet from the building foundation</w:t>
      </w:r>
      <w:r w:rsidR="00CF2BE6">
        <w:t>, concrete construction and no bypass in an aerobic treatment unit, was granted to avoid a substantial hardship.</w:t>
      </w:r>
    </w:p>
    <w:p w:rsidR="0045633D" w:rsidRDefault="0045633D" w:rsidP="0045633D">
      <w:pPr>
        <w:pStyle w:val="ListParagraph"/>
        <w:rPr>
          <w:b/>
        </w:rPr>
      </w:pPr>
    </w:p>
    <w:p w:rsidR="008F58B8" w:rsidRDefault="00746128" w:rsidP="00DE52F2">
      <w:pPr>
        <w:pStyle w:val="BlockText"/>
      </w:pPr>
      <w:r w:rsidRPr="00746128">
        <w:rPr>
          <w:b/>
        </w:rPr>
        <w:t>D.</w:t>
      </w:r>
      <w:r>
        <w:t xml:space="preserve"> </w:t>
      </w:r>
      <w:r w:rsidR="00C428D0">
        <w:t xml:space="preserve"> </w:t>
      </w:r>
      <w:r w:rsidR="00DE52F2">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74409F" w:rsidRDefault="00DE52F2" w:rsidP="0074409F">
      <w:pPr>
        <w:pStyle w:val="BlockText"/>
        <w:ind w:left="720"/>
      </w:pPr>
      <w:r w:rsidRPr="00041C50">
        <w:rPr>
          <w:b/>
        </w:rPr>
        <w:t xml:space="preserve">1. </w:t>
      </w:r>
      <w:r w:rsidR="003B59EA" w:rsidRPr="00041C50">
        <w:rPr>
          <w:b/>
        </w:rPr>
        <w:t xml:space="preserve"> </w:t>
      </w:r>
      <w:r w:rsidR="00436BA2" w:rsidRPr="00CF2BE6">
        <w:rPr>
          <w:b/>
          <w:u w:val="single"/>
        </w:rPr>
        <w:t>Boiler Safety Act</w:t>
      </w:r>
      <w:r w:rsidR="00436BA2">
        <w:t xml:space="preserve"> - Chapter 554, F. S., and Chapter 69A-51, F.A.C.</w:t>
      </w:r>
      <w:r w:rsidR="0074409F">
        <w:t xml:space="preserve">: </w:t>
      </w:r>
    </w:p>
    <w:p w:rsidR="002630FF" w:rsidRDefault="002630FF" w:rsidP="0074409F">
      <w:pPr>
        <w:pStyle w:val="BlockText"/>
        <w:ind w:left="720"/>
      </w:pPr>
    </w:p>
    <w:p w:rsidR="002630FF" w:rsidRDefault="00CF2BE6" w:rsidP="00CF2BE6">
      <w:pPr>
        <w:pStyle w:val="BlockText"/>
        <w:ind w:left="1800" w:hanging="360"/>
      </w:pPr>
      <w:r w:rsidRPr="00EB7798">
        <w:rPr>
          <w:b/>
        </w:rPr>
        <w:t>A</w:t>
      </w:r>
      <w:r w:rsidR="0074409F" w:rsidRPr="00EB7798">
        <w:rPr>
          <w:b/>
        </w:rPr>
        <w:t>.</w:t>
      </w:r>
      <w:r w:rsidR="0074409F">
        <w:t xml:space="preserve"> </w:t>
      </w:r>
      <w:r w:rsidR="002630FF">
        <w:t xml:space="preserve">The following rules have been proposed for adoption or amendment (if any): </w:t>
      </w:r>
      <w:r w:rsidR="00746128">
        <w:t>Nothing new to report.</w:t>
      </w:r>
    </w:p>
    <w:p w:rsidR="002630FF" w:rsidRDefault="002630FF" w:rsidP="002630FF">
      <w:pPr>
        <w:pStyle w:val="BlockText"/>
        <w:ind w:left="1436"/>
      </w:pPr>
    </w:p>
    <w:p w:rsidR="002630FF" w:rsidRDefault="0074409F" w:rsidP="00CF2BE6">
      <w:pPr>
        <w:pStyle w:val="BlockText"/>
        <w:numPr>
          <w:ilvl w:val="0"/>
          <w:numId w:val="46"/>
        </w:numPr>
        <w:ind w:left="1800"/>
      </w:pPr>
      <w:r>
        <w:t>The agency has received the following petitions</w:t>
      </w:r>
      <w:r w:rsidR="002630FF">
        <w:t xml:space="preserve"> for Declaratory Statement or Variance/Waiver (if any):</w:t>
      </w:r>
      <w:r w:rsidR="000C5FBA">
        <w:t xml:space="preserve"> None to report</w:t>
      </w:r>
      <w:r w:rsidR="002630FF">
        <w:t>.</w:t>
      </w:r>
    </w:p>
    <w:p w:rsidR="008F58B8" w:rsidRDefault="008F58B8" w:rsidP="002630FF">
      <w:pPr>
        <w:pStyle w:val="BlockText"/>
        <w:ind w:left="1800"/>
      </w:pPr>
    </w:p>
    <w:p w:rsidR="00B7181B" w:rsidRDefault="003C2DE3" w:rsidP="00B7181B">
      <w:pPr>
        <w:pStyle w:val="BlockText"/>
        <w:numPr>
          <w:ilvl w:val="0"/>
          <w:numId w:val="15"/>
        </w:numPr>
      </w:pPr>
      <w:r w:rsidRPr="00B7181B">
        <w:rPr>
          <w:b/>
          <w:u w:val="single"/>
        </w:rPr>
        <w:t>Division of Workers’ Compensation</w:t>
      </w:r>
      <w:r w:rsidR="004E142A">
        <w:t xml:space="preserve"> – Chapter 440 and 6</w:t>
      </w:r>
      <w:r w:rsidR="00BD42D8">
        <w:t>9L FAC:</w:t>
      </w:r>
      <w:r w:rsidR="0032124B">
        <w:t xml:space="preserve"> The following rules have been proposed for adoption or amendment (if any):</w:t>
      </w:r>
      <w:r w:rsidR="009D3EF7">
        <w:t xml:space="preserve"> </w:t>
      </w:r>
    </w:p>
    <w:p w:rsidR="00EB7798" w:rsidRDefault="00EB7798" w:rsidP="00EB7798">
      <w:pPr>
        <w:pStyle w:val="BlockText"/>
        <w:ind w:left="1080"/>
      </w:pPr>
    </w:p>
    <w:p w:rsidR="0032124B" w:rsidRDefault="00B7181B" w:rsidP="00B7181B">
      <w:pPr>
        <w:pStyle w:val="BlockText"/>
        <w:numPr>
          <w:ilvl w:val="0"/>
          <w:numId w:val="47"/>
        </w:numPr>
      </w:pPr>
      <w:r>
        <w:rPr>
          <w:b/>
        </w:rPr>
        <w:t>Rules 69L-3.018-.0193,</w:t>
      </w:r>
      <w:r w:rsidR="00C976E2">
        <w:t xml:space="preserve"> regarding </w:t>
      </w:r>
      <w:r>
        <w:t xml:space="preserve">certain wage loss benefits, are being proposed for </w:t>
      </w:r>
      <w:r w:rsidRPr="00B7181B">
        <w:rPr>
          <w:u w:val="single"/>
        </w:rPr>
        <w:t>repeal</w:t>
      </w:r>
      <w:r>
        <w:t xml:space="preserve">. </w:t>
      </w:r>
    </w:p>
    <w:p w:rsidR="00B7181B" w:rsidRDefault="00B7181B" w:rsidP="00B7181B">
      <w:pPr>
        <w:pStyle w:val="BlockText"/>
        <w:ind w:left="1800"/>
      </w:pPr>
    </w:p>
    <w:p w:rsidR="00B7181B" w:rsidRDefault="00B7181B" w:rsidP="00B7181B">
      <w:pPr>
        <w:pStyle w:val="BlockText"/>
        <w:numPr>
          <w:ilvl w:val="0"/>
          <w:numId w:val="47"/>
        </w:numPr>
      </w:pPr>
      <w:r>
        <w:rPr>
          <w:b/>
        </w:rPr>
        <w:t>Rule 69L-6.025</w:t>
      </w:r>
      <w:r>
        <w:t>, regarding conditional releases of stop-work orders and periodic payment plans, is being amended.</w:t>
      </w:r>
    </w:p>
    <w:p w:rsidR="000C5FBA" w:rsidRDefault="000C5FBA" w:rsidP="00B7181B">
      <w:pPr>
        <w:pStyle w:val="BlockText"/>
      </w:pPr>
    </w:p>
    <w:p w:rsidR="00C428D0" w:rsidRDefault="00C428D0" w:rsidP="00C428D0">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74409F">
      <w:pPr>
        <w:pStyle w:val="BlockText"/>
      </w:pPr>
    </w:p>
    <w:p w:rsidR="00876A95" w:rsidRDefault="00041C50" w:rsidP="004706AB">
      <w:pPr>
        <w:pStyle w:val="BlockText"/>
        <w:numPr>
          <w:ilvl w:val="0"/>
          <w:numId w:val="47"/>
        </w:numPr>
        <w:ind w:left="720" w:hanging="720"/>
      </w:pPr>
      <w:r w:rsidRPr="00B7181B">
        <w:rPr>
          <w:b/>
          <w:u w:val="single"/>
        </w:rPr>
        <w:t xml:space="preserve">Office of </w:t>
      </w:r>
      <w:r w:rsidR="0001260C" w:rsidRPr="00B7181B">
        <w:rPr>
          <w:b/>
          <w:u w:val="single"/>
        </w:rPr>
        <w:t>State Fire Marshal</w:t>
      </w:r>
      <w:r w:rsidR="0001260C">
        <w:t xml:space="preserve"> - Chapter 633, Florida Statutes and Chapter 69A, F.C.A.: </w:t>
      </w:r>
    </w:p>
    <w:p w:rsidR="00876A95" w:rsidRDefault="00876A95" w:rsidP="00876A95">
      <w:pPr>
        <w:pStyle w:val="BlockText"/>
        <w:ind w:left="1080"/>
      </w:pPr>
    </w:p>
    <w:p w:rsidR="004706AB" w:rsidRDefault="004706AB" w:rsidP="004706AB">
      <w:pPr>
        <w:pStyle w:val="BlockText"/>
        <w:numPr>
          <w:ilvl w:val="4"/>
          <w:numId w:val="18"/>
        </w:numPr>
        <w:ind w:left="810" w:hanging="180"/>
      </w:pPr>
      <w:r>
        <w:t xml:space="preserve">  </w:t>
      </w:r>
      <w:r w:rsidR="000E282A">
        <w:t>The following rules are being proposed or amended</w:t>
      </w:r>
      <w:r w:rsidR="001D2330">
        <w:t xml:space="preserve"> (if any)</w:t>
      </w:r>
      <w:r w:rsidR="000E282A">
        <w:t>:</w:t>
      </w:r>
      <w:r w:rsidR="00DF2996">
        <w:t xml:space="preserve"> </w:t>
      </w:r>
    </w:p>
    <w:p w:rsidR="004706AB" w:rsidRDefault="004706AB" w:rsidP="004706AB">
      <w:pPr>
        <w:pStyle w:val="BlockText"/>
        <w:ind w:left="810"/>
      </w:pPr>
    </w:p>
    <w:p w:rsidR="006531D6" w:rsidRDefault="004706AB" w:rsidP="00172750">
      <w:pPr>
        <w:pStyle w:val="BlockText"/>
        <w:numPr>
          <w:ilvl w:val="0"/>
          <w:numId w:val="48"/>
        </w:numPr>
        <w:ind w:left="2340" w:hanging="450"/>
      </w:pPr>
      <w:r w:rsidRPr="00150F40">
        <w:rPr>
          <w:b/>
        </w:rPr>
        <w:t>Rule 69A-17.055</w:t>
      </w:r>
      <w:r w:rsidR="00FC4FC5">
        <w:t xml:space="preserve"> regarding </w:t>
      </w:r>
      <w:r>
        <w:t xml:space="preserve">curriculum requirements for training </w:t>
      </w:r>
      <w:r w:rsidR="00FC4FC5">
        <w:t xml:space="preserve">firefighter </w:t>
      </w:r>
      <w:r>
        <w:t>recruits and firefighters.</w:t>
      </w:r>
    </w:p>
    <w:p w:rsidR="00150F40" w:rsidRDefault="00150F40" w:rsidP="00150F40">
      <w:pPr>
        <w:pStyle w:val="BlockText"/>
        <w:ind w:left="2340"/>
      </w:pPr>
    </w:p>
    <w:p w:rsidR="004706AB" w:rsidRDefault="004706AB" w:rsidP="00172750">
      <w:pPr>
        <w:pStyle w:val="BlockText"/>
        <w:numPr>
          <w:ilvl w:val="0"/>
          <w:numId w:val="48"/>
        </w:numPr>
        <w:ind w:left="2340" w:hanging="450"/>
      </w:pPr>
      <w:r w:rsidRPr="00150F40">
        <w:rPr>
          <w:b/>
        </w:rPr>
        <w:t>Rule 69A-41.103 and .106</w:t>
      </w:r>
      <w:r>
        <w:t xml:space="preserve"> adopting the standards of the NFPA 101.</w:t>
      </w:r>
    </w:p>
    <w:p w:rsidR="00150F40" w:rsidRDefault="00150F40" w:rsidP="00150F40">
      <w:pPr>
        <w:pStyle w:val="BlockText"/>
      </w:pPr>
    </w:p>
    <w:p w:rsidR="004706AB" w:rsidRDefault="00150F40" w:rsidP="00172750">
      <w:pPr>
        <w:pStyle w:val="BlockText"/>
        <w:numPr>
          <w:ilvl w:val="0"/>
          <w:numId w:val="48"/>
        </w:numPr>
        <w:ind w:left="2340" w:hanging="450"/>
      </w:pPr>
      <w:r w:rsidRPr="00150F40">
        <w:rPr>
          <w:b/>
        </w:rPr>
        <w:t>Rule 69A-50.015</w:t>
      </w:r>
      <w:r>
        <w:t xml:space="preserve"> submission of product samples for testing.</w:t>
      </w:r>
    </w:p>
    <w:p w:rsidR="00150F40" w:rsidRDefault="00150F40" w:rsidP="00150F40">
      <w:pPr>
        <w:pStyle w:val="BlockText"/>
      </w:pPr>
    </w:p>
    <w:p w:rsidR="00150F40" w:rsidRDefault="00150F40" w:rsidP="00172750">
      <w:pPr>
        <w:pStyle w:val="BlockText"/>
        <w:numPr>
          <w:ilvl w:val="0"/>
          <w:numId w:val="48"/>
        </w:numPr>
        <w:ind w:left="2340" w:hanging="450"/>
      </w:pPr>
      <w:r w:rsidRPr="00150F40">
        <w:rPr>
          <w:b/>
        </w:rPr>
        <w:t>Rule 69A-54.006</w:t>
      </w:r>
      <w:r>
        <w:t xml:space="preserve"> updat</w:t>
      </w:r>
      <w:r w:rsidR="00EB7798">
        <w:t xml:space="preserve">ing </w:t>
      </w:r>
      <w:r>
        <w:t xml:space="preserve">NFPA requirements </w:t>
      </w:r>
      <w:r w:rsidR="00EB7798">
        <w:t xml:space="preserve">as </w:t>
      </w:r>
      <w:r>
        <w:t>to mattresses.</w:t>
      </w:r>
    </w:p>
    <w:p w:rsidR="00150F40" w:rsidRDefault="00150F40" w:rsidP="00150F40">
      <w:pPr>
        <w:pStyle w:val="BlockText"/>
      </w:pPr>
    </w:p>
    <w:p w:rsidR="00150F40" w:rsidRDefault="00150F40" w:rsidP="00172750">
      <w:pPr>
        <w:pStyle w:val="BlockText"/>
        <w:numPr>
          <w:ilvl w:val="0"/>
          <w:numId w:val="48"/>
        </w:numPr>
        <w:ind w:left="2340" w:hanging="450"/>
      </w:pPr>
      <w:r w:rsidRPr="00150F40">
        <w:rPr>
          <w:b/>
        </w:rPr>
        <w:t>Rule 69A-61.001</w:t>
      </w:r>
      <w:r w:rsidR="00EB7798">
        <w:t xml:space="preserve"> </w:t>
      </w:r>
      <w:r>
        <w:t>clarify</w:t>
      </w:r>
      <w:r w:rsidR="00EB7798">
        <w:t>ing</w:t>
      </w:r>
      <w:r>
        <w:t xml:space="preserve"> that initial fire investigations will also include explosions, as defined.</w:t>
      </w:r>
    </w:p>
    <w:p w:rsidR="00150F40" w:rsidRDefault="00150F40" w:rsidP="00150F40">
      <w:pPr>
        <w:pStyle w:val="BlockText"/>
      </w:pPr>
    </w:p>
    <w:p w:rsidR="005C76EE" w:rsidRDefault="000E282A" w:rsidP="004706AB">
      <w:pPr>
        <w:pStyle w:val="BlockText"/>
        <w:numPr>
          <w:ilvl w:val="4"/>
          <w:numId w:val="18"/>
        </w:numPr>
        <w:ind w:left="900" w:hanging="270"/>
      </w:pPr>
      <w:r>
        <w:t xml:space="preserve">The following petitions for Declaratory Statement </w:t>
      </w:r>
      <w:r w:rsidR="0017420F">
        <w:t xml:space="preserve">and petitions for Variance or Waiver </w:t>
      </w:r>
      <w:r>
        <w:t>have been received or disposed of:</w:t>
      </w:r>
      <w:r w:rsidR="0052318D">
        <w:t xml:space="preserve"> </w:t>
      </w:r>
      <w:r w:rsidR="004706AB">
        <w:t>None to report.</w:t>
      </w:r>
    </w:p>
    <w:p w:rsidR="00640C66" w:rsidRDefault="00640C66" w:rsidP="000C5FBA">
      <w:pPr>
        <w:pStyle w:val="BlockText"/>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w:t>
      </w:r>
      <w:r w:rsidR="000C5FBA">
        <w:t xml:space="preserve">all of </w:t>
      </w:r>
      <w:r>
        <w:t xml:space="preserve">them; however, if anyone is interested in the department’s interpretation of a particular code section, these statements can be found on the division website. </w:t>
      </w:r>
    </w:p>
    <w:p w:rsidR="00DD6729" w:rsidRDefault="00DD6729" w:rsidP="00997BD1">
      <w:pPr>
        <w:pStyle w:val="BlockText"/>
      </w:pPr>
    </w:p>
    <w:p w:rsidR="00C416D8" w:rsidRDefault="008476AE" w:rsidP="00997BD1">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w:t>
      </w:r>
      <w:r w:rsidR="00EE60EE">
        <w:t>) (</w:t>
      </w:r>
      <w:r w:rsidR="00757661">
        <w:t>b)</w:t>
      </w:r>
      <w:r w:rsidR="00997BD1">
        <w:t>, effective July 1, 2013,</w:t>
      </w:r>
      <w:r w:rsidR="00757661">
        <w:t xml:space="preserve"> EXMEPTS certain structures from application of the Florida Fire Prevention Code.</w:t>
      </w:r>
      <w:r w:rsidR="00997BD1" w:rsidRPr="00997BD1">
        <w:rPr>
          <w:b/>
        </w:rPr>
        <w:t xml:space="preserve"> </w:t>
      </w:r>
    </w:p>
    <w:p w:rsidR="004271D8" w:rsidRDefault="004271D8" w:rsidP="005C76EE">
      <w:pPr>
        <w:pStyle w:val="BlockText"/>
        <w:rPr>
          <w:b/>
          <w:u w:val="single"/>
        </w:rPr>
      </w:pPr>
    </w:p>
    <w:p w:rsidR="00A504D3" w:rsidRPr="00774784" w:rsidRDefault="00CF37B7" w:rsidP="00041C50">
      <w:pPr>
        <w:pStyle w:val="BlockText"/>
      </w:pPr>
      <w:r w:rsidRPr="00CD02EB">
        <w:rPr>
          <w:b/>
          <w:u w:val="single"/>
        </w:rPr>
        <w:t>Legislative Action:</w:t>
      </w:r>
      <w:r w:rsidR="00156092">
        <w:t xml:space="preserve"> </w:t>
      </w:r>
      <w:r w:rsidR="00CC4315">
        <w:t xml:space="preserve"> </w:t>
      </w:r>
      <w:r w:rsidR="00041C50">
        <w:t xml:space="preserve">Since adjournment of the </w:t>
      </w:r>
      <w:r w:rsidR="00431C88">
        <w:t>2015 Re</w:t>
      </w:r>
      <w:r w:rsidR="00BC261C">
        <w:t>gu</w:t>
      </w:r>
      <w:r w:rsidR="00CC4315">
        <w:t xml:space="preserve">lar Legislative Session, </w:t>
      </w:r>
      <w:r w:rsidR="00041C50">
        <w:t>a Special Session “A” was held to pass a state budget and bills related thereto, and a Sp</w:t>
      </w:r>
      <w:r w:rsidR="003B1697">
        <w:t>e</w:t>
      </w:r>
      <w:r w:rsidR="00041C50">
        <w:t xml:space="preserve">cial Session “B” </w:t>
      </w:r>
      <w:r w:rsidR="003B1697">
        <w:t>begins</w:t>
      </w:r>
      <w:r w:rsidR="00041C50">
        <w:t xml:space="preserve"> on Monday, August 10, 2015, to re-draw congressional districts that have been found unconstitutional by the Florida Supreme Court. </w:t>
      </w:r>
      <w:r w:rsidR="00A504D3">
        <w:t>To date, there are no pre-filed bills pending.</w:t>
      </w:r>
    </w:p>
    <w:p w:rsidR="00E435B7" w:rsidRPr="00E435B7" w:rsidRDefault="00E435B7" w:rsidP="00E435B7">
      <w:pPr>
        <w:jc w:val="center"/>
        <w:rPr>
          <w:rFonts w:cs="Times New Roman"/>
          <w:u w:val="single"/>
        </w:rPr>
      </w:pPr>
      <w:r w:rsidRPr="00E435B7">
        <w:rPr>
          <w:rFonts w:cs="Times New Roman"/>
          <w:u w:val="single"/>
        </w:rPr>
        <w:t>NOTE:</w:t>
      </w:r>
    </w:p>
    <w:p w:rsidR="00A504D3" w:rsidRPr="00E435B7" w:rsidRDefault="00E435B7" w:rsidP="00E435B7">
      <w:pPr>
        <w:jc w:val="both"/>
        <w:rPr>
          <w:rFonts w:cs="Times New Roman"/>
        </w:rPr>
      </w:pPr>
      <w:r w:rsidRPr="00E435B7">
        <w:rPr>
          <w:rFonts w:cs="Times New Roman"/>
        </w:rPr>
        <w:t>Once a bill has passed both chambers, it is “enrolled,” which means it is the final version that will be presented to the Governor, who then has only 15 days to veto, signing or allow the bill to become law without his signature. “Presentment” of a bill to the Governor requires a certification signed by both presiding officers that the bill has passed the respective chamber, but here is NO DEADLINE by which the bill must be so presented</w:t>
      </w:r>
      <w:r w:rsidR="00A504D3">
        <w:rPr>
          <w:rFonts w:cs="Times New Roman"/>
        </w:rPr>
        <w:t xml:space="preserve"> to the Governor.</w:t>
      </w:r>
    </w:p>
    <w:p w:rsidR="00BC261C" w:rsidRDefault="00BC261C" w:rsidP="002B78B0">
      <w:pPr>
        <w:pStyle w:val="BlockText"/>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466EB9" w:rsidRDefault="003B1697" w:rsidP="002B78B0">
      <w:pPr>
        <w:pStyle w:val="BlockText"/>
      </w:pPr>
      <w:r>
        <w:t>August 9</w:t>
      </w:r>
      <w:r w:rsidR="0029168D">
        <w:t>, 2</w:t>
      </w:r>
      <w:r w:rsidR="004271D8">
        <w:t>015</w:t>
      </w:r>
    </w:p>
    <w:sectPr w:rsidR="00466EB9"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509" w:rsidRDefault="00C51509" w:rsidP="009A2CBA">
      <w:r>
        <w:separator/>
      </w:r>
    </w:p>
  </w:endnote>
  <w:endnote w:type="continuationSeparator" w:id="0">
    <w:p w:rsidR="00C51509" w:rsidRDefault="00C51509"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EE7DAB">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EE7DAB">
      <w:rPr>
        <w:noProof/>
        <w:sz w:val="20"/>
      </w:rPr>
      <w:instrText>10</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509" w:rsidRDefault="00C51509" w:rsidP="009A2CBA">
      <w:r>
        <w:separator/>
      </w:r>
    </w:p>
  </w:footnote>
  <w:footnote w:type="continuationSeparator" w:id="0">
    <w:p w:rsidR="00C51509" w:rsidRDefault="00C51509" w:rsidP="009A2CBA">
      <w:r>
        <w:continuationSeparator/>
      </w:r>
    </w:p>
  </w:footnote>
  <w:footnote w:id="1">
    <w:p w:rsidR="00FF5097" w:rsidRDefault="00FF5097">
      <w:pPr>
        <w:pStyle w:val="FootnoteText"/>
      </w:pPr>
      <w:r>
        <w:rPr>
          <w:rStyle w:val="FootnoteReference"/>
        </w:rPr>
        <w:footnoteRef/>
      </w:r>
      <w:r>
        <w:t xml:space="preserve"> Not surprisingly, this rule is ripe for legal challenge if the board fails to define “habitability” and “new” in such a way as to encourage, rather than discourage, license applications</w:t>
      </w:r>
      <w:r w:rsidR="00F15DD6">
        <w:t xml:space="preserve">, and </w:t>
      </w:r>
      <w:r w:rsidR="00072343">
        <w:t xml:space="preserve">is </w:t>
      </w:r>
      <w:r w:rsidR="00F15DD6">
        <w:t>within its legislative authority</w:t>
      </w:r>
      <w:r>
        <w:t>.</w:t>
      </w:r>
    </w:p>
  </w:footnote>
  <w:footnote w:id="2">
    <w:p w:rsidR="00FF5097" w:rsidRDefault="00FF5097"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w:t>
      </w:r>
    </w:p>
    <w:p w:rsidR="00FF5097" w:rsidRDefault="00FF5097" w:rsidP="004E142A">
      <w:pPr>
        <w:pStyle w:val="FootnoteText"/>
      </w:pPr>
    </w:p>
  </w:footnote>
  <w:footnote w:id="3">
    <w:p w:rsidR="00EB7798" w:rsidRPr="00EB7798" w:rsidRDefault="00EB7798">
      <w:pPr>
        <w:pStyle w:val="FootnoteText"/>
        <w:rPr>
          <w:sz w:val="24"/>
          <w:szCs w:val="24"/>
        </w:rPr>
      </w:pPr>
      <w:r w:rsidRPr="00EB7798">
        <w:rPr>
          <w:rStyle w:val="FootnoteReference"/>
          <w:sz w:val="24"/>
          <w:szCs w:val="24"/>
        </w:rPr>
        <w:footnoteRef/>
      </w:r>
      <w:r w:rsidRPr="00EB7798">
        <w:rPr>
          <w:sz w:val="24"/>
          <w:szCs w:val="24"/>
        </w:rPr>
        <w:t xml:space="preserve"> The Commission is expected to rescind this emergency rule at it August meeting due to the delay of these code requirements by Senate Bill 2002, implementing the state’s 2015-2016 annual budget.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06C845F6"/>
    <w:multiLevelType w:val="hybridMultilevel"/>
    <w:tmpl w:val="0520DBCC"/>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492D1FC">
      <w:start w:val="1"/>
      <w:numFmt w:val="lowerRoman"/>
      <w:lvlText w:val="%3."/>
      <w:lvlJc w:val="right"/>
      <w:pPr>
        <w:ind w:left="3240" w:hanging="180"/>
      </w:pPr>
      <w:rPr>
        <w:rFonts w:ascii="Times New Roman" w:eastAsiaTheme="minorEastAsia" w:hAnsi="Times New Roman" w:cstheme="minorBid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1BF0B81"/>
    <w:multiLevelType w:val="hybridMultilevel"/>
    <w:tmpl w:val="5E22D09E"/>
    <w:lvl w:ilvl="0" w:tplc="04090019">
      <w:start w:val="2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1E0D0B"/>
    <w:multiLevelType w:val="hybridMultilevel"/>
    <w:tmpl w:val="F78C36D2"/>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62CE4"/>
    <w:multiLevelType w:val="hybridMultilevel"/>
    <w:tmpl w:val="DD9AE790"/>
    <w:lvl w:ilvl="0" w:tplc="2B7ED4C2">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50E0A57"/>
    <w:multiLevelType w:val="hybridMultilevel"/>
    <w:tmpl w:val="14CE6F6E"/>
    <w:lvl w:ilvl="0" w:tplc="454857CA">
      <w:start w:val="1"/>
      <w:numFmt w:val="decimal"/>
      <w:lvlText w:val="%1."/>
      <w:lvlJc w:val="left"/>
      <w:pPr>
        <w:ind w:left="1080" w:hanging="360"/>
      </w:pPr>
      <w:rPr>
        <w:rFonts w:hint="default"/>
        <w:b/>
      </w:rPr>
    </w:lvl>
    <w:lvl w:ilvl="1" w:tplc="89A62B52">
      <w:start w:val="1"/>
      <w:numFmt w:val="upperLetter"/>
      <w:lvlText w:val="%2."/>
      <w:lvlJc w:val="left"/>
      <w:pPr>
        <w:ind w:left="189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81DD0"/>
    <w:multiLevelType w:val="hybridMultilevel"/>
    <w:tmpl w:val="9896468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54562567"/>
    <w:multiLevelType w:val="hybridMultilevel"/>
    <w:tmpl w:val="5254EE84"/>
    <w:lvl w:ilvl="0" w:tplc="CF7EB4F0">
      <w:start w:val="1"/>
      <w:numFmt w:val="upperLetter"/>
      <w:lvlText w:val="%1."/>
      <w:lvlJc w:val="left"/>
      <w:pPr>
        <w:ind w:left="198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657EF"/>
    <w:multiLevelType w:val="hybridMultilevel"/>
    <w:tmpl w:val="9446A63A"/>
    <w:lvl w:ilvl="0" w:tplc="6832C474">
      <w:start w:val="1"/>
      <w:numFmt w:val="upperLetter"/>
      <w:lvlText w:val="%1."/>
      <w:lvlJc w:val="left"/>
      <w:pPr>
        <w:ind w:left="1800" w:hanging="360"/>
      </w:pPr>
      <w:rPr>
        <w:rFonts w:hint="default"/>
        <w:b/>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6"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0"/>
  </w:num>
  <w:num w:numId="4">
    <w:abstractNumId w:val="46"/>
  </w:num>
  <w:num w:numId="5">
    <w:abstractNumId w:val="34"/>
  </w:num>
  <w:num w:numId="6">
    <w:abstractNumId w:val="47"/>
  </w:num>
  <w:num w:numId="7">
    <w:abstractNumId w:val="12"/>
  </w:num>
  <w:num w:numId="8">
    <w:abstractNumId w:val="17"/>
  </w:num>
  <w:num w:numId="9">
    <w:abstractNumId w:val="3"/>
  </w:num>
  <w:num w:numId="10">
    <w:abstractNumId w:val="1"/>
  </w:num>
  <w:num w:numId="11">
    <w:abstractNumId w:val="24"/>
  </w:num>
  <w:num w:numId="12">
    <w:abstractNumId w:val="5"/>
  </w:num>
  <w:num w:numId="13">
    <w:abstractNumId w:val="28"/>
  </w:num>
  <w:num w:numId="14">
    <w:abstractNumId w:val="13"/>
  </w:num>
  <w:num w:numId="15">
    <w:abstractNumId w:val="21"/>
  </w:num>
  <w:num w:numId="16">
    <w:abstractNumId w:val="23"/>
  </w:num>
  <w:num w:numId="17">
    <w:abstractNumId w:val="45"/>
  </w:num>
  <w:num w:numId="18">
    <w:abstractNumId w:val="14"/>
  </w:num>
  <w:num w:numId="19">
    <w:abstractNumId w:val="30"/>
  </w:num>
  <w:num w:numId="20">
    <w:abstractNumId w:val="26"/>
  </w:num>
  <w:num w:numId="21">
    <w:abstractNumId w:val="6"/>
  </w:num>
  <w:num w:numId="22">
    <w:abstractNumId w:val="11"/>
  </w:num>
  <w:num w:numId="23">
    <w:abstractNumId w:val="33"/>
  </w:num>
  <w:num w:numId="24">
    <w:abstractNumId w:val="41"/>
  </w:num>
  <w:num w:numId="25">
    <w:abstractNumId w:val="8"/>
  </w:num>
  <w:num w:numId="26">
    <w:abstractNumId w:val="38"/>
  </w:num>
  <w:num w:numId="27">
    <w:abstractNumId w:val="31"/>
  </w:num>
  <w:num w:numId="28">
    <w:abstractNumId w:val="16"/>
  </w:num>
  <w:num w:numId="29">
    <w:abstractNumId w:val="39"/>
  </w:num>
  <w:num w:numId="30">
    <w:abstractNumId w:val="19"/>
  </w:num>
  <w:num w:numId="31">
    <w:abstractNumId w:val="44"/>
  </w:num>
  <w:num w:numId="32">
    <w:abstractNumId w:val="29"/>
  </w:num>
  <w:num w:numId="33">
    <w:abstractNumId w:val="15"/>
  </w:num>
  <w:num w:numId="34">
    <w:abstractNumId w:val="37"/>
  </w:num>
  <w:num w:numId="35">
    <w:abstractNumId w:val="42"/>
  </w:num>
  <w:num w:numId="36">
    <w:abstractNumId w:val="35"/>
  </w:num>
  <w:num w:numId="37">
    <w:abstractNumId w:val="10"/>
  </w:num>
  <w:num w:numId="38">
    <w:abstractNumId w:val="25"/>
  </w:num>
  <w:num w:numId="39">
    <w:abstractNumId w:val="7"/>
  </w:num>
  <w:num w:numId="40">
    <w:abstractNumId w:val="22"/>
  </w:num>
  <w:num w:numId="41">
    <w:abstractNumId w:val="20"/>
  </w:num>
  <w:num w:numId="42">
    <w:abstractNumId w:val="9"/>
  </w:num>
  <w:num w:numId="43">
    <w:abstractNumId w:val="18"/>
  </w:num>
  <w:num w:numId="44">
    <w:abstractNumId w:val="27"/>
  </w:num>
  <w:num w:numId="45">
    <w:abstractNumId w:val="32"/>
  </w:num>
  <w:num w:numId="46">
    <w:abstractNumId w:val="4"/>
  </w:num>
  <w:num w:numId="47">
    <w:abstractNumId w:val="36"/>
  </w:num>
  <w:num w:numId="48">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4361"/>
    <w:rsid w:val="00094EBD"/>
    <w:rsid w:val="000A3246"/>
    <w:rsid w:val="000A4BA4"/>
    <w:rsid w:val="000A66AC"/>
    <w:rsid w:val="000B0D3F"/>
    <w:rsid w:val="000B0E17"/>
    <w:rsid w:val="000B1DDB"/>
    <w:rsid w:val="000B1E71"/>
    <w:rsid w:val="000B2203"/>
    <w:rsid w:val="000B70C4"/>
    <w:rsid w:val="000B76DD"/>
    <w:rsid w:val="000B78F0"/>
    <w:rsid w:val="000C0376"/>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3919"/>
    <w:rsid w:val="001462FC"/>
    <w:rsid w:val="00146574"/>
    <w:rsid w:val="00146E4E"/>
    <w:rsid w:val="001476D7"/>
    <w:rsid w:val="00150F40"/>
    <w:rsid w:val="00151063"/>
    <w:rsid w:val="00151720"/>
    <w:rsid w:val="00151F43"/>
    <w:rsid w:val="00156092"/>
    <w:rsid w:val="001572A8"/>
    <w:rsid w:val="00162E5A"/>
    <w:rsid w:val="001649EE"/>
    <w:rsid w:val="00165F0B"/>
    <w:rsid w:val="001673C5"/>
    <w:rsid w:val="0017187B"/>
    <w:rsid w:val="00172C04"/>
    <w:rsid w:val="00173510"/>
    <w:rsid w:val="00173BB8"/>
    <w:rsid w:val="0017420F"/>
    <w:rsid w:val="00175923"/>
    <w:rsid w:val="001768AB"/>
    <w:rsid w:val="00176CCB"/>
    <w:rsid w:val="001776E6"/>
    <w:rsid w:val="00177AA7"/>
    <w:rsid w:val="00182EC5"/>
    <w:rsid w:val="00183D27"/>
    <w:rsid w:val="0019065B"/>
    <w:rsid w:val="00193DF7"/>
    <w:rsid w:val="001963BC"/>
    <w:rsid w:val="001A3667"/>
    <w:rsid w:val="001B0E80"/>
    <w:rsid w:val="001B11FD"/>
    <w:rsid w:val="001B4226"/>
    <w:rsid w:val="001B5A99"/>
    <w:rsid w:val="001B5DD4"/>
    <w:rsid w:val="001B6195"/>
    <w:rsid w:val="001B73F6"/>
    <w:rsid w:val="001C3A80"/>
    <w:rsid w:val="001D0121"/>
    <w:rsid w:val="001D1B70"/>
    <w:rsid w:val="001D2330"/>
    <w:rsid w:val="001D25D1"/>
    <w:rsid w:val="001D35CA"/>
    <w:rsid w:val="001D50A8"/>
    <w:rsid w:val="001E327E"/>
    <w:rsid w:val="001E3281"/>
    <w:rsid w:val="001F01B4"/>
    <w:rsid w:val="001F0D0C"/>
    <w:rsid w:val="001F18CD"/>
    <w:rsid w:val="001F7DB9"/>
    <w:rsid w:val="00200951"/>
    <w:rsid w:val="00200AF1"/>
    <w:rsid w:val="002031ED"/>
    <w:rsid w:val="002066F0"/>
    <w:rsid w:val="00210263"/>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58FB"/>
    <w:rsid w:val="00261795"/>
    <w:rsid w:val="00262A25"/>
    <w:rsid w:val="002630F7"/>
    <w:rsid w:val="002630FF"/>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7577"/>
    <w:rsid w:val="002A777F"/>
    <w:rsid w:val="002B09F1"/>
    <w:rsid w:val="002B0DFC"/>
    <w:rsid w:val="002B35C5"/>
    <w:rsid w:val="002B3E98"/>
    <w:rsid w:val="002B78B0"/>
    <w:rsid w:val="002C0513"/>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1DF4"/>
    <w:rsid w:val="00312FA2"/>
    <w:rsid w:val="003134D3"/>
    <w:rsid w:val="0031487D"/>
    <w:rsid w:val="003154E8"/>
    <w:rsid w:val="00317330"/>
    <w:rsid w:val="0032124B"/>
    <w:rsid w:val="00321E89"/>
    <w:rsid w:val="003239B0"/>
    <w:rsid w:val="0032443B"/>
    <w:rsid w:val="0032598E"/>
    <w:rsid w:val="00325FC1"/>
    <w:rsid w:val="003319A7"/>
    <w:rsid w:val="00332825"/>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52AB"/>
    <w:rsid w:val="003B59EA"/>
    <w:rsid w:val="003B5B30"/>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077C2"/>
    <w:rsid w:val="0041051F"/>
    <w:rsid w:val="00413E91"/>
    <w:rsid w:val="00414D9E"/>
    <w:rsid w:val="0041534C"/>
    <w:rsid w:val="00416C25"/>
    <w:rsid w:val="00416CC9"/>
    <w:rsid w:val="004200FB"/>
    <w:rsid w:val="004204AE"/>
    <w:rsid w:val="00421A4C"/>
    <w:rsid w:val="00425FE8"/>
    <w:rsid w:val="004271D8"/>
    <w:rsid w:val="00427E2F"/>
    <w:rsid w:val="00430AB5"/>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EB9"/>
    <w:rsid w:val="00467045"/>
    <w:rsid w:val="0047003F"/>
    <w:rsid w:val="004706AB"/>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4506"/>
    <w:rsid w:val="004C458B"/>
    <w:rsid w:val="004C5780"/>
    <w:rsid w:val="004C63D8"/>
    <w:rsid w:val="004C7846"/>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196A"/>
    <w:rsid w:val="005E4539"/>
    <w:rsid w:val="005E73B8"/>
    <w:rsid w:val="005F17D4"/>
    <w:rsid w:val="005F1FB3"/>
    <w:rsid w:val="005F2098"/>
    <w:rsid w:val="005F2E38"/>
    <w:rsid w:val="005F4A79"/>
    <w:rsid w:val="005F51C9"/>
    <w:rsid w:val="005F705E"/>
    <w:rsid w:val="005F770C"/>
    <w:rsid w:val="00600D46"/>
    <w:rsid w:val="00604806"/>
    <w:rsid w:val="0060730E"/>
    <w:rsid w:val="006077FF"/>
    <w:rsid w:val="00614279"/>
    <w:rsid w:val="00620CC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F73"/>
    <w:rsid w:val="0066317C"/>
    <w:rsid w:val="006639C7"/>
    <w:rsid w:val="00663A8E"/>
    <w:rsid w:val="00663C9D"/>
    <w:rsid w:val="0066697C"/>
    <w:rsid w:val="00667D54"/>
    <w:rsid w:val="00675E10"/>
    <w:rsid w:val="00681534"/>
    <w:rsid w:val="00685808"/>
    <w:rsid w:val="00691E1A"/>
    <w:rsid w:val="00695A6D"/>
    <w:rsid w:val="006960B4"/>
    <w:rsid w:val="00697F28"/>
    <w:rsid w:val="006A3547"/>
    <w:rsid w:val="006A3A6B"/>
    <w:rsid w:val="006A3B11"/>
    <w:rsid w:val="006A4458"/>
    <w:rsid w:val="006A50BC"/>
    <w:rsid w:val="006B0145"/>
    <w:rsid w:val="006B1D63"/>
    <w:rsid w:val="006B60DD"/>
    <w:rsid w:val="006C5A7D"/>
    <w:rsid w:val="006C704A"/>
    <w:rsid w:val="006D1C4E"/>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B1B79"/>
    <w:rsid w:val="007B2FC8"/>
    <w:rsid w:val="007B455D"/>
    <w:rsid w:val="007C06B0"/>
    <w:rsid w:val="007C3596"/>
    <w:rsid w:val="007C479E"/>
    <w:rsid w:val="007C534A"/>
    <w:rsid w:val="007C689D"/>
    <w:rsid w:val="007D12C5"/>
    <w:rsid w:val="007D14A8"/>
    <w:rsid w:val="007E128E"/>
    <w:rsid w:val="007E2299"/>
    <w:rsid w:val="007E2953"/>
    <w:rsid w:val="007E4176"/>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018F"/>
    <w:rsid w:val="008714D7"/>
    <w:rsid w:val="008750C1"/>
    <w:rsid w:val="00875906"/>
    <w:rsid w:val="00876A95"/>
    <w:rsid w:val="00883771"/>
    <w:rsid w:val="0088673E"/>
    <w:rsid w:val="00886D9E"/>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53D8"/>
    <w:rsid w:val="009B6571"/>
    <w:rsid w:val="009B7504"/>
    <w:rsid w:val="009C4A92"/>
    <w:rsid w:val="009C6254"/>
    <w:rsid w:val="009C6CE8"/>
    <w:rsid w:val="009C6F42"/>
    <w:rsid w:val="009D31D6"/>
    <w:rsid w:val="009D3EF7"/>
    <w:rsid w:val="009D4AA9"/>
    <w:rsid w:val="009D54A5"/>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04D3"/>
    <w:rsid w:val="00A52844"/>
    <w:rsid w:val="00A52BEC"/>
    <w:rsid w:val="00A57777"/>
    <w:rsid w:val="00A57E0F"/>
    <w:rsid w:val="00A65C42"/>
    <w:rsid w:val="00A67E6D"/>
    <w:rsid w:val="00A75304"/>
    <w:rsid w:val="00A82F6F"/>
    <w:rsid w:val="00A862A4"/>
    <w:rsid w:val="00A903BC"/>
    <w:rsid w:val="00A9229C"/>
    <w:rsid w:val="00A92BA2"/>
    <w:rsid w:val="00A9360E"/>
    <w:rsid w:val="00A973D9"/>
    <w:rsid w:val="00AA0190"/>
    <w:rsid w:val="00AA1C3B"/>
    <w:rsid w:val="00AA1DC4"/>
    <w:rsid w:val="00AA20DC"/>
    <w:rsid w:val="00AA2435"/>
    <w:rsid w:val="00AA29A7"/>
    <w:rsid w:val="00AA49B9"/>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448F"/>
    <w:rsid w:val="00AF4CC5"/>
    <w:rsid w:val="00B02CB3"/>
    <w:rsid w:val="00B04E9C"/>
    <w:rsid w:val="00B0622F"/>
    <w:rsid w:val="00B06511"/>
    <w:rsid w:val="00B06DF9"/>
    <w:rsid w:val="00B102F7"/>
    <w:rsid w:val="00B11BE8"/>
    <w:rsid w:val="00B1354A"/>
    <w:rsid w:val="00B14506"/>
    <w:rsid w:val="00B22750"/>
    <w:rsid w:val="00B228D4"/>
    <w:rsid w:val="00B231A5"/>
    <w:rsid w:val="00B26EF6"/>
    <w:rsid w:val="00B33726"/>
    <w:rsid w:val="00B34CB8"/>
    <w:rsid w:val="00B36726"/>
    <w:rsid w:val="00B36BD2"/>
    <w:rsid w:val="00B40CCF"/>
    <w:rsid w:val="00B40FA6"/>
    <w:rsid w:val="00B43413"/>
    <w:rsid w:val="00B442F3"/>
    <w:rsid w:val="00B5038B"/>
    <w:rsid w:val="00B51F07"/>
    <w:rsid w:val="00B52A30"/>
    <w:rsid w:val="00B55AA9"/>
    <w:rsid w:val="00B576FB"/>
    <w:rsid w:val="00B605B3"/>
    <w:rsid w:val="00B607ED"/>
    <w:rsid w:val="00B6409D"/>
    <w:rsid w:val="00B65A78"/>
    <w:rsid w:val="00B665B0"/>
    <w:rsid w:val="00B70EED"/>
    <w:rsid w:val="00B7181B"/>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CBC"/>
    <w:rsid w:val="00BA363C"/>
    <w:rsid w:val="00BA5910"/>
    <w:rsid w:val="00BA7E0B"/>
    <w:rsid w:val="00BB3CE8"/>
    <w:rsid w:val="00BB43FD"/>
    <w:rsid w:val="00BB6D12"/>
    <w:rsid w:val="00BB7583"/>
    <w:rsid w:val="00BC261C"/>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5A97"/>
    <w:rsid w:val="00C16757"/>
    <w:rsid w:val="00C17A11"/>
    <w:rsid w:val="00C20A49"/>
    <w:rsid w:val="00C22965"/>
    <w:rsid w:val="00C22BDC"/>
    <w:rsid w:val="00C25BD9"/>
    <w:rsid w:val="00C30DBA"/>
    <w:rsid w:val="00C41104"/>
    <w:rsid w:val="00C41134"/>
    <w:rsid w:val="00C416D8"/>
    <w:rsid w:val="00C428D0"/>
    <w:rsid w:val="00C42CAD"/>
    <w:rsid w:val="00C4400E"/>
    <w:rsid w:val="00C44575"/>
    <w:rsid w:val="00C45435"/>
    <w:rsid w:val="00C46B9E"/>
    <w:rsid w:val="00C51509"/>
    <w:rsid w:val="00C5163E"/>
    <w:rsid w:val="00C527C3"/>
    <w:rsid w:val="00C552DE"/>
    <w:rsid w:val="00C55BAE"/>
    <w:rsid w:val="00C609C2"/>
    <w:rsid w:val="00C60ABB"/>
    <w:rsid w:val="00C613B0"/>
    <w:rsid w:val="00C666BD"/>
    <w:rsid w:val="00C71560"/>
    <w:rsid w:val="00C80E12"/>
    <w:rsid w:val="00C80F74"/>
    <w:rsid w:val="00C84E54"/>
    <w:rsid w:val="00C8621F"/>
    <w:rsid w:val="00C906E0"/>
    <w:rsid w:val="00C959A0"/>
    <w:rsid w:val="00C976E2"/>
    <w:rsid w:val="00C97707"/>
    <w:rsid w:val="00CA1872"/>
    <w:rsid w:val="00CA1D5A"/>
    <w:rsid w:val="00CA349E"/>
    <w:rsid w:val="00CA5910"/>
    <w:rsid w:val="00CA5EE6"/>
    <w:rsid w:val="00CA6A88"/>
    <w:rsid w:val="00CB0D76"/>
    <w:rsid w:val="00CB169A"/>
    <w:rsid w:val="00CB18D5"/>
    <w:rsid w:val="00CB393B"/>
    <w:rsid w:val="00CC08D4"/>
    <w:rsid w:val="00CC1B0F"/>
    <w:rsid w:val="00CC4315"/>
    <w:rsid w:val="00CC601F"/>
    <w:rsid w:val="00CD02EB"/>
    <w:rsid w:val="00CD6E9F"/>
    <w:rsid w:val="00CF0F17"/>
    <w:rsid w:val="00CF2384"/>
    <w:rsid w:val="00CF2A48"/>
    <w:rsid w:val="00CF2BE6"/>
    <w:rsid w:val="00CF2DBD"/>
    <w:rsid w:val="00CF37B7"/>
    <w:rsid w:val="00CF3D80"/>
    <w:rsid w:val="00CF569B"/>
    <w:rsid w:val="00CF7C33"/>
    <w:rsid w:val="00D0142A"/>
    <w:rsid w:val="00D025A9"/>
    <w:rsid w:val="00D03141"/>
    <w:rsid w:val="00D11596"/>
    <w:rsid w:val="00D15049"/>
    <w:rsid w:val="00D17EF8"/>
    <w:rsid w:val="00D22A20"/>
    <w:rsid w:val="00D255AC"/>
    <w:rsid w:val="00D318BB"/>
    <w:rsid w:val="00D31E05"/>
    <w:rsid w:val="00D35E4B"/>
    <w:rsid w:val="00D4023D"/>
    <w:rsid w:val="00D40DAB"/>
    <w:rsid w:val="00D42313"/>
    <w:rsid w:val="00D43858"/>
    <w:rsid w:val="00D45220"/>
    <w:rsid w:val="00D45FC8"/>
    <w:rsid w:val="00D500C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D18B8"/>
    <w:rsid w:val="00DD1B53"/>
    <w:rsid w:val="00DD2D4F"/>
    <w:rsid w:val="00DD3ECB"/>
    <w:rsid w:val="00DD4201"/>
    <w:rsid w:val="00DD46B2"/>
    <w:rsid w:val="00DD5289"/>
    <w:rsid w:val="00DD5BF9"/>
    <w:rsid w:val="00DD6729"/>
    <w:rsid w:val="00DD760C"/>
    <w:rsid w:val="00DE0FB7"/>
    <w:rsid w:val="00DE3DD6"/>
    <w:rsid w:val="00DE4100"/>
    <w:rsid w:val="00DE517B"/>
    <w:rsid w:val="00DE52F2"/>
    <w:rsid w:val="00DE5A5D"/>
    <w:rsid w:val="00DE67A8"/>
    <w:rsid w:val="00DF072F"/>
    <w:rsid w:val="00DF0B84"/>
    <w:rsid w:val="00DF1ACD"/>
    <w:rsid w:val="00DF255F"/>
    <w:rsid w:val="00DF2996"/>
    <w:rsid w:val="00DF4C21"/>
    <w:rsid w:val="00E028F5"/>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2413"/>
    <w:rsid w:val="00E64091"/>
    <w:rsid w:val="00E66237"/>
    <w:rsid w:val="00E66470"/>
    <w:rsid w:val="00E67C64"/>
    <w:rsid w:val="00E71BDF"/>
    <w:rsid w:val="00E81A71"/>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539A"/>
    <w:rsid w:val="00EC6DFA"/>
    <w:rsid w:val="00ED39C3"/>
    <w:rsid w:val="00ED66FE"/>
    <w:rsid w:val="00ED68AB"/>
    <w:rsid w:val="00EE3D44"/>
    <w:rsid w:val="00EE41E2"/>
    <w:rsid w:val="00EE60EE"/>
    <w:rsid w:val="00EE7DAB"/>
    <w:rsid w:val="00EF1906"/>
    <w:rsid w:val="00EF1953"/>
    <w:rsid w:val="00EF2347"/>
    <w:rsid w:val="00EF2D9E"/>
    <w:rsid w:val="00EF30B1"/>
    <w:rsid w:val="00EF3BC8"/>
    <w:rsid w:val="00EF7F7D"/>
    <w:rsid w:val="00F003DC"/>
    <w:rsid w:val="00F00476"/>
    <w:rsid w:val="00F012AB"/>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2831"/>
    <w:rsid w:val="00F53B73"/>
    <w:rsid w:val="00F53D3E"/>
    <w:rsid w:val="00F56C3E"/>
    <w:rsid w:val="00F60C95"/>
    <w:rsid w:val="00F61714"/>
    <w:rsid w:val="00F6434D"/>
    <w:rsid w:val="00F7015E"/>
    <w:rsid w:val="00F7297C"/>
    <w:rsid w:val="00F73B56"/>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0A0E-7105-4643-9C66-D9143A8C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20166</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2015-08-10T13:11:00Z</dcterms:created>
  <dcterms:modified xsi:type="dcterms:W3CDTF">2015-08-10T13:11:00Z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