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4.0.0 -->
  <w:body>
    <w:p w:rsidR="002C4661" w:rsidRPr="00B82F44" w:rsidP="002C4661">
      <w:pPr>
        <w:pStyle w:val="BlockText"/>
        <w:jc w:val="center"/>
        <w:rPr>
          <w:b/>
          <w:sz w:val="28"/>
          <w:szCs w:val="28"/>
        </w:rPr>
      </w:pPr>
      <w:r w:rsidRPr="00B82F44">
        <w:rPr>
          <w:b/>
          <w:sz w:val="28"/>
          <w:szCs w:val="28"/>
        </w:rPr>
        <w:t>The Florida Bar: Real Property, Probate and Trust Law Section</w:t>
      </w:r>
    </w:p>
    <w:p w:rsidR="002C4661" w:rsidP="002C4661">
      <w:pPr>
        <w:pStyle w:val="BlockText"/>
        <w:jc w:val="center"/>
        <w:rPr>
          <w:b/>
          <w:sz w:val="28"/>
          <w:szCs w:val="28"/>
        </w:rPr>
      </w:pPr>
      <w:r w:rsidRPr="00B82F44">
        <w:rPr>
          <w:b/>
          <w:sz w:val="28"/>
          <w:szCs w:val="28"/>
        </w:rPr>
        <w:t>Construction Law Committee</w:t>
      </w:r>
    </w:p>
    <w:p w:rsidR="002C4661" w:rsidP="002C4661">
      <w:pPr>
        <w:pStyle w:val="BlockText"/>
        <w:jc w:val="center"/>
        <w:rPr>
          <w:b/>
          <w:sz w:val="28"/>
          <w:szCs w:val="28"/>
        </w:rPr>
      </w:pPr>
    </w:p>
    <w:p w:rsidR="00000245" w:rsidP="002C4661">
      <w:pPr>
        <w:pStyle w:val="BlockText"/>
        <w:jc w:val="center"/>
        <w:rPr>
          <w:rFonts w:cs="Times New Roman"/>
          <w:b/>
          <w:u w:val="single"/>
        </w:rPr>
      </w:pPr>
      <w:r>
        <w:rPr>
          <w:rFonts w:cs="Times New Roman"/>
          <w:b/>
          <w:u w:val="single"/>
        </w:rPr>
        <w:t>Small Business Sub</w:t>
      </w:r>
      <w:r w:rsidR="00A125A7">
        <w:rPr>
          <w:rFonts w:cs="Times New Roman"/>
          <w:b/>
          <w:u w:val="single"/>
        </w:rPr>
        <w:t>-</w:t>
      </w:r>
      <w:r>
        <w:rPr>
          <w:rFonts w:cs="Times New Roman"/>
          <w:b/>
          <w:u w:val="single"/>
        </w:rPr>
        <w:t>Committee</w:t>
      </w:r>
    </w:p>
    <w:p w:rsidR="002C4661" w:rsidP="003C45BB">
      <w:pPr>
        <w:pStyle w:val="BlockText"/>
        <w:jc w:val="center"/>
        <w:rPr>
          <w:rFonts w:cs="Times New Roman"/>
        </w:rPr>
      </w:pPr>
      <w:r>
        <w:rPr>
          <w:rFonts w:cs="Times New Roman"/>
        </w:rPr>
        <w:t>July 13,</w:t>
      </w:r>
      <w:r w:rsidR="000F4C05">
        <w:rPr>
          <w:rFonts w:cs="Times New Roman"/>
        </w:rPr>
        <w:t xml:space="preserve"> 2015</w:t>
      </w:r>
      <w:r w:rsidR="00A54F1E">
        <w:rPr>
          <w:rFonts w:cs="Times New Roman"/>
        </w:rPr>
        <w:t xml:space="preserve"> Report</w:t>
      </w:r>
    </w:p>
    <w:p w:rsidR="00A04360" w:rsidP="003C45BB">
      <w:pPr>
        <w:pStyle w:val="BlockText"/>
        <w:jc w:val="center"/>
        <w:rPr>
          <w:rFonts w:cs="Times New Roman"/>
        </w:rPr>
      </w:pPr>
      <w:r>
        <w:rPr>
          <w:rFonts w:cs="Times New Roman"/>
        </w:rPr>
        <w:t xml:space="preserve">Subcommittee Chair: </w:t>
      </w:r>
      <w:r>
        <w:rPr>
          <w:rFonts w:cs="Times New Roman"/>
        </w:rPr>
        <w:tab/>
      </w:r>
      <w:r>
        <w:rPr>
          <w:rFonts w:cs="Times New Roman"/>
        </w:rPr>
        <w:tab/>
        <w:t>Lisa Colon Heron</w:t>
      </w:r>
    </w:p>
    <w:p w:rsidR="00A04360" w:rsidP="00A04360">
      <w:pPr>
        <w:pStyle w:val="BlockText"/>
        <w:jc w:val="left"/>
        <w:rPr>
          <w:rFonts w:cs="Times New Roman"/>
        </w:rPr>
      </w:pPr>
      <w:r>
        <w:rPr>
          <w:rFonts w:cs="Times New Roman"/>
        </w:rPr>
        <w:tab/>
        <w:t xml:space="preserve">    </w:t>
      </w:r>
      <w:r>
        <w:rPr>
          <w:rFonts w:cs="Times New Roman"/>
        </w:rPr>
        <w:tab/>
      </w:r>
      <w:r>
        <w:rPr>
          <w:rFonts w:cs="Times New Roman"/>
        </w:rPr>
        <w:tab/>
      </w:r>
      <w:r>
        <w:rPr>
          <w:rFonts w:cs="Times New Roman"/>
        </w:rPr>
        <w:tab/>
      </w:r>
      <w:r>
        <w:rPr>
          <w:rFonts w:cs="Times New Roman"/>
        </w:rPr>
        <w:tab/>
      </w:r>
      <w:r>
        <w:rPr>
          <w:rFonts w:cs="Times New Roman"/>
        </w:rPr>
        <w:tab/>
        <w:t xml:space="preserve">  </w:t>
      </w:r>
      <w:r>
        <w:rPr>
          <w:rFonts w:cs="Times New Roman"/>
        </w:rPr>
        <w:tab/>
      </w:r>
      <w:r w:rsidR="0062221C">
        <w:rPr>
          <w:rFonts w:cs="Times New Roman"/>
        </w:rPr>
        <w:t xml:space="preserve">   </w:t>
      </w:r>
      <w:r>
        <w:rPr>
          <w:rFonts w:cs="Times New Roman"/>
        </w:rPr>
        <w:t>Smith Currie &amp; Hancock, LLP</w:t>
      </w:r>
    </w:p>
    <w:p w:rsidR="002C4661" w:rsidP="002C4661">
      <w:pPr>
        <w:pStyle w:val="BlockText"/>
        <w:rPr>
          <w:sz w:val="28"/>
          <w:szCs w:val="28"/>
        </w:rPr>
      </w:pPr>
    </w:p>
    <w:p w:rsidR="005720D6" w:rsidP="00A04360">
      <w:pPr>
        <w:pStyle w:val="BlockText"/>
        <w:ind w:firstLine="360"/>
        <w:rPr>
          <w:b/>
          <w:sz w:val="28"/>
          <w:szCs w:val="28"/>
          <w:u w:val="single"/>
        </w:rPr>
      </w:pPr>
    </w:p>
    <w:p w:rsidR="005E3B15" w:rsidRPr="00111BB6" w:rsidP="00D358EB">
      <w:pPr>
        <w:pStyle w:val="BlockText"/>
        <w:numPr>
          <w:ilvl w:val="0"/>
          <w:numId w:val="5"/>
        </w:numPr>
        <w:rPr>
          <w:b/>
          <w:i/>
          <w:sz w:val="28"/>
          <w:szCs w:val="28"/>
        </w:rPr>
      </w:pPr>
      <w:r w:rsidRPr="00111BB6">
        <w:rPr>
          <w:b/>
          <w:i/>
          <w:sz w:val="28"/>
          <w:szCs w:val="28"/>
        </w:rPr>
        <w:t>In Re: Size Appeal of GaN Corporation</w:t>
      </w:r>
    </w:p>
    <w:p w:rsidR="00D358EB" w:rsidP="00D358EB">
      <w:pPr>
        <w:pStyle w:val="BlockText"/>
        <w:ind w:left="1080"/>
        <w:rPr>
          <w:sz w:val="28"/>
          <w:szCs w:val="28"/>
        </w:rPr>
      </w:pPr>
      <w:r>
        <w:rPr>
          <w:sz w:val="28"/>
          <w:szCs w:val="28"/>
        </w:rPr>
        <w:t>(Decided May 20, 2015)</w:t>
      </w:r>
    </w:p>
    <w:p w:rsidR="00D358EB" w:rsidP="00D358EB">
      <w:pPr>
        <w:pStyle w:val="BlockText"/>
        <w:rPr>
          <w:sz w:val="28"/>
          <w:szCs w:val="28"/>
        </w:rPr>
      </w:pPr>
    </w:p>
    <w:p w:rsidR="00D358EB" w:rsidP="00D358EB">
      <w:pPr>
        <w:pStyle w:val="BlockText"/>
        <w:rPr>
          <w:sz w:val="28"/>
          <w:szCs w:val="28"/>
        </w:rPr>
      </w:pPr>
      <w:r>
        <w:rPr>
          <w:sz w:val="28"/>
          <w:szCs w:val="28"/>
        </w:rPr>
        <w:t>This is an appeal of an Area Office size determination finding that GaN Corporation is not a small business under the size standard associated with a task order. The Area Office determin</w:t>
      </w:r>
      <w:r w:rsidR="00FD3369">
        <w:rPr>
          <w:sz w:val="28"/>
          <w:szCs w:val="28"/>
        </w:rPr>
        <w:t>ed that GaN violated, 13 C.F.R. § 121.103(h)(4)</w:t>
      </w:r>
      <w:r w:rsidR="00EB20F7">
        <w:rPr>
          <w:sz w:val="28"/>
          <w:szCs w:val="28"/>
        </w:rPr>
        <w:t xml:space="preserve"> – the ostensible contractor rule</w:t>
      </w:r>
      <w:r w:rsidR="00FD3369">
        <w:rPr>
          <w:sz w:val="28"/>
          <w:szCs w:val="28"/>
        </w:rPr>
        <w:t xml:space="preserve">. The ostensible subcontractor rule provides that when a subcontractor is actually performing the primary and vital requirements of the contract, or the prime contractor is unusually reliant upon the subcontractor, the two firms are </w:t>
      </w:r>
      <w:r w:rsidR="00EB20F7">
        <w:rPr>
          <w:sz w:val="28"/>
          <w:szCs w:val="28"/>
        </w:rPr>
        <w:t>affiliated</w:t>
      </w:r>
      <w:r w:rsidR="00FD3369">
        <w:rPr>
          <w:sz w:val="28"/>
          <w:szCs w:val="28"/>
        </w:rPr>
        <w:t xml:space="preserve"> for the purposes of the procurement at issue. </w:t>
      </w:r>
    </w:p>
    <w:p w:rsidR="00EC2667" w:rsidP="00D358EB">
      <w:pPr>
        <w:pStyle w:val="BlockText"/>
        <w:rPr>
          <w:sz w:val="28"/>
          <w:szCs w:val="28"/>
        </w:rPr>
      </w:pPr>
    </w:p>
    <w:p w:rsidR="00EC2667" w:rsidP="00D358EB">
      <w:pPr>
        <w:pStyle w:val="BlockText"/>
        <w:rPr>
          <w:sz w:val="28"/>
          <w:szCs w:val="28"/>
        </w:rPr>
      </w:pPr>
      <w:r>
        <w:rPr>
          <w:sz w:val="28"/>
          <w:szCs w:val="28"/>
        </w:rPr>
        <w:t xml:space="preserve">This size appeal concerns an Army </w:t>
      </w:r>
      <w:r>
        <w:rPr>
          <w:sz w:val="28"/>
          <w:szCs w:val="28"/>
        </w:rPr>
        <w:t xml:space="preserve">RFP which invited offerors to submit proposals for task orders, one of which the contractor would provide engineering services for the Ballistic Missile Defense Evaluation Directorate. One of the task orders was a set aside for a small business. </w:t>
      </w:r>
      <w:r w:rsidR="0012072F">
        <w:rPr>
          <w:sz w:val="28"/>
          <w:szCs w:val="28"/>
        </w:rPr>
        <w:t>The RFP required the small business offeror to submit resumes for three key personnel – General Engineer V, Program/Systems Analyst III and Systems Engineer III</w:t>
      </w:r>
      <w:r w:rsidR="00097DEE">
        <w:rPr>
          <w:sz w:val="28"/>
          <w:szCs w:val="28"/>
        </w:rPr>
        <w:t xml:space="preserve"> (“Key Personnel”)</w:t>
      </w:r>
      <w:r w:rsidR="0012072F">
        <w:rPr>
          <w:sz w:val="28"/>
          <w:szCs w:val="28"/>
        </w:rPr>
        <w:t xml:space="preserve">. </w:t>
      </w:r>
    </w:p>
    <w:p w:rsidR="0012072F" w:rsidP="00D358EB">
      <w:pPr>
        <w:pStyle w:val="BlockText"/>
        <w:rPr>
          <w:sz w:val="28"/>
          <w:szCs w:val="28"/>
        </w:rPr>
      </w:pPr>
    </w:p>
    <w:p w:rsidR="0012072F" w:rsidP="00D358EB">
      <w:pPr>
        <w:pStyle w:val="BlockText"/>
        <w:rPr>
          <w:sz w:val="28"/>
          <w:szCs w:val="28"/>
        </w:rPr>
      </w:pPr>
      <w:r>
        <w:rPr>
          <w:sz w:val="28"/>
          <w:szCs w:val="28"/>
        </w:rPr>
        <w:t xml:space="preserve">GaN which described itself as an award winning small business with over 200 employees and offices in </w:t>
      </w:r>
      <w:r w:rsidR="00097DEE">
        <w:rPr>
          <w:sz w:val="28"/>
          <w:szCs w:val="28"/>
        </w:rPr>
        <w:t>6 states submitted a proposal where it would act as the prime contractor using one large business as a subcontractor. GaN proposed to use 17 of its own employees</w:t>
      </w:r>
      <w:r w:rsidR="00EB20F7">
        <w:rPr>
          <w:sz w:val="28"/>
          <w:szCs w:val="28"/>
        </w:rPr>
        <w:t>,</w:t>
      </w:r>
      <w:r w:rsidR="00097DEE">
        <w:rPr>
          <w:sz w:val="28"/>
          <w:szCs w:val="28"/>
        </w:rPr>
        <w:t xml:space="preserve"> but it would hire the large</w:t>
      </w:r>
      <w:r w:rsidR="00EB20F7">
        <w:rPr>
          <w:sz w:val="28"/>
          <w:szCs w:val="28"/>
        </w:rPr>
        <w:t xml:space="preserve"> business</w:t>
      </w:r>
      <w:r w:rsidR="00097DEE">
        <w:rPr>
          <w:sz w:val="28"/>
          <w:szCs w:val="28"/>
        </w:rPr>
        <w:t xml:space="preserve"> subcontractor’s personnel for the “Key Personnel”. </w:t>
      </w:r>
    </w:p>
    <w:p w:rsidR="00FD3369" w:rsidP="00D358EB">
      <w:pPr>
        <w:pStyle w:val="BlockText"/>
        <w:rPr>
          <w:sz w:val="28"/>
          <w:szCs w:val="28"/>
        </w:rPr>
      </w:pPr>
    </w:p>
    <w:p w:rsidR="00FD3369" w:rsidP="00D358EB">
      <w:pPr>
        <w:pStyle w:val="BlockText"/>
        <w:rPr>
          <w:sz w:val="28"/>
          <w:szCs w:val="28"/>
        </w:rPr>
      </w:pPr>
      <w:r>
        <w:rPr>
          <w:sz w:val="28"/>
          <w:szCs w:val="28"/>
        </w:rPr>
        <w:t>In this case the Area Office based its ruling on two sets of fact</w:t>
      </w:r>
      <w:r w:rsidR="00EB20F7">
        <w:rPr>
          <w:sz w:val="28"/>
          <w:szCs w:val="28"/>
        </w:rPr>
        <w:t>s</w:t>
      </w:r>
      <w:r>
        <w:rPr>
          <w:sz w:val="28"/>
          <w:szCs w:val="28"/>
        </w:rPr>
        <w:t>. First the Area Office found the value of the task order in question</w:t>
      </w:r>
      <w:r w:rsidR="00EC2667">
        <w:rPr>
          <w:sz w:val="28"/>
          <w:szCs w:val="28"/>
        </w:rPr>
        <w:t xml:space="preserve"> ($10 million)</w:t>
      </w:r>
      <w:r>
        <w:rPr>
          <w:sz w:val="28"/>
          <w:szCs w:val="28"/>
        </w:rPr>
        <w:t xml:space="preserve"> was approximately 5 times </w:t>
      </w:r>
      <w:r w:rsidR="00EC2667">
        <w:rPr>
          <w:sz w:val="28"/>
          <w:szCs w:val="28"/>
        </w:rPr>
        <w:t>larger</w:t>
      </w:r>
      <w:r>
        <w:rPr>
          <w:sz w:val="28"/>
          <w:szCs w:val="28"/>
        </w:rPr>
        <w:t xml:space="preserve"> </w:t>
      </w:r>
      <w:r w:rsidR="00EB20F7">
        <w:rPr>
          <w:sz w:val="28"/>
          <w:szCs w:val="28"/>
        </w:rPr>
        <w:t xml:space="preserve">than </w:t>
      </w:r>
      <w:r>
        <w:rPr>
          <w:sz w:val="28"/>
          <w:szCs w:val="28"/>
        </w:rPr>
        <w:t xml:space="preserve">the largest contract that GaN performed. The Area Office determined this </w:t>
      </w:r>
      <w:r w:rsidR="00EB20F7">
        <w:rPr>
          <w:sz w:val="28"/>
          <w:szCs w:val="28"/>
        </w:rPr>
        <w:t>by only</w:t>
      </w:r>
      <w:r>
        <w:rPr>
          <w:sz w:val="28"/>
          <w:szCs w:val="28"/>
        </w:rPr>
        <w:t xml:space="preserve"> reviewing information </w:t>
      </w:r>
      <w:r w:rsidR="00097DEE">
        <w:rPr>
          <w:sz w:val="28"/>
          <w:szCs w:val="28"/>
        </w:rPr>
        <w:t>from the</w:t>
      </w:r>
      <w:r>
        <w:rPr>
          <w:sz w:val="28"/>
          <w:szCs w:val="28"/>
        </w:rPr>
        <w:t xml:space="preserve"> Federal Procurement Data System.   GaN denied this finding. In support, GaN provided evidence</w:t>
      </w:r>
      <w:r w:rsidR="00EC2667">
        <w:rPr>
          <w:sz w:val="28"/>
          <w:szCs w:val="28"/>
        </w:rPr>
        <w:t xml:space="preserve"> that the subject task order is smaller than many of its existing contracts. </w:t>
      </w:r>
      <w:r w:rsidR="00EC2667">
        <w:rPr>
          <w:sz w:val="28"/>
          <w:szCs w:val="28"/>
        </w:rPr>
        <w:t xml:space="preserve">GaN provided data </w:t>
      </w:r>
      <w:r w:rsidR="00EB20F7">
        <w:rPr>
          <w:sz w:val="28"/>
          <w:szCs w:val="28"/>
        </w:rPr>
        <w:t>it performed</w:t>
      </w:r>
      <w:r w:rsidR="00EC2667">
        <w:rPr>
          <w:sz w:val="28"/>
          <w:szCs w:val="28"/>
        </w:rPr>
        <w:t xml:space="preserve"> as the prime contractor on </w:t>
      </w:r>
      <w:r w:rsidR="00EB20F7">
        <w:rPr>
          <w:sz w:val="28"/>
          <w:szCs w:val="28"/>
        </w:rPr>
        <w:t xml:space="preserve">at least </w:t>
      </w:r>
      <w:r w:rsidR="00EC2667">
        <w:rPr>
          <w:sz w:val="28"/>
          <w:szCs w:val="28"/>
        </w:rPr>
        <w:t xml:space="preserve">two $25 million </w:t>
      </w:r>
      <w:r w:rsidR="00EB20F7">
        <w:rPr>
          <w:sz w:val="28"/>
          <w:szCs w:val="28"/>
        </w:rPr>
        <w:t>contracts.</w:t>
      </w:r>
      <w:r w:rsidR="00EC2667">
        <w:rPr>
          <w:sz w:val="28"/>
          <w:szCs w:val="28"/>
        </w:rPr>
        <w:t xml:space="preserve"> </w:t>
      </w:r>
    </w:p>
    <w:p w:rsidR="005E3B15" w:rsidP="005E3B15">
      <w:pPr>
        <w:pStyle w:val="BlockText"/>
        <w:rPr>
          <w:sz w:val="28"/>
          <w:szCs w:val="28"/>
        </w:rPr>
      </w:pPr>
    </w:p>
    <w:p w:rsidR="00EC2667" w:rsidP="005E3B15">
      <w:pPr>
        <w:pStyle w:val="BlockText"/>
        <w:rPr>
          <w:sz w:val="28"/>
          <w:szCs w:val="28"/>
        </w:rPr>
      </w:pPr>
      <w:r>
        <w:rPr>
          <w:sz w:val="28"/>
          <w:szCs w:val="28"/>
        </w:rPr>
        <w:t xml:space="preserve">Second, the Area Office determined that GaN’s </w:t>
      </w:r>
      <w:r w:rsidR="00EB20F7">
        <w:rPr>
          <w:sz w:val="28"/>
          <w:szCs w:val="28"/>
        </w:rPr>
        <w:t xml:space="preserve">proposed to manage the project by using </w:t>
      </w:r>
      <w:r w:rsidR="00097DEE">
        <w:rPr>
          <w:sz w:val="28"/>
          <w:szCs w:val="28"/>
        </w:rPr>
        <w:t>the large business subcontractor’s employees</w:t>
      </w:r>
      <w:r w:rsidR="00610FE1">
        <w:rPr>
          <w:sz w:val="28"/>
          <w:szCs w:val="28"/>
        </w:rPr>
        <w:t>.</w:t>
      </w:r>
      <w:r w:rsidR="00EB20F7">
        <w:rPr>
          <w:sz w:val="28"/>
          <w:szCs w:val="28"/>
        </w:rPr>
        <w:t xml:space="preserve"> The Area Office based this finding on the fact that GaN listed the large business subcontractor’s employees as the Key Personnel.</w:t>
      </w:r>
      <w:r w:rsidR="00610FE1">
        <w:rPr>
          <w:sz w:val="28"/>
          <w:szCs w:val="28"/>
        </w:rPr>
        <w:t xml:space="preserve"> Citing </w:t>
      </w:r>
      <w:r w:rsidRPr="00EB20F7" w:rsidR="00610FE1">
        <w:rPr>
          <w:i/>
          <w:sz w:val="28"/>
          <w:szCs w:val="28"/>
        </w:rPr>
        <w:t>Size Appeal of the Analysis Group</w:t>
      </w:r>
      <w:r w:rsidR="00610FE1">
        <w:rPr>
          <w:sz w:val="28"/>
          <w:szCs w:val="28"/>
        </w:rPr>
        <w:t xml:space="preserve"> SBA No. </w:t>
      </w:r>
      <w:r w:rsidR="00EB20F7">
        <w:rPr>
          <w:sz w:val="28"/>
          <w:szCs w:val="28"/>
        </w:rPr>
        <w:t xml:space="preserve">SIZ-4814(2006) the Area office stated that “where the prime contractor’s proposal shows the preponderance of key personnel are subcontractor’s employees this constitutes an indicia of affiliation because the prime is relying upon the qualifications of the subcontractor to perform the primary and vital requirements of the contract”.  </w:t>
      </w:r>
      <w:r w:rsidR="00610FE1">
        <w:rPr>
          <w:sz w:val="28"/>
          <w:szCs w:val="28"/>
        </w:rPr>
        <w:t>GaN responded that the Area Office erred in f</w:t>
      </w:r>
      <w:bookmarkStart w:id="0" w:name="_GoBack"/>
      <w:bookmarkEnd w:id="0"/>
      <w:r w:rsidR="00610FE1">
        <w:rPr>
          <w:sz w:val="28"/>
          <w:szCs w:val="28"/>
        </w:rPr>
        <w:t>inding that GaN’s proposal lists its key personnel from the large business subcontractor.  GaN explained that the proposal required that only three of the Key Personnel be listed, however the proposal made clear that GaN would be providing its own employees. Further</w:t>
      </w:r>
      <w:r w:rsidR="00EB20F7">
        <w:rPr>
          <w:sz w:val="28"/>
          <w:szCs w:val="28"/>
        </w:rPr>
        <w:t xml:space="preserve"> GaN pointed out that</w:t>
      </w:r>
      <w:r w:rsidR="00610FE1">
        <w:rPr>
          <w:sz w:val="28"/>
          <w:szCs w:val="28"/>
        </w:rPr>
        <w:t xml:space="preserve"> the Program Manager and Deputy Program Manager would be GaN’s employees.</w:t>
      </w:r>
    </w:p>
    <w:p w:rsidR="00610FE1" w:rsidP="005E3B15">
      <w:pPr>
        <w:pStyle w:val="BlockText"/>
        <w:rPr>
          <w:sz w:val="28"/>
          <w:szCs w:val="28"/>
        </w:rPr>
      </w:pPr>
    </w:p>
    <w:p w:rsidR="00610FE1" w:rsidP="005E3B15">
      <w:pPr>
        <w:pStyle w:val="BlockText"/>
        <w:rPr>
          <w:sz w:val="28"/>
          <w:szCs w:val="28"/>
        </w:rPr>
      </w:pPr>
      <w:r>
        <w:rPr>
          <w:sz w:val="28"/>
          <w:szCs w:val="28"/>
        </w:rPr>
        <w:t>The OHA remanded the case</w:t>
      </w:r>
      <w:r w:rsidR="00EB20F7">
        <w:rPr>
          <w:sz w:val="28"/>
          <w:szCs w:val="28"/>
        </w:rPr>
        <w:t xml:space="preserve"> holding that the Area Office findings did not suffice to show that GaN is unusually reliant on the large business subcontractor. </w:t>
      </w:r>
      <w:r>
        <w:rPr>
          <w:sz w:val="28"/>
          <w:szCs w:val="28"/>
        </w:rPr>
        <w:t xml:space="preserve">The OHA found that the appellate record was incomplete as it did not contain GaN’s final proposal. However, the OHA found that the Area Office findings were clearly wrong.  The OHA </w:t>
      </w:r>
      <w:r w:rsidR="004A76C7">
        <w:rPr>
          <w:sz w:val="28"/>
          <w:szCs w:val="28"/>
        </w:rPr>
        <w:t>stated</w:t>
      </w:r>
      <w:r>
        <w:rPr>
          <w:sz w:val="28"/>
          <w:szCs w:val="28"/>
        </w:rPr>
        <w:t xml:space="preserve"> that GaN provided credible evidence that it performed contract</w:t>
      </w:r>
      <w:r w:rsidR="004A76C7">
        <w:rPr>
          <w:sz w:val="28"/>
          <w:szCs w:val="28"/>
        </w:rPr>
        <w:t>s</w:t>
      </w:r>
      <w:r>
        <w:rPr>
          <w:sz w:val="28"/>
          <w:szCs w:val="28"/>
        </w:rPr>
        <w:t xml:space="preserve"> well in excess of the value of the </w:t>
      </w:r>
      <w:r w:rsidR="004A76C7">
        <w:rPr>
          <w:sz w:val="28"/>
          <w:szCs w:val="28"/>
        </w:rPr>
        <w:t>subject</w:t>
      </w:r>
      <w:r>
        <w:rPr>
          <w:sz w:val="28"/>
          <w:szCs w:val="28"/>
        </w:rPr>
        <w:t xml:space="preserve"> task order.  Further, the OHA found that the Area Office may have misunderstood the restrictions imposed on the offerors to only provide information regarding the Key Personnel. The OHA found that GaN does not appear reliant on the large </w:t>
      </w:r>
      <w:r w:rsidR="004A76C7">
        <w:rPr>
          <w:sz w:val="28"/>
          <w:szCs w:val="28"/>
        </w:rPr>
        <w:t xml:space="preserve">business </w:t>
      </w:r>
      <w:r>
        <w:rPr>
          <w:sz w:val="28"/>
          <w:szCs w:val="28"/>
        </w:rPr>
        <w:t xml:space="preserve">subcontractor to manager the task order as GaN proposed its own employees </w:t>
      </w:r>
      <w:r w:rsidR="004A76C7">
        <w:rPr>
          <w:sz w:val="28"/>
          <w:szCs w:val="28"/>
        </w:rPr>
        <w:t>for</w:t>
      </w:r>
      <w:r>
        <w:rPr>
          <w:sz w:val="28"/>
          <w:szCs w:val="28"/>
        </w:rPr>
        <w:t xml:space="preserve"> managerial positions. The OHA found that the Key Personnel would be subordinate to GaN’s Program and Deputy Program Managers. </w:t>
      </w:r>
    </w:p>
    <w:p w:rsidR="004A76C7" w:rsidP="005E3B15">
      <w:pPr>
        <w:pStyle w:val="BlockText"/>
        <w:rPr>
          <w:sz w:val="28"/>
          <w:szCs w:val="28"/>
        </w:rPr>
      </w:pPr>
    </w:p>
    <w:p w:rsidR="005D0FC9" w:rsidP="005D0FC9">
      <w:pPr>
        <w:pStyle w:val="BlockText"/>
        <w:rPr>
          <w:sz w:val="28"/>
          <w:szCs w:val="28"/>
        </w:rPr>
      </w:pPr>
    </w:p>
    <w:p w:rsidR="00111BB6" w:rsidP="00111BB6">
      <w:pPr>
        <w:pStyle w:val="BlockText"/>
        <w:numPr>
          <w:ilvl w:val="0"/>
          <w:numId w:val="5"/>
        </w:numPr>
        <w:jc w:val="left"/>
        <w:rPr>
          <w:sz w:val="28"/>
          <w:szCs w:val="28"/>
        </w:rPr>
      </w:pPr>
      <w:r w:rsidRPr="00111BB6">
        <w:rPr>
          <w:b/>
          <w:sz w:val="28"/>
          <w:szCs w:val="28"/>
        </w:rPr>
        <w:t>FAR CASE 2014-003 – Federal Acquisition Regulation: Small Business Subcontracting Improvements</w:t>
      </w:r>
      <w:r>
        <w:rPr>
          <w:sz w:val="28"/>
          <w:szCs w:val="28"/>
        </w:rPr>
        <w:t xml:space="preserve">. </w:t>
      </w:r>
      <w:r w:rsidRPr="00111BB6" w:rsidR="00652669">
        <w:rPr>
          <w:sz w:val="28"/>
          <w:szCs w:val="28"/>
        </w:rPr>
        <w:br/>
      </w:r>
    </w:p>
    <w:p w:rsidR="004A76C7" w:rsidRPr="00111BB6" w:rsidP="00111BB6">
      <w:pPr>
        <w:pStyle w:val="BlockText"/>
        <w:ind w:left="360"/>
        <w:jc w:val="left"/>
        <w:rPr>
          <w:sz w:val="28"/>
          <w:szCs w:val="28"/>
        </w:rPr>
      </w:pPr>
      <w:r w:rsidRPr="00111BB6">
        <w:rPr>
          <w:sz w:val="28"/>
          <w:szCs w:val="28"/>
        </w:rPr>
        <w:t xml:space="preserve">The </w:t>
      </w:r>
      <w:r w:rsidRPr="00111BB6">
        <w:rPr>
          <w:sz w:val="28"/>
          <w:szCs w:val="28"/>
        </w:rPr>
        <w:t>DoD, GSA and NASA are proposing to revise the FAR to implement re</w:t>
      </w:r>
      <w:r w:rsidRPr="00111BB6" w:rsidR="005D0FC9">
        <w:rPr>
          <w:sz w:val="28"/>
          <w:szCs w:val="28"/>
        </w:rPr>
        <w:t>gulatory changes made by the SBA. In July 2013</w:t>
      </w:r>
      <w:r w:rsidR="00F87AD0">
        <w:rPr>
          <w:sz w:val="28"/>
          <w:szCs w:val="28"/>
        </w:rPr>
        <w:t>,</w:t>
      </w:r>
      <w:r w:rsidRPr="00111BB6" w:rsidR="005D0FC9">
        <w:rPr>
          <w:sz w:val="28"/>
          <w:szCs w:val="28"/>
        </w:rPr>
        <w:t xml:space="preserve"> the SBA changed its subcontracting rules. These proposed changes intend to catch up with the SBA regulations. </w:t>
      </w:r>
    </w:p>
    <w:p w:rsidR="00652669" w:rsidP="00652669">
      <w:pPr>
        <w:pStyle w:val="BlockText"/>
        <w:ind w:left="1080"/>
        <w:rPr>
          <w:sz w:val="28"/>
          <w:szCs w:val="28"/>
        </w:rPr>
      </w:pPr>
    </w:p>
    <w:p w:rsidR="005D0FC9" w:rsidP="00111BB6">
      <w:pPr>
        <w:pStyle w:val="BlockText"/>
        <w:rPr>
          <w:sz w:val="28"/>
          <w:szCs w:val="28"/>
        </w:rPr>
      </w:pPr>
      <w:r>
        <w:rPr>
          <w:sz w:val="28"/>
          <w:szCs w:val="28"/>
        </w:rPr>
        <w:t xml:space="preserve">One of the more </w:t>
      </w:r>
      <w:r w:rsidR="00652669">
        <w:rPr>
          <w:sz w:val="28"/>
          <w:szCs w:val="28"/>
        </w:rPr>
        <w:t>controversial</w:t>
      </w:r>
      <w:r>
        <w:rPr>
          <w:sz w:val="28"/>
          <w:szCs w:val="28"/>
        </w:rPr>
        <w:t xml:space="preserve"> </w:t>
      </w:r>
      <w:r w:rsidR="00652669">
        <w:rPr>
          <w:sz w:val="28"/>
          <w:szCs w:val="28"/>
        </w:rPr>
        <w:t>requirements of</w:t>
      </w:r>
      <w:r>
        <w:rPr>
          <w:sz w:val="28"/>
          <w:szCs w:val="28"/>
        </w:rPr>
        <w:t xml:space="preserve"> the SBA changes is the requirement that prime </w:t>
      </w:r>
      <w:r w:rsidR="00652669">
        <w:rPr>
          <w:sz w:val="28"/>
          <w:szCs w:val="28"/>
        </w:rPr>
        <w:t>contractors assign</w:t>
      </w:r>
      <w:r>
        <w:rPr>
          <w:sz w:val="28"/>
          <w:szCs w:val="28"/>
        </w:rPr>
        <w:t xml:space="preserve"> a NAICS code and size standard to each subcontract.  Prime contractors have argued that this is too burdensome. </w:t>
      </w:r>
    </w:p>
    <w:p w:rsidR="00652669" w:rsidP="005D0FC9">
      <w:pPr>
        <w:pStyle w:val="BlockText"/>
        <w:ind w:left="1080"/>
        <w:rPr>
          <w:sz w:val="28"/>
          <w:szCs w:val="28"/>
        </w:rPr>
      </w:pPr>
    </w:p>
    <w:p w:rsidR="005D0FC9" w:rsidP="00111BB6">
      <w:pPr>
        <w:pStyle w:val="BlockText"/>
        <w:rPr>
          <w:sz w:val="28"/>
          <w:szCs w:val="28"/>
        </w:rPr>
      </w:pPr>
      <w:r>
        <w:rPr>
          <w:sz w:val="28"/>
          <w:szCs w:val="28"/>
        </w:rPr>
        <w:t xml:space="preserve">The proposed changes also seek to bring the FAR in line with the SBA regulations regarding penalties for failing to </w:t>
      </w:r>
      <w:r w:rsidR="00652669">
        <w:rPr>
          <w:sz w:val="28"/>
          <w:szCs w:val="28"/>
        </w:rPr>
        <w:t>comply in</w:t>
      </w:r>
      <w:r>
        <w:rPr>
          <w:sz w:val="28"/>
          <w:szCs w:val="28"/>
        </w:rPr>
        <w:t xml:space="preserve"> good faith with a subcontracting plan. The proposed rule would make failure to comply with a subcontracting plan a material breach of contract and may be considered in a past performance evaluation. </w:t>
      </w:r>
    </w:p>
    <w:p w:rsidR="005D0FC9" w:rsidP="005D0FC9">
      <w:pPr>
        <w:pStyle w:val="BlockText"/>
        <w:ind w:left="1080"/>
        <w:rPr>
          <w:sz w:val="28"/>
          <w:szCs w:val="28"/>
        </w:rPr>
      </w:pPr>
    </w:p>
    <w:p w:rsidR="005D0FC9" w:rsidP="00111BB6">
      <w:pPr>
        <w:pStyle w:val="BlockText"/>
        <w:rPr>
          <w:sz w:val="28"/>
          <w:szCs w:val="28"/>
        </w:rPr>
      </w:pPr>
      <w:r>
        <w:rPr>
          <w:sz w:val="28"/>
          <w:szCs w:val="28"/>
        </w:rPr>
        <w:t>The propose</w:t>
      </w:r>
      <w:r w:rsidR="00652669">
        <w:rPr>
          <w:sz w:val="28"/>
          <w:szCs w:val="28"/>
        </w:rPr>
        <w:t>d</w:t>
      </w:r>
      <w:r>
        <w:rPr>
          <w:sz w:val="28"/>
          <w:szCs w:val="28"/>
        </w:rPr>
        <w:t xml:space="preserve"> rule would also give contracting officers discretion to require a subcontracting plan when a prime contractor has a size status change</w:t>
      </w:r>
      <w:r w:rsidR="00652669">
        <w:rPr>
          <w:sz w:val="28"/>
          <w:szCs w:val="28"/>
        </w:rPr>
        <w:t>.</w:t>
      </w:r>
    </w:p>
    <w:p w:rsidR="00652669" w:rsidP="005D0FC9">
      <w:pPr>
        <w:pStyle w:val="BlockText"/>
        <w:ind w:left="1080"/>
        <w:rPr>
          <w:sz w:val="28"/>
          <w:szCs w:val="28"/>
        </w:rPr>
      </w:pPr>
    </w:p>
    <w:p w:rsidR="00652669" w:rsidP="00111BB6">
      <w:pPr>
        <w:pStyle w:val="BlockText"/>
        <w:rPr>
          <w:sz w:val="28"/>
          <w:szCs w:val="28"/>
        </w:rPr>
      </w:pPr>
      <w:r>
        <w:rPr>
          <w:sz w:val="28"/>
          <w:szCs w:val="28"/>
        </w:rPr>
        <w:t xml:space="preserve">The FAR would now require the prime contractor to make a good faith effort to utilize subcontractors in contract performance to the same or greater extent as required in the proposal.  If the prime contractor does not utilize the subcontract as proposed then it has to submit a written explanation to the contracting officer within 30 days. </w:t>
      </w:r>
    </w:p>
    <w:p w:rsidR="00652669" w:rsidP="005D0FC9">
      <w:pPr>
        <w:pStyle w:val="BlockText"/>
        <w:ind w:left="1080"/>
        <w:rPr>
          <w:sz w:val="28"/>
          <w:szCs w:val="28"/>
        </w:rPr>
      </w:pPr>
    </w:p>
    <w:p w:rsidR="00652669" w:rsidP="00111BB6">
      <w:pPr>
        <w:pStyle w:val="BlockText"/>
        <w:rPr>
          <w:sz w:val="28"/>
          <w:szCs w:val="28"/>
        </w:rPr>
      </w:pPr>
      <w:r>
        <w:rPr>
          <w:sz w:val="28"/>
          <w:szCs w:val="28"/>
        </w:rPr>
        <w:t xml:space="preserve">Comments are due August 10, 2015. </w:t>
      </w:r>
    </w:p>
    <w:p w:rsidR="00652669" w:rsidRPr="005D0FC9" w:rsidP="005D0FC9">
      <w:pPr>
        <w:pStyle w:val="BlockText"/>
        <w:ind w:left="1080"/>
        <w:rPr>
          <w:sz w:val="28"/>
          <w:szCs w:val="28"/>
        </w:rPr>
      </w:pPr>
    </w:p>
    <w:p w:rsidR="0062221C" w:rsidP="0062221C">
      <w:pPr>
        <w:pStyle w:val="BlockText"/>
        <w:ind w:firstLine="360"/>
        <w:jc w:val="center"/>
        <w:rPr>
          <w:rFonts w:ascii="Arial Unicode MS" w:eastAsia="Arial Unicode MS" w:hAnsi="Arial Unicode MS" w:cs="Arial Unicode MS"/>
          <w:b/>
          <w:sz w:val="28"/>
          <w:szCs w:val="28"/>
        </w:rPr>
      </w:pPr>
      <w:r w:rsidRPr="0062221C">
        <w:rPr>
          <w:rFonts w:ascii="Arial Unicode MS" w:eastAsia="Arial Unicode MS" w:hAnsi="Arial Unicode MS" w:cs="Arial Unicode MS"/>
          <w:b/>
          <w:sz w:val="28"/>
          <w:szCs w:val="28"/>
        </w:rPr>
        <w:t xml:space="preserve">NEXT MEETING </w:t>
      </w:r>
    </w:p>
    <w:p w:rsidR="0062221C" w:rsidRPr="0062221C" w:rsidP="0062221C">
      <w:pPr>
        <w:pStyle w:val="BlockText"/>
        <w:ind w:firstLine="360"/>
        <w:jc w:val="center"/>
        <w:rPr>
          <w:rFonts w:ascii="Arial Unicode MS" w:eastAsia="Arial Unicode MS" w:hAnsi="Arial Unicode MS" w:cs="Arial Unicode MS"/>
          <w:b/>
          <w:sz w:val="28"/>
          <w:szCs w:val="28"/>
        </w:rPr>
      </w:pPr>
      <w:r>
        <w:rPr>
          <w:rFonts w:ascii="Arial Unicode MS" w:eastAsia="Arial Unicode MS" w:hAnsi="Arial Unicode MS" w:cs="Arial Unicode MS"/>
          <w:b/>
          <w:sz w:val="28"/>
          <w:szCs w:val="28"/>
        </w:rPr>
        <w:t>JULY 29</w:t>
      </w:r>
      <w:r w:rsidR="000F4C05">
        <w:rPr>
          <w:rFonts w:ascii="Arial Unicode MS" w:eastAsia="Arial Unicode MS" w:hAnsi="Arial Unicode MS" w:cs="Arial Unicode MS"/>
          <w:b/>
          <w:sz w:val="28"/>
          <w:szCs w:val="28"/>
        </w:rPr>
        <w:t>, 2015</w:t>
      </w:r>
      <w:r w:rsidRPr="0062221C">
        <w:rPr>
          <w:rFonts w:ascii="Arial Unicode MS" w:eastAsia="Arial Unicode MS" w:hAnsi="Arial Unicode MS" w:cs="Arial Unicode MS"/>
          <w:b/>
          <w:sz w:val="28"/>
          <w:szCs w:val="28"/>
        </w:rPr>
        <w:t xml:space="preserve">  </w:t>
      </w:r>
      <w:r>
        <w:rPr>
          <w:rFonts w:ascii="Arial Unicode MS" w:eastAsia="Arial Unicode MS" w:hAnsi="Arial Unicode MS" w:cs="Arial Unicode MS"/>
          <w:b/>
          <w:sz w:val="28"/>
          <w:szCs w:val="28"/>
        </w:rPr>
        <w:t>@</w:t>
      </w:r>
      <w:r w:rsidRPr="0062221C">
        <w:rPr>
          <w:rFonts w:ascii="Arial Unicode MS" w:eastAsia="Arial Unicode MS" w:hAnsi="Arial Unicode MS" w:cs="Arial Unicode MS"/>
          <w:b/>
          <w:sz w:val="28"/>
          <w:szCs w:val="28"/>
        </w:rPr>
        <w:t xml:space="preserve"> 12 PM EST.</w:t>
      </w:r>
    </w:p>
    <w:p w:rsidR="0062221C" w:rsidRPr="0062221C" w:rsidP="0062221C">
      <w:pPr>
        <w:ind w:firstLine="360"/>
        <w:jc w:val="center"/>
        <w:rPr>
          <w:rFonts w:ascii="Arial Unicode MS" w:eastAsia="Arial Unicode MS" w:hAnsi="Arial Unicode MS" w:cs="Arial Unicode MS"/>
          <w:b/>
          <w:bCs/>
        </w:rPr>
      </w:pPr>
      <w:r w:rsidRPr="0062221C">
        <w:rPr>
          <w:rFonts w:ascii="Arial Unicode MS" w:eastAsia="Arial Unicode MS" w:hAnsi="Arial Unicode MS" w:cs="Arial Unicode MS"/>
          <w:b/>
          <w:bCs/>
        </w:rPr>
        <w:t>Call-in number and password: 888-376-5050 / Pin 7542148521.</w:t>
      </w:r>
    </w:p>
    <w:p w:rsidR="0062221C" w:rsidRPr="0062221C" w:rsidP="0062221C">
      <w:pPr>
        <w:pStyle w:val="BlockText"/>
        <w:ind w:firstLine="360"/>
        <w:jc w:val="center"/>
        <w:rPr>
          <w:rFonts w:ascii="Arial Unicode MS" w:eastAsia="Arial Unicode MS" w:hAnsi="Arial Unicode MS" w:cs="Arial Unicode MS"/>
          <w:b/>
          <w:sz w:val="28"/>
          <w:szCs w:val="28"/>
        </w:rPr>
      </w:pPr>
    </w:p>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2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066456873"/>
      <w:docPartObj>
        <w:docPartGallery w:val="Page Numbers (Bottom of Page)"/>
        <w:docPartUnique/>
      </w:docPartObj>
    </w:sdtPr>
    <w:sdtContent>
      <w:sdt>
        <w:sdtPr>
          <w:rPr>
            <w:rFonts w:ascii="Times New Roman" w:hAnsi="Times New Roman" w:cs="Times New Roman"/>
            <w:sz w:val="24"/>
            <w:szCs w:val="24"/>
          </w:rPr>
          <w:id w:val="860082579"/>
          <w:docPartObj>
            <w:docPartGallery w:val="Page Numbers (Top of Page)"/>
            <w:docPartUnique/>
          </w:docPartObj>
        </w:sdtPr>
        <w:sdtContent>
          <w:p w:rsidR="003439C1" w:rsidRPr="003439C1">
            <w:pPr>
              <w:pStyle w:val="Footer"/>
              <w:jc w:val="right"/>
              <w:rPr>
                <w:rFonts w:ascii="Times New Roman" w:hAnsi="Times New Roman" w:cs="Times New Roman"/>
                <w:sz w:val="24"/>
                <w:szCs w:val="24"/>
              </w:rPr>
            </w:pPr>
            <w:r w:rsidRPr="003439C1">
              <w:rPr>
                <w:rFonts w:ascii="Times New Roman" w:hAnsi="Times New Roman" w:cs="Times New Roman"/>
                <w:sz w:val="24"/>
                <w:szCs w:val="24"/>
              </w:rPr>
              <w:t xml:space="preserve">Page </w:t>
            </w:r>
            <w:r w:rsidRPr="003439C1">
              <w:rPr>
                <w:rFonts w:ascii="Times New Roman" w:hAnsi="Times New Roman" w:cs="Times New Roman"/>
                <w:b/>
                <w:bCs/>
                <w:sz w:val="24"/>
                <w:szCs w:val="24"/>
              </w:rPr>
              <w:fldChar w:fldCharType="begin"/>
            </w:r>
            <w:r w:rsidRPr="003439C1">
              <w:rPr>
                <w:rFonts w:ascii="Times New Roman" w:hAnsi="Times New Roman" w:cs="Times New Roman"/>
                <w:b/>
                <w:bCs/>
                <w:sz w:val="24"/>
                <w:szCs w:val="24"/>
              </w:rPr>
              <w:instrText xml:space="preserve"> PAGE </w:instrText>
            </w:r>
            <w:r w:rsidRPr="003439C1">
              <w:rPr>
                <w:rFonts w:ascii="Times New Roman" w:hAnsi="Times New Roman" w:cs="Times New Roman"/>
                <w:b/>
                <w:bCs/>
                <w:sz w:val="24"/>
                <w:szCs w:val="24"/>
              </w:rPr>
              <w:fldChar w:fldCharType="separate"/>
            </w:r>
            <w:r w:rsidR="00680108">
              <w:rPr>
                <w:rFonts w:ascii="Times New Roman" w:hAnsi="Times New Roman" w:cs="Times New Roman"/>
                <w:b/>
                <w:bCs/>
                <w:noProof/>
                <w:sz w:val="24"/>
                <w:szCs w:val="24"/>
              </w:rPr>
              <w:t>3</w:t>
            </w:r>
            <w:r w:rsidRPr="003439C1">
              <w:rPr>
                <w:rFonts w:ascii="Times New Roman" w:hAnsi="Times New Roman" w:cs="Times New Roman"/>
                <w:b/>
                <w:bCs/>
                <w:sz w:val="24"/>
                <w:szCs w:val="24"/>
              </w:rPr>
              <w:fldChar w:fldCharType="end"/>
            </w:r>
            <w:r w:rsidRPr="003439C1">
              <w:rPr>
                <w:rFonts w:ascii="Times New Roman" w:hAnsi="Times New Roman" w:cs="Times New Roman"/>
                <w:sz w:val="24"/>
                <w:szCs w:val="24"/>
              </w:rPr>
              <w:t xml:space="preserve"> of </w:t>
            </w:r>
            <w:r w:rsidRPr="003439C1">
              <w:rPr>
                <w:rFonts w:ascii="Times New Roman" w:hAnsi="Times New Roman" w:cs="Times New Roman"/>
                <w:b/>
                <w:bCs/>
                <w:sz w:val="24"/>
                <w:szCs w:val="24"/>
              </w:rPr>
              <w:fldChar w:fldCharType="begin"/>
            </w:r>
            <w:r w:rsidRPr="003439C1">
              <w:rPr>
                <w:rFonts w:ascii="Times New Roman" w:hAnsi="Times New Roman" w:cs="Times New Roman"/>
                <w:b/>
                <w:bCs/>
                <w:sz w:val="24"/>
                <w:szCs w:val="24"/>
              </w:rPr>
              <w:instrText xml:space="preserve"> NUMPAGES  </w:instrText>
            </w:r>
            <w:r w:rsidRPr="003439C1">
              <w:rPr>
                <w:rFonts w:ascii="Times New Roman" w:hAnsi="Times New Roman" w:cs="Times New Roman"/>
                <w:b/>
                <w:bCs/>
                <w:sz w:val="24"/>
                <w:szCs w:val="24"/>
              </w:rPr>
              <w:fldChar w:fldCharType="separate"/>
            </w:r>
            <w:r w:rsidR="00680108">
              <w:rPr>
                <w:rFonts w:ascii="Times New Roman" w:hAnsi="Times New Roman" w:cs="Times New Roman"/>
                <w:b/>
                <w:bCs/>
                <w:noProof/>
                <w:sz w:val="24"/>
                <w:szCs w:val="24"/>
              </w:rPr>
              <w:t>3</w:t>
            </w:r>
            <w:r w:rsidRPr="003439C1">
              <w:rPr>
                <w:rFonts w:ascii="Times New Roman" w:hAnsi="Times New Roman" w:cs="Times New Roman"/>
                <w:b/>
                <w:bCs/>
                <w:sz w:val="24"/>
                <w:szCs w:val="24"/>
              </w:rPr>
              <w:fldChar w:fldCharType="end"/>
            </w:r>
          </w:p>
        </w:sdtContent>
      </w:sdt>
    </w:sdtContent>
  </w:sdt>
  <w:p w:rsidR="003439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266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26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26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26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1E1FD9"/>
    <w:multiLevelType w:val="hybridMultilevel"/>
    <w:tmpl w:val="0360CAB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B025AED"/>
    <w:multiLevelType w:val="hybridMultilevel"/>
    <w:tmpl w:val="41E8BDD4"/>
    <w:lvl w:ilvl="0">
      <w:start w:val="0"/>
      <w:numFmt w:val="bullet"/>
      <w:lvlText w:val="-"/>
      <w:lvlJc w:val="left"/>
      <w:pPr>
        <w:ind w:left="720" w:hanging="360"/>
      </w:pPr>
      <w:rPr>
        <w:rFonts w:ascii="Times New Roman" w:hAnsi="Times New Roman" w:eastAsiaTheme="minorEastAsia" w:cs="Times New Roman" w:hint="default"/>
        <w:b/>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3EA544C"/>
    <w:multiLevelType w:val="hybridMultilevel"/>
    <w:tmpl w:val="E9FE4DD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A3F527E"/>
    <w:multiLevelType w:val="hybridMultilevel"/>
    <w:tmpl w:val="200A94D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407B7FF6"/>
    <w:multiLevelType w:val="hybridMultilevel"/>
    <w:tmpl w:val="9E98B3B6"/>
    <w:lvl w:ilvl="0">
      <w:start w:val="1"/>
      <w:numFmt w:val="upperRoman"/>
      <w:lvlText w:val="%1."/>
      <w:lvlJc w:val="left"/>
      <w:pPr>
        <w:ind w:left="1080" w:hanging="72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21A196D"/>
    <w:multiLevelType w:val="hybridMultilevel"/>
    <w:tmpl w:val="ED0C914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qFormat/>
    <w:rsid w:val="002C4661"/>
    <w:pPr>
      <w:jc w:val="both"/>
    </w:pPr>
    <w:rPr>
      <w:rFonts w:ascii="Times New Roman" w:hAnsi="Times New Roman" w:eastAsiaTheme="minorEastAsia"/>
      <w:iCs/>
      <w:sz w:val="24"/>
      <w:szCs w:val="24"/>
    </w:rPr>
  </w:style>
  <w:style w:type="paragraph" w:styleId="Header">
    <w:name w:val="header"/>
    <w:basedOn w:val="Normal"/>
    <w:link w:val="HeaderChar"/>
    <w:uiPriority w:val="99"/>
    <w:unhideWhenUsed/>
    <w:rsid w:val="003439C1"/>
    <w:pPr>
      <w:tabs>
        <w:tab w:val="center" w:pos="4680"/>
        <w:tab w:val="right" w:pos="9360"/>
      </w:tabs>
    </w:pPr>
  </w:style>
  <w:style w:type="character" w:customStyle="1" w:styleId="HeaderChar">
    <w:name w:val="Header Char"/>
    <w:basedOn w:val="DefaultParagraphFont"/>
    <w:link w:val="Header"/>
    <w:uiPriority w:val="99"/>
    <w:rsid w:val="003439C1"/>
  </w:style>
  <w:style w:type="paragraph" w:styleId="Footer">
    <w:name w:val="footer"/>
    <w:basedOn w:val="Normal"/>
    <w:link w:val="FooterChar"/>
    <w:uiPriority w:val="99"/>
    <w:unhideWhenUsed/>
    <w:rsid w:val="003439C1"/>
    <w:pPr>
      <w:tabs>
        <w:tab w:val="center" w:pos="4680"/>
        <w:tab w:val="right" w:pos="9360"/>
      </w:tabs>
    </w:pPr>
  </w:style>
  <w:style w:type="character" w:customStyle="1" w:styleId="FooterChar">
    <w:name w:val="Footer Char"/>
    <w:basedOn w:val="DefaultParagraphFont"/>
    <w:link w:val="Footer"/>
    <w:uiPriority w:val="99"/>
    <w:rsid w:val="003439C1"/>
  </w:style>
  <w:style w:type="paragraph" w:styleId="ListParagraph">
    <w:name w:val="List Paragraph"/>
    <w:basedOn w:val="Normal"/>
    <w:uiPriority w:val="34"/>
    <w:qFormat/>
    <w:rsid w:val="00EE3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903</Words>
  <Characters>4738</Characters>
  <Application>Microsoft Office Word</Application>
  <DocSecurity>0</DocSecurity>
  <Lines>103</Lines>
  <Paragraphs>24</Paragraphs>
  <ScaleCrop>false</ScaleCrop>
  <HeadingPairs>
    <vt:vector size="2" baseType="variant">
      <vt:variant>
        <vt:lpstr>Title</vt:lpstr>
      </vt:variant>
      <vt:variant>
        <vt:i4>1</vt:i4>
      </vt:variant>
    </vt:vector>
  </HeadingPairs>
  <TitlesOfParts>
    <vt:vector size="1" baseType="lpstr">
      <vt:lpstr>CLC-SMALL BUSINESS COMMITTEE  July 2015 REPORT (FL081911).DOCX</vt:lpstr>
    </vt:vector>
  </TitlesOfParts>
  <Company/>
  <LinksUpToDate>false</LinksUpToDate>
  <CharactersWithSpaces>5660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2015-07-13T15:27:21Z</dcterms:created>
  <dcterms:modified xsi:type="dcterms:W3CDTF">2015-07-13T15:27:21Z</dcterms:modified>
</cp:coreProperties>
</file>