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286B5F">
      <w:pPr>
        <w:pStyle w:val="BlockText"/>
        <w:jc w:val="center"/>
      </w:pPr>
      <w:r>
        <w:t>Month</w:t>
      </w:r>
      <w:r w:rsidR="005F2098">
        <w:t xml:space="preserve"> of June</w:t>
      </w:r>
      <w:r w:rsidR="00B607ED">
        <w:t xml:space="preserve"> 2015</w:t>
      </w:r>
    </w:p>
    <w:p w:rsidR="006F4CE9" w:rsidRDefault="006F4CE9" w:rsidP="00D9771C">
      <w:pPr>
        <w:pStyle w:val="BlockText"/>
        <w:rPr>
          <w:b/>
          <w:u w:val="single"/>
        </w:rPr>
      </w:pPr>
    </w:p>
    <w:p w:rsidR="00CC601F" w:rsidRDefault="00CC601F" w:rsidP="007D14A8">
      <w:pPr>
        <w:pStyle w:val="BlockText"/>
        <w:rPr>
          <w:b/>
          <w:u w:val="single"/>
        </w:rPr>
      </w:pPr>
    </w:p>
    <w:p w:rsidR="007F16BD" w:rsidRDefault="009F4440" w:rsidP="007D14A8">
      <w:pPr>
        <w:pStyle w:val="BlockText"/>
        <w:rPr>
          <w:b/>
          <w:u w:val="single"/>
        </w:rPr>
      </w:pPr>
      <w:r>
        <w:rPr>
          <w:b/>
          <w:u w:val="single"/>
        </w:rPr>
        <w:t xml:space="preserve">State </w:t>
      </w:r>
      <w:r w:rsidR="00DA30E3">
        <w:rPr>
          <w:b/>
          <w:u w:val="single"/>
        </w:rPr>
        <w:t xml:space="preserve">and Federal </w:t>
      </w:r>
      <w:r w:rsidR="00D9771C" w:rsidRPr="00D9771C">
        <w:rPr>
          <w:b/>
          <w:u w:val="single"/>
        </w:rPr>
        <w:t>Appellate Decisions:</w:t>
      </w:r>
    </w:p>
    <w:p w:rsidR="00C97707" w:rsidRDefault="00C97707" w:rsidP="007D14A8">
      <w:pPr>
        <w:pStyle w:val="BlockText"/>
        <w:rPr>
          <w:b/>
          <w:u w:val="single"/>
        </w:rPr>
      </w:pPr>
    </w:p>
    <w:p w:rsidR="00C97707" w:rsidRDefault="00C97707" w:rsidP="00C97707">
      <w:r>
        <w:rPr>
          <w:lang w:val="en-CA"/>
        </w:rPr>
        <w:fldChar w:fldCharType="begin"/>
      </w:r>
      <w:r>
        <w:rPr>
          <w:lang w:val="en-CA"/>
        </w:rPr>
        <w:instrText xml:space="preserve"> SEQ CHAPTER \h \r 1</w:instrText>
      </w:r>
      <w:r>
        <w:rPr>
          <w:lang w:val="en-CA"/>
        </w:rPr>
        <w:fldChar w:fldCharType="end"/>
      </w:r>
      <w:r>
        <w:rPr>
          <w:u w:val="single"/>
        </w:rPr>
        <w:t>Altman Contractors, Inc. v. Crum &amp; Forster Specialty Insurance Company</w:t>
      </w:r>
      <w:r>
        <w:t>, Opinion and Order dated June 4, 2015, United States District Court, Southern District of Florida, Case No. 13-80831-CIV-MARRA.</w:t>
      </w:r>
    </w:p>
    <w:p w:rsidR="00C97707" w:rsidRDefault="00C97707" w:rsidP="00C97707"/>
    <w:p w:rsidR="00C97707" w:rsidRDefault="00C97707" w:rsidP="00C97707">
      <w:r>
        <w:t xml:space="preserve">On cross motions for summary judgment, Judge Marra ruled as a matter of first impression that a chapter 558 notice of defects did </w:t>
      </w:r>
      <w:r w:rsidRPr="00A71EA0">
        <w:rPr>
          <w:b/>
          <w:i/>
          <w:u w:val="single"/>
        </w:rPr>
        <w:t>not</w:t>
      </w:r>
      <w:r>
        <w:t xml:space="preserve"> trigger a duty to defend under the language of the general liability policy issued by Crum &amp; Forster.  The court found no ambiguity in the policy language that read, “We will have the right and duty to defend the insured against any “suit” seeking those damages,” and that further defined “suit” to include a “civil proceeding.”</w:t>
      </w:r>
    </w:p>
    <w:p w:rsidR="00C97707" w:rsidRDefault="00C97707" w:rsidP="00C97707"/>
    <w:p w:rsidR="00C97707" w:rsidRDefault="00C97707" w:rsidP="00C97707">
      <w:r>
        <w:rPr>
          <w:u w:val="single"/>
        </w:rPr>
        <w:t>The Florida Bar re Advisory Opinion - Activities of Community Association Managers</w:t>
      </w:r>
      <w:r>
        <w:t>, 2015 WL 2236890 (Fla., May 14, 2015).</w:t>
      </w:r>
    </w:p>
    <w:p w:rsidR="00C97707" w:rsidRDefault="00C97707" w:rsidP="00C97707"/>
    <w:p w:rsidR="00C97707" w:rsidRDefault="00C97707" w:rsidP="00C97707">
      <w:r>
        <w:t>The Supreme Court of Florida approved a proposed advisory opinion that affirmed a previous determination that preparation of a claim of lien, notice of commencement, and lien waiver constitutes the practice of law and cannot be performed by a community association manager.</w:t>
      </w:r>
    </w:p>
    <w:p w:rsidR="00C97707" w:rsidRDefault="00C97707" w:rsidP="00C97707"/>
    <w:p w:rsidR="00C97707" w:rsidRDefault="00C97707" w:rsidP="00C97707">
      <w:r>
        <w:rPr>
          <w:u w:val="single"/>
        </w:rPr>
        <w:t>Taylor Morrison Services, Inc., v. Ecos</w:t>
      </w:r>
      <w:r>
        <w:t>, 2015 WL 3407929 (Fla. 1</w:t>
      </w:r>
      <w:r>
        <w:rPr>
          <w:vertAlign w:val="superscript"/>
        </w:rPr>
        <w:t>st</w:t>
      </w:r>
      <w:r>
        <w:t xml:space="preserve"> DCA, May 28, 2015).</w:t>
      </w:r>
    </w:p>
    <w:p w:rsidR="00C97707" w:rsidRDefault="00C97707" w:rsidP="00C97707"/>
    <w:p w:rsidR="00C97707" w:rsidRPr="00C97707" w:rsidRDefault="00C97707" w:rsidP="00C97707">
      <w:r>
        <w:t xml:space="preserve">The trial judge found that a corporate contractor was liable for treble damages and attorneys’ fees because it was effectively unlicensed.  The court made this decision based primarily on the contractor having pulled the permit using the name of a former qualifier who was no longer employed by the company and the lack of supervision by a subsequent qualifier.  The First District Court of Appeal reversed.  The District Court held that these events occurred after the contract’s effective date which is the relevant date of consideration under section 713.128(1), Fla. Stat.  The Department of Professional Regulation’s records listed a qualifier for the company on the effective date of the contract and that is all that was required to </w:t>
      </w:r>
      <w:r>
        <w:t>establish its licensure status.</w:t>
      </w:r>
    </w:p>
    <w:p w:rsidR="009230A5" w:rsidRPr="00B972A0" w:rsidRDefault="009230A5" w:rsidP="007D14A8">
      <w:pPr>
        <w:pStyle w:val="BlockText"/>
        <w:rPr>
          <w:b/>
          <w:u w:val="single"/>
        </w:rPr>
      </w:pPr>
    </w:p>
    <w:p w:rsidR="00437958" w:rsidRDefault="00EB61E2" w:rsidP="00D72E5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r w:rsidR="00633037">
        <w:t xml:space="preserve"> Nothing to report.</w:t>
      </w:r>
    </w:p>
    <w:p w:rsidR="004E60B2" w:rsidRPr="004E60B2" w:rsidRDefault="004E60B2" w:rsidP="00D72E5C">
      <w:pPr>
        <w:pStyle w:val="BlockText"/>
      </w:pPr>
    </w:p>
    <w:p w:rsidR="00B26EF6" w:rsidRPr="00B26EF6" w:rsidRDefault="00B26EF6" w:rsidP="00D72E5C">
      <w:pPr>
        <w:pStyle w:val="BlockText"/>
        <w:rPr>
          <w:b/>
          <w:u w:val="single"/>
        </w:rPr>
      </w:pPr>
      <w:r w:rsidRPr="00B26EF6">
        <w:rPr>
          <w:b/>
          <w:u w:val="single"/>
        </w:rPr>
        <w:t>AGENCY REGULATIONS:</w:t>
      </w:r>
    </w:p>
    <w:p w:rsidR="003747B5" w:rsidRDefault="00401A5C" w:rsidP="00217DA2">
      <w:pPr>
        <w:pStyle w:val="BlockText"/>
      </w:pPr>
      <w:r>
        <w:tab/>
      </w:r>
    </w:p>
    <w:p w:rsidR="004E142A" w:rsidRDefault="00DE52F2" w:rsidP="00DE52F2">
      <w:pPr>
        <w:pStyle w:val="BlockText"/>
      </w:pPr>
      <w:r w:rsidRPr="00B0622F">
        <w:rPr>
          <w:b/>
        </w:rPr>
        <w:t>A.</w:t>
      </w:r>
      <w:r>
        <w:t xml:space="preserve">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B36BD2" w:rsidRDefault="004E142A" w:rsidP="0008109E">
      <w:pPr>
        <w:pStyle w:val="BlockText"/>
        <w:numPr>
          <w:ilvl w:val="0"/>
          <w:numId w:val="11"/>
        </w:numPr>
        <w:rPr>
          <w:b/>
        </w:rPr>
      </w:pPr>
      <w:r w:rsidRPr="00936542">
        <w:rPr>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4A46B4" w:rsidRPr="004A46B4" w:rsidRDefault="00E1125C" w:rsidP="004A46B4">
      <w:pPr>
        <w:pStyle w:val="BlockText"/>
        <w:numPr>
          <w:ilvl w:val="0"/>
          <w:numId w:val="18"/>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p>
    <w:p w:rsidR="004A46B4" w:rsidRDefault="004A46B4" w:rsidP="004A46B4">
      <w:pPr>
        <w:pStyle w:val="BlockText"/>
        <w:ind w:left="1800"/>
      </w:pPr>
    </w:p>
    <w:p w:rsidR="00B972A0" w:rsidRDefault="00B972A0" w:rsidP="00B972A0">
      <w:pPr>
        <w:pStyle w:val="BlockText"/>
        <w:numPr>
          <w:ilvl w:val="2"/>
          <w:numId w:val="18"/>
        </w:numPr>
        <w:ind w:left="2160"/>
      </w:pPr>
      <w:r w:rsidRPr="00EF2347">
        <w:rPr>
          <w:b/>
        </w:rPr>
        <w:t>Rule 61G4-15.001(1)</w:t>
      </w:r>
      <w:r>
        <w:t xml:space="preserve"> proposed amendments being discussed to clarify that work experience must be on “habitable” and “new” structures and “ground up construct</w:t>
      </w:r>
      <w:r w:rsidR="00234D30">
        <w:t xml:space="preserve">ion” has been discussed four </w:t>
      </w:r>
      <w:r w:rsidR="00B86298">
        <w:t>time</w:t>
      </w:r>
      <w:r w:rsidR="00234D30">
        <w:t xml:space="preserve">s by </w:t>
      </w:r>
      <w:r w:rsidR="00B86298">
        <w:t>the board</w:t>
      </w:r>
      <w:r>
        <w:t>, but nothing has yet been approved for publication</w:t>
      </w:r>
      <w:r w:rsidR="00B06511">
        <w:rPr>
          <w:rStyle w:val="FootnoteReference"/>
        </w:rPr>
        <w:footnoteReference w:id="1"/>
      </w:r>
      <w:r>
        <w:t>. This proposal would also clarify the matrix of verifications that are no longer required.</w:t>
      </w:r>
    </w:p>
    <w:p w:rsidR="00234D30" w:rsidRDefault="00234D30" w:rsidP="00234D30">
      <w:pPr>
        <w:pStyle w:val="BlockText"/>
        <w:ind w:left="2160"/>
      </w:pPr>
    </w:p>
    <w:p w:rsidR="00234D30" w:rsidRDefault="00234D30" w:rsidP="00B972A0">
      <w:pPr>
        <w:pStyle w:val="BlockText"/>
        <w:numPr>
          <w:ilvl w:val="2"/>
          <w:numId w:val="18"/>
        </w:numPr>
        <w:ind w:left="2160"/>
      </w:pPr>
      <w:r>
        <w:rPr>
          <w:b/>
        </w:rPr>
        <w:t xml:space="preserve">Rules workshop </w:t>
      </w:r>
      <w:r>
        <w:t>will be held by the board, beginning in June or July, to consider a possible rule about the installation of pool heaters by AC licensees, which performed such work until the board’s Declaratory Statement in 2012 opining that only a pool contractor could do so.</w:t>
      </w:r>
    </w:p>
    <w:p w:rsidR="00F21C36" w:rsidRPr="001776E6" w:rsidRDefault="00F21C36" w:rsidP="00F21C36">
      <w:pPr>
        <w:pStyle w:val="BlockText"/>
        <w:tabs>
          <w:tab w:val="left" w:pos="1440"/>
          <w:tab w:val="left" w:pos="1980"/>
        </w:tabs>
        <w:rPr>
          <w:b/>
        </w:rPr>
      </w:pPr>
    </w:p>
    <w:p w:rsidR="00182EC5" w:rsidRPr="00EC6DFA" w:rsidRDefault="00193DF7" w:rsidP="00D40DAB">
      <w:pPr>
        <w:pStyle w:val="BlockText"/>
        <w:numPr>
          <w:ilvl w:val="0"/>
          <w:numId w:val="18"/>
        </w:numPr>
        <w:rPr>
          <w:b/>
        </w:rPr>
      </w:pPr>
      <w:r>
        <w:t xml:space="preserve">This board has disposed of </w:t>
      </w:r>
      <w:r w:rsidR="0032443B">
        <w:t>the following Petitions for Declaratory Statement (if any):</w:t>
      </w:r>
    </w:p>
    <w:p w:rsidR="00EC6DFA" w:rsidRPr="00182EC5" w:rsidRDefault="00EC6DFA" w:rsidP="00EC6DFA">
      <w:pPr>
        <w:pStyle w:val="BlockText"/>
        <w:ind w:left="1800"/>
        <w:rPr>
          <w:b/>
        </w:rPr>
      </w:pPr>
    </w:p>
    <w:p w:rsidR="00F15DD6" w:rsidRPr="00072343" w:rsidRDefault="00B86298" w:rsidP="002E27C8">
      <w:pPr>
        <w:pStyle w:val="BlockText"/>
        <w:numPr>
          <w:ilvl w:val="2"/>
          <w:numId w:val="18"/>
        </w:numPr>
        <w:ind w:left="2160"/>
        <w:rPr>
          <w:b/>
        </w:rPr>
      </w:pPr>
      <w:r w:rsidRPr="00072343">
        <w:rPr>
          <w:b/>
        </w:rPr>
        <w:t>Ramon A. Valeiro</w:t>
      </w:r>
      <w:r>
        <w:t xml:space="preserve"> – Petition filed on April 9</w:t>
      </w:r>
      <w:r w:rsidR="00182EC5">
        <w:t xml:space="preserve">, 2015, seeking a determination of the </w:t>
      </w:r>
      <w:r>
        <w:t xml:space="preserve">need for licensure to perform: management of </w:t>
      </w:r>
      <w:r w:rsidR="00F15DD6">
        <w:t>subcontractors</w:t>
      </w:r>
      <w:r>
        <w:t xml:space="preserve">; minimizing material costs; ensuring correct quality and </w:t>
      </w:r>
      <w:r w:rsidR="00072343">
        <w:t>quantity</w:t>
      </w:r>
      <w:r>
        <w:t xml:space="preserve"> of materials; materials planning requirements</w:t>
      </w:r>
      <w:r w:rsidR="00F15DD6">
        <w:t xml:space="preserve">; selecting suppliers; complying with project budget; and managing materials on site. </w:t>
      </w:r>
      <w:r w:rsidR="00193DF7">
        <w:t>At the board’s May meeting, the petitioner was found to not have standing, so the petition was denied.</w:t>
      </w:r>
    </w:p>
    <w:p w:rsidR="00072343" w:rsidRPr="00072343" w:rsidRDefault="00072343" w:rsidP="00072343">
      <w:pPr>
        <w:pStyle w:val="BlockText"/>
        <w:ind w:left="2160"/>
        <w:rPr>
          <w:b/>
        </w:rPr>
      </w:pPr>
    </w:p>
    <w:p w:rsidR="0032443B" w:rsidRDefault="00342825" w:rsidP="00EC6DFA">
      <w:pPr>
        <w:pStyle w:val="BlockText"/>
        <w:numPr>
          <w:ilvl w:val="2"/>
          <w:numId w:val="18"/>
        </w:numPr>
        <w:ind w:left="2160"/>
        <w:rPr>
          <w:b/>
        </w:rPr>
      </w:pPr>
      <w:r>
        <w:rPr>
          <w:b/>
        </w:rPr>
        <w:t>James M. Sapp/MESA</w:t>
      </w:r>
      <w:r>
        <w:t xml:space="preserve"> -</w:t>
      </w:r>
      <w:r>
        <w:rPr>
          <w:b/>
        </w:rPr>
        <w:t xml:space="preserve"> </w:t>
      </w:r>
      <w:r>
        <w:t xml:space="preserve">Petition filed April 10, 2015, seeking a determination of the type of license required to perform the excavation of pipelines and associated trenching activities, and whether </w:t>
      </w:r>
      <w:r w:rsidR="004C4506">
        <w:t>an</w:t>
      </w:r>
      <w:r>
        <w:t xml:space="preserve"> Underground Utility and Excavation contractor is limited to work on water, sewer and storm drain lines.</w:t>
      </w:r>
      <w:r>
        <w:rPr>
          <w:b/>
        </w:rPr>
        <w:t xml:space="preserve"> </w:t>
      </w:r>
      <w:r>
        <w:t>It appears from the petition that this company works on oil and gas pipelines.</w:t>
      </w:r>
      <w:r w:rsidR="00193DF7">
        <w:t xml:space="preserve"> At the board’s May meeting it was determined that the petition was unsigned, not otherwise in proper form, was vague, so it was denied.</w:t>
      </w:r>
    </w:p>
    <w:p w:rsidR="00342825" w:rsidRDefault="00342825" w:rsidP="00342825">
      <w:pPr>
        <w:pStyle w:val="ListParagraph"/>
        <w:rPr>
          <w:b/>
        </w:rPr>
      </w:pPr>
    </w:p>
    <w:p w:rsidR="00342825" w:rsidRPr="00342825" w:rsidRDefault="005510CD" w:rsidP="005510CD">
      <w:pPr>
        <w:pStyle w:val="BlockText"/>
        <w:numPr>
          <w:ilvl w:val="2"/>
          <w:numId w:val="18"/>
        </w:numPr>
        <w:tabs>
          <w:tab w:val="left" w:pos="1980"/>
        </w:tabs>
        <w:ind w:left="2160"/>
        <w:rPr>
          <w:b/>
        </w:rPr>
      </w:pPr>
      <w:r>
        <w:rPr>
          <w:b/>
        </w:rPr>
        <w:t xml:space="preserve"> </w:t>
      </w:r>
      <w:r w:rsidR="00342825">
        <w:rPr>
          <w:b/>
        </w:rPr>
        <w:t>Richard Santelli</w:t>
      </w:r>
      <w:r w:rsidR="00342825">
        <w:t xml:space="preserve"> – Petition filed on January 27, 2015, seeks a clarification of section 489.103(7), as to whether general site work, not related to the construction of a building, is included in the building cost under this statute.</w:t>
      </w:r>
      <w:r w:rsidR="00193DF7">
        <w:t xml:space="preserve"> At the board’s May meeting it was determined that the petition had no standing so the petition was denied.</w:t>
      </w:r>
    </w:p>
    <w:p w:rsidR="00F15DD6" w:rsidRPr="0032443B" w:rsidRDefault="00F15DD6" w:rsidP="00EC6DFA">
      <w:pPr>
        <w:pStyle w:val="BlockText"/>
        <w:rPr>
          <w:b/>
        </w:rPr>
      </w:pPr>
    </w:p>
    <w:p w:rsidR="00D40DAB" w:rsidRPr="002C0513" w:rsidRDefault="0032443B" w:rsidP="003F6A5C">
      <w:pPr>
        <w:pStyle w:val="BlockText"/>
        <w:numPr>
          <w:ilvl w:val="0"/>
          <w:numId w:val="18"/>
        </w:numPr>
        <w:rPr>
          <w:b/>
        </w:rPr>
      </w:pPr>
      <w:r>
        <w:t xml:space="preserve">The board has </w:t>
      </w:r>
      <w:r w:rsidR="00193DF7">
        <w:t>received</w:t>
      </w:r>
      <w:r w:rsidR="002558FB">
        <w:t xml:space="preserve"> of the following </w:t>
      </w:r>
      <w:r w:rsidR="009F7BC1">
        <w:t>Peti</w:t>
      </w:r>
      <w:r>
        <w:t>tions for Declaratory Statement (if any)</w:t>
      </w:r>
      <w:r w:rsidR="009F7BC1">
        <w:t>:</w:t>
      </w:r>
      <w:r w:rsidR="00193DF7">
        <w:t xml:space="preserve"> </w:t>
      </w:r>
    </w:p>
    <w:p w:rsidR="002C0513" w:rsidRPr="00530BF1" w:rsidRDefault="002C0513" w:rsidP="002C0513">
      <w:pPr>
        <w:pStyle w:val="BlockText"/>
        <w:numPr>
          <w:ilvl w:val="1"/>
          <w:numId w:val="18"/>
        </w:numPr>
        <w:rPr>
          <w:b/>
        </w:rPr>
      </w:pPr>
      <w:r w:rsidRPr="002C0513">
        <w:rPr>
          <w:b/>
        </w:rPr>
        <w:t>Jose Franco/Alliance Mechanical Solutions, LLC</w:t>
      </w:r>
      <w:r>
        <w:t xml:space="preserve">, filed on April 6, 2015, seeking a determination as to whether the installation of non-pressurized gas or fuel or fire or plumbing lines is within the scope of license for </w:t>
      </w:r>
      <w:r w:rsidR="004C4506" w:rsidRPr="002C0513">
        <w:rPr>
          <w:rFonts w:cs="Times New Roman"/>
        </w:rPr>
        <w:t>an</w:t>
      </w:r>
      <w:r w:rsidRPr="002C0513">
        <w:rPr>
          <w:rFonts w:cs="Times New Roman"/>
        </w:rPr>
        <w:t xml:space="preserve"> </w:t>
      </w:r>
      <w:r w:rsidRPr="002C0513">
        <w:rPr>
          <w:rFonts w:cs="Times New Roman"/>
        </w:rPr>
        <w:t>Industria</w:t>
      </w:r>
      <w:r w:rsidRPr="002C0513">
        <w:rPr>
          <w:rFonts w:cs="Times New Roman"/>
        </w:rPr>
        <w:t>l Facility Specialty Contractor.</w:t>
      </w:r>
    </w:p>
    <w:p w:rsidR="00530BF1" w:rsidRPr="002C0513" w:rsidRDefault="00530BF1" w:rsidP="00530BF1">
      <w:pPr>
        <w:pStyle w:val="BlockText"/>
        <w:ind w:left="2520"/>
        <w:rPr>
          <w:b/>
        </w:rPr>
      </w:pPr>
    </w:p>
    <w:p w:rsidR="00530BF1" w:rsidRPr="00C97707" w:rsidRDefault="002C0513" w:rsidP="00C97707">
      <w:pPr>
        <w:pStyle w:val="BlockText"/>
        <w:numPr>
          <w:ilvl w:val="1"/>
          <w:numId w:val="18"/>
        </w:numPr>
        <w:rPr>
          <w:b/>
        </w:rPr>
      </w:pPr>
      <w:r>
        <w:rPr>
          <w:b/>
        </w:rPr>
        <w:t xml:space="preserve">Jeffery M. Rodewald/JRC Construction, LLC, </w:t>
      </w:r>
      <w:r>
        <w:t xml:space="preserve">filed on May 18, 2015, seeking a determination of whether a certified residential contractor can remodel a kitchen in a 20-unit </w:t>
      </w:r>
      <w:r w:rsidR="00530BF1">
        <w:t xml:space="preserve">2-story </w:t>
      </w:r>
      <w:r>
        <w:t>residential condominium.</w:t>
      </w:r>
    </w:p>
    <w:p w:rsidR="00530BF1" w:rsidRPr="00173BB8" w:rsidRDefault="00530BF1" w:rsidP="002C0513">
      <w:pPr>
        <w:pStyle w:val="BlockText"/>
        <w:numPr>
          <w:ilvl w:val="1"/>
          <w:numId w:val="18"/>
        </w:numPr>
        <w:rPr>
          <w:b/>
        </w:rPr>
      </w:pPr>
      <w:r>
        <w:rPr>
          <w:b/>
        </w:rPr>
        <w:t xml:space="preserve">Robert J. Miller/Golden Construction Company, Inc. </w:t>
      </w:r>
      <w:r>
        <w:t>filed on April 9, 2015, seeking a determination of whether a certified general contractor can build concrete pools.</w:t>
      </w:r>
    </w:p>
    <w:p w:rsidR="00173BB8" w:rsidRDefault="00173BB8" w:rsidP="00173BB8">
      <w:pPr>
        <w:pStyle w:val="BlockText"/>
        <w:ind w:left="1800"/>
        <w:rPr>
          <w:b/>
        </w:rPr>
      </w:pPr>
    </w:p>
    <w:p w:rsidR="006450DA" w:rsidRDefault="009F7BC1" w:rsidP="007B2FC8">
      <w:pPr>
        <w:pStyle w:val="BlockText"/>
        <w:numPr>
          <w:ilvl w:val="0"/>
          <w:numId w:val="18"/>
        </w:numPr>
      </w:pPr>
      <w:r>
        <w:t xml:space="preserve">This board has received or disposed of the following </w:t>
      </w:r>
      <w:r w:rsidR="002558FB">
        <w:t>Petition</w:t>
      </w:r>
      <w:r>
        <w:t>s</w:t>
      </w:r>
      <w:r w:rsidR="004E142A">
        <w:t xml:space="preserve"> for Va</w:t>
      </w:r>
      <w:r w:rsidR="0092555A">
        <w:t>riance or Waiver</w:t>
      </w:r>
      <w:r w:rsidR="00BB6D12">
        <w:t xml:space="preserve"> (if any):</w:t>
      </w:r>
      <w:r w:rsidR="00530BF1">
        <w:t xml:space="preserve"> </w:t>
      </w:r>
      <w:r w:rsidR="00530BF1">
        <w:rPr>
          <w:b/>
        </w:rPr>
        <w:t xml:space="preserve">Jonathan Jasiewicz </w:t>
      </w:r>
      <w:r w:rsidR="00530BF1">
        <w:t>filed on May 1, 2015, as to Rule 61G4-16.005, providing that a passing grade is valid for a period of only four (4) years.</w:t>
      </w:r>
    </w:p>
    <w:p w:rsidR="00AA1DC4" w:rsidRPr="00AA1DC4" w:rsidRDefault="00AA1DC4" w:rsidP="00AA1DC4">
      <w:pPr>
        <w:pStyle w:val="BlockText"/>
        <w:rPr>
          <w:b/>
        </w:rPr>
      </w:pPr>
    </w:p>
    <w:p w:rsidR="00E05588" w:rsidRDefault="004E142A" w:rsidP="00E05588">
      <w:pPr>
        <w:pStyle w:val="BlockText"/>
        <w:numPr>
          <w:ilvl w:val="0"/>
          <w:numId w:val="11"/>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F2420F" w:rsidRDefault="00F2420F" w:rsidP="00F2420F">
      <w:pPr>
        <w:pStyle w:val="BlockText"/>
        <w:ind w:left="1080"/>
      </w:pPr>
    </w:p>
    <w:p w:rsidR="009855ED" w:rsidRDefault="00663A8E" w:rsidP="00173BB8">
      <w:pPr>
        <w:pStyle w:val="BlockText"/>
        <w:ind w:left="2160" w:hanging="720"/>
      </w:pPr>
      <w:r>
        <w:t xml:space="preserve">a. </w:t>
      </w:r>
      <w:r w:rsidR="009855ED">
        <w:t xml:space="preserve">  </w:t>
      </w:r>
      <w:r w:rsidR="00BD45AE">
        <w:t xml:space="preserve">This board has </w:t>
      </w:r>
      <w:r w:rsidR="00BE7523">
        <w:t>proposed</w:t>
      </w:r>
      <w:r w:rsidR="00BD45AE">
        <w:t xml:space="preserve"> adopted, repealed or amended the following rules (if any):</w:t>
      </w:r>
    </w:p>
    <w:p w:rsidR="005510CD" w:rsidRDefault="009855ED" w:rsidP="005510CD">
      <w:pPr>
        <w:pStyle w:val="BlockText"/>
        <w:ind w:left="2160" w:hanging="720"/>
      </w:pPr>
      <w:r>
        <w:t xml:space="preserve">      </w:t>
      </w:r>
      <w:r w:rsidR="00DB4628">
        <w:t>None to report.</w:t>
      </w:r>
    </w:p>
    <w:p w:rsidR="005510CD" w:rsidRDefault="005510CD" w:rsidP="005510CD">
      <w:pPr>
        <w:pStyle w:val="BlockText"/>
        <w:ind w:left="2160" w:hanging="720"/>
      </w:pPr>
    </w:p>
    <w:p w:rsidR="00530BF1" w:rsidRDefault="005510CD" w:rsidP="00530BF1">
      <w:pPr>
        <w:pStyle w:val="BlockText"/>
        <w:ind w:left="1800" w:hanging="360"/>
      </w:pPr>
      <w:r>
        <w:t xml:space="preserve">b. </w:t>
      </w:r>
      <w:r w:rsidR="004E142A">
        <w:t xml:space="preserve">This board has received or disposed of the following Petitions for </w:t>
      </w:r>
      <w:r w:rsidR="00DB4628">
        <w:t xml:space="preserve">Declaratory Statement (if any): </w:t>
      </w:r>
      <w:r w:rsidR="00530BF1">
        <w:rPr>
          <w:b/>
        </w:rPr>
        <w:t>Andy Bachman/William E. Groves Construction, Inc.</w:t>
      </w:r>
      <w:r w:rsidR="00530BF1">
        <w:t>, filed on April 24, 2015, seeking a determination of whether an electrical contractor’s license is required for contract work for a public utility company.</w:t>
      </w:r>
    </w:p>
    <w:p w:rsidR="00530BF1" w:rsidRDefault="00530BF1" w:rsidP="00530BF1">
      <w:pPr>
        <w:pStyle w:val="BlockText"/>
        <w:ind w:left="1800" w:hanging="360"/>
      </w:pPr>
    </w:p>
    <w:p w:rsidR="00F2420F" w:rsidRDefault="00530BF1" w:rsidP="00530BF1">
      <w:pPr>
        <w:pStyle w:val="BlockText"/>
        <w:ind w:left="1800" w:hanging="360"/>
      </w:pPr>
      <w:r>
        <w:t xml:space="preserve">c. </w:t>
      </w:r>
      <w:r w:rsidR="004E142A">
        <w:t xml:space="preserve">This board has received or disposed of the following Petitions for </w:t>
      </w:r>
      <w:r w:rsidR="009E2A70">
        <w:t>Va</w:t>
      </w:r>
      <w:r w:rsidR="00CB169A">
        <w:t xml:space="preserve">riance or Waiver </w:t>
      </w:r>
      <w:r w:rsidR="00DB4628">
        <w:t>(if any</w:t>
      </w:r>
      <w:r>
        <w:t>): None noticed.</w:t>
      </w:r>
    </w:p>
    <w:p w:rsidR="005510CD" w:rsidRPr="00F917FF" w:rsidRDefault="005510CD" w:rsidP="005510CD">
      <w:pPr>
        <w:pStyle w:val="BlockText"/>
        <w:tabs>
          <w:tab w:val="left" w:pos="2430"/>
        </w:tabs>
      </w:pPr>
    </w:p>
    <w:p w:rsidR="004E142A" w:rsidRDefault="004E142A" w:rsidP="007B2FC8">
      <w:pPr>
        <w:pStyle w:val="BlockText"/>
        <w:numPr>
          <w:ilvl w:val="0"/>
          <w:numId w:val="11"/>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775D28">
      <w:pPr>
        <w:pStyle w:val="BlockText"/>
        <w:numPr>
          <w:ilvl w:val="0"/>
          <w:numId w:val="19"/>
        </w:numPr>
        <w:tabs>
          <w:tab w:val="left" w:pos="1710"/>
        </w:tabs>
        <w:ind w:left="1800"/>
      </w:pPr>
      <w:r>
        <w:t>This board has proposed, adopted, repealed or ame</w:t>
      </w:r>
      <w:r w:rsidR="000B1E71">
        <w:t>nded the following rules</w:t>
      </w:r>
      <w:r w:rsidR="00297D0C">
        <w:t xml:space="preserve"> (if any)</w:t>
      </w:r>
      <w:r w:rsidR="000B1E71">
        <w:t xml:space="preserve">: </w:t>
      </w:r>
      <w:r w:rsidR="00F21C36">
        <w:t xml:space="preserve"> </w:t>
      </w:r>
      <w:r w:rsidR="00D500CC">
        <w:t xml:space="preserve">None noticed. </w:t>
      </w:r>
    </w:p>
    <w:p w:rsidR="00AC4FD0" w:rsidRDefault="00AC4FD0" w:rsidP="00AC4FD0">
      <w:pPr>
        <w:pStyle w:val="BlockText"/>
        <w:ind w:left="1800"/>
      </w:pPr>
    </w:p>
    <w:p w:rsidR="004E142A" w:rsidRDefault="004E142A" w:rsidP="00F21C36">
      <w:pPr>
        <w:pStyle w:val="BlockText"/>
        <w:numPr>
          <w:ilvl w:val="0"/>
          <w:numId w:val="19"/>
        </w:numPr>
        <w:ind w:left="1800"/>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F21C36">
      <w:pPr>
        <w:pStyle w:val="BlockText"/>
        <w:numPr>
          <w:ilvl w:val="0"/>
          <w:numId w:val="19"/>
        </w:numPr>
        <w:ind w:left="1710" w:hanging="270"/>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7B2FC8">
      <w:pPr>
        <w:pStyle w:val="BlockText"/>
        <w:numPr>
          <w:ilvl w:val="0"/>
          <w:numId w:val="11"/>
        </w:numPr>
      </w:pPr>
      <w:r w:rsidRPr="00EF1953">
        <w:rPr>
          <w:u w:val="single"/>
        </w:rPr>
        <w:t>Board of Landscape Architecture</w:t>
      </w:r>
      <w:r>
        <w:t xml:space="preserve"> – Chapter 481, Part II, FS and 61G10 FAC: </w:t>
      </w:r>
    </w:p>
    <w:p w:rsidR="00B52A30" w:rsidRDefault="00B52A30" w:rsidP="00B52A30">
      <w:pPr>
        <w:pStyle w:val="BlockText"/>
        <w:ind w:left="1080"/>
      </w:pPr>
    </w:p>
    <w:p w:rsidR="00271329" w:rsidRDefault="00B52A30" w:rsidP="00633037">
      <w:pPr>
        <w:pStyle w:val="BlockText"/>
        <w:numPr>
          <w:ilvl w:val="1"/>
          <w:numId w:val="19"/>
        </w:numPr>
        <w:tabs>
          <w:tab w:val="left" w:pos="1440"/>
        </w:tabs>
        <w:ind w:left="1890"/>
      </w:pPr>
      <w:r>
        <w:t>This board has proposed, adopted, repealed or amended the following rules</w:t>
      </w:r>
      <w:r w:rsidR="00CF569B">
        <w:t xml:space="preserve"> (both of which appear to be still pending)</w:t>
      </w:r>
      <w:r>
        <w:t>:</w:t>
      </w:r>
    </w:p>
    <w:p w:rsidR="00B52A30" w:rsidRDefault="00D4023D" w:rsidP="00173BB8">
      <w:pPr>
        <w:pStyle w:val="BlockText"/>
        <w:numPr>
          <w:ilvl w:val="2"/>
          <w:numId w:val="19"/>
        </w:numPr>
        <w:ind w:left="2340"/>
      </w:pPr>
      <w:r>
        <w:t xml:space="preserve">Rule 61G10-11.010 regarding seals is being amended to remove the requirement for “impression type metal seals.” </w:t>
      </w:r>
    </w:p>
    <w:p w:rsidR="00D4023D" w:rsidRDefault="00D4023D" w:rsidP="00D4023D">
      <w:pPr>
        <w:pStyle w:val="BlockText"/>
        <w:ind w:left="2520"/>
      </w:pPr>
    </w:p>
    <w:p w:rsidR="00D4023D" w:rsidRDefault="00D4023D" w:rsidP="00173BB8">
      <w:pPr>
        <w:pStyle w:val="BlockText"/>
        <w:numPr>
          <w:ilvl w:val="2"/>
          <w:numId w:val="19"/>
        </w:numPr>
        <w:ind w:left="2340"/>
      </w:pPr>
      <w:r>
        <w:t>Rule 61G10-18.002, .003 and .006 regarding continuing education provides and course approvals.</w:t>
      </w:r>
    </w:p>
    <w:p w:rsidR="00E66237" w:rsidRDefault="00E66237" w:rsidP="00E66237">
      <w:pPr>
        <w:pStyle w:val="BlockText"/>
        <w:ind w:left="2520"/>
      </w:pPr>
    </w:p>
    <w:p w:rsidR="00B52A30" w:rsidRDefault="00B52A30" w:rsidP="00173BB8">
      <w:pPr>
        <w:pStyle w:val="BlockText"/>
        <w:numPr>
          <w:ilvl w:val="1"/>
          <w:numId w:val="19"/>
        </w:numPr>
        <w:ind w:left="1800"/>
      </w:pPr>
      <w:r>
        <w:t>This board has received or disposed of the following Petitions for Declaratory Statement (if any): None noticed.</w:t>
      </w:r>
    </w:p>
    <w:p w:rsidR="00B52A30" w:rsidRDefault="00B52A30" w:rsidP="00B52A30">
      <w:pPr>
        <w:pStyle w:val="ListParagraph"/>
      </w:pPr>
    </w:p>
    <w:p w:rsidR="009855ED" w:rsidRPr="00CC4315" w:rsidRDefault="00B52A30" w:rsidP="00CC4315">
      <w:pPr>
        <w:pStyle w:val="BlockText"/>
        <w:numPr>
          <w:ilvl w:val="1"/>
          <w:numId w:val="19"/>
        </w:numPr>
        <w:ind w:left="1800"/>
      </w:pPr>
      <w:r>
        <w:t>This board has received or disposed of the following Petitions for Variance o</w:t>
      </w:r>
      <w:r w:rsidR="00D4023D">
        <w:t xml:space="preserve">r Waiver (if any): </w:t>
      </w:r>
      <w:r w:rsidR="009855ED">
        <w:t>None noticed.</w:t>
      </w:r>
    </w:p>
    <w:p w:rsidR="004E142A" w:rsidRDefault="004E142A" w:rsidP="009855ED">
      <w:pPr>
        <w:pStyle w:val="BlockText"/>
        <w:numPr>
          <w:ilvl w:val="0"/>
          <w:numId w:val="11"/>
        </w:numPr>
      </w:pPr>
      <w:r w:rsidRPr="00D42313">
        <w:rPr>
          <w:u w:val="single"/>
        </w:rPr>
        <w:t>Board of Professional Engineers</w:t>
      </w:r>
      <w:r>
        <w:t xml:space="preserve"> – Chapter 471, FS and 61G15 FAC: </w:t>
      </w:r>
    </w:p>
    <w:p w:rsidR="004E142A" w:rsidRDefault="004E142A" w:rsidP="004E142A">
      <w:pPr>
        <w:pStyle w:val="BlockText"/>
      </w:pPr>
    </w:p>
    <w:p w:rsidR="000B70C4" w:rsidRDefault="00E1125C" w:rsidP="007B2FC8">
      <w:pPr>
        <w:pStyle w:val="BlockText"/>
        <w:numPr>
          <w:ilvl w:val="0"/>
          <w:numId w:val="20"/>
        </w:numPr>
      </w:pPr>
      <w:r>
        <w:t xml:space="preserve">This board has </w:t>
      </w:r>
      <w:r w:rsidR="004204AE">
        <w:t>proposed</w:t>
      </w:r>
      <w:r>
        <w:t xml:space="preserve"> adopted, repealed or amended</w:t>
      </w:r>
      <w:r w:rsidR="00B73DBD">
        <w:t xml:space="preserve"> the followin</w:t>
      </w:r>
      <w:r w:rsidR="00434B55">
        <w:t>g rules (if any):</w:t>
      </w:r>
      <w:r w:rsidR="00DD5289">
        <w:t xml:space="preserve"> </w:t>
      </w:r>
    </w:p>
    <w:p w:rsidR="000B70C4" w:rsidRDefault="000B70C4" w:rsidP="000B70C4">
      <w:pPr>
        <w:pStyle w:val="BlockText"/>
        <w:ind w:left="1800"/>
      </w:pPr>
    </w:p>
    <w:p w:rsidR="00B73DBD" w:rsidRDefault="00DD5289" w:rsidP="000B70C4">
      <w:pPr>
        <w:pStyle w:val="BlockText"/>
        <w:numPr>
          <w:ilvl w:val="2"/>
          <w:numId w:val="20"/>
        </w:numPr>
        <w:ind w:left="2160"/>
      </w:pPr>
      <w:r w:rsidRPr="000B70C4">
        <w:rPr>
          <w:b/>
        </w:rPr>
        <w:t>Rule 61G15-35.004</w:t>
      </w:r>
      <w:r>
        <w:t>, regarding common requirements fo</w:t>
      </w:r>
      <w:r w:rsidR="000B70C4">
        <w:t>r all engineers</w:t>
      </w:r>
      <w:r w:rsidR="004C4506">
        <w:t xml:space="preserve"> </w:t>
      </w:r>
      <w:r>
        <w:t>providing threshold building Inspection Services by replacing 2 years with 4 years of direct supervision by a Special Inspector to licensure as an engineer, and adding: graduation from an engineering or architectural program, registration as a building inspector or general contractor or various certifications.</w:t>
      </w:r>
    </w:p>
    <w:p w:rsidR="000B70C4" w:rsidRDefault="000B70C4" w:rsidP="000B70C4">
      <w:pPr>
        <w:pStyle w:val="BlockText"/>
        <w:ind w:left="2160"/>
      </w:pPr>
    </w:p>
    <w:p w:rsidR="000B70C4" w:rsidRDefault="000B70C4" w:rsidP="000B70C4">
      <w:pPr>
        <w:pStyle w:val="BlockText"/>
        <w:numPr>
          <w:ilvl w:val="2"/>
          <w:numId w:val="20"/>
        </w:numPr>
        <w:ind w:left="2160"/>
      </w:pPr>
      <w:r w:rsidRPr="000B70C4">
        <w:rPr>
          <w:b/>
        </w:rPr>
        <w:t>Rule 61G15-21.007</w:t>
      </w:r>
      <w:r>
        <w:t xml:space="preserve"> is being work-shopped for possible addition of course work options for those failing the examination 3 times.</w:t>
      </w:r>
    </w:p>
    <w:p w:rsidR="000B70C4" w:rsidRDefault="000B70C4" w:rsidP="000B70C4">
      <w:pPr>
        <w:pStyle w:val="BlockText"/>
        <w:ind w:left="2160"/>
      </w:pPr>
    </w:p>
    <w:p w:rsidR="000B70C4" w:rsidRDefault="000B70C4" w:rsidP="000B70C4">
      <w:pPr>
        <w:pStyle w:val="BlockText"/>
        <w:numPr>
          <w:ilvl w:val="2"/>
          <w:numId w:val="20"/>
        </w:numPr>
        <w:ind w:left="2160"/>
      </w:pPr>
      <w:r w:rsidRPr="000B70C4">
        <w:rPr>
          <w:b/>
        </w:rPr>
        <w:t>Rules 61G15-23.001, .002, .003, .005 and .003</w:t>
      </w:r>
      <w:r>
        <w:rPr>
          <w:b/>
        </w:rPr>
        <w:t>,</w:t>
      </w:r>
      <w:r>
        <w:t xml:space="preserve"> regarding seals, signatures and dates, is the subject of a rulemaking workshop.</w:t>
      </w:r>
    </w:p>
    <w:p w:rsidR="00B73DBD" w:rsidRDefault="00B73DBD" w:rsidP="00775D28">
      <w:pPr>
        <w:pStyle w:val="BlockText"/>
      </w:pPr>
    </w:p>
    <w:p w:rsidR="00E3126D" w:rsidRDefault="009E2A70" w:rsidP="007B2FC8">
      <w:pPr>
        <w:pStyle w:val="BlockText"/>
        <w:numPr>
          <w:ilvl w:val="0"/>
          <w:numId w:val="20"/>
        </w:numPr>
      </w:pPr>
      <w:r>
        <w:t xml:space="preserve">This board has received or disposed of the following Petitions for </w:t>
      </w:r>
      <w:r w:rsidR="00052694">
        <w:t>Declaratory Statement</w:t>
      </w:r>
      <w:r w:rsidR="00003119">
        <w:t xml:space="preserve"> (if any</w:t>
      </w:r>
      <w:r w:rsidR="00775D28">
        <w:t>): None published</w:t>
      </w:r>
      <w:r w:rsidR="00E66237">
        <w:t>.</w:t>
      </w:r>
    </w:p>
    <w:p w:rsidR="000B0D3F" w:rsidRDefault="000B0D3F" w:rsidP="000B0D3F">
      <w:pPr>
        <w:pStyle w:val="BlockText"/>
        <w:ind w:left="1800"/>
      </w:pPr>
    </w:p>
    <w:p w:rsidR="00CC1B0F" w:rsidRDefault="000B0D3F" w:rsidP="007B2FC8">
      <w:pPr>
        <w:pStyle w:val="BlockText"/>
        <w:numPr>
          <w:ilvl w:val="0"/>
          <w:numId w:val="20"/>
        </w:numPr>
      </w:pPr>
      <w:r>
        <w:t>This board has received or disposed of the following Petitions for Variance or Waiver (i</w:t>
      </w:r>
      <w:r w:rsidR="00B73DBD">
        <w:t>f any):</w:t>
      </w:r>
      <w:r w:rsidR="00034306">
        <w:t xml:space="preserve"> </w:t>
      </w:r>
      <w:r w:rsidR="00775D28">
        <w:t>None published.</w:t>
      </w:r>
    </w:p>
    <w:p w:rsidR="000B0D3F" w:rsidRDefault="000B0D3F" w:rsidP="000B0D3F">
      <w:pPr>
        <w:pStyle w:val="BlockText"/>
      </w:pPr>
    </w:p>
    <w:p w:rsidR="004E142A" w:rsidRDefault="004E142A" w:rsidP="007B2FC8">
      <w:pPr>
        <w:pStyle w:val="BlockText"/>
        <w:numPr>
          <w:ilvl w:val="0"/>
          <w:numId w:val="11"/>
        </w:numPr>
      </w:pPr>
      <w:r w:rsidRPr="009A1012">
        <w:rPr>
          <w:u w:val="single"/>
        </w:rPr>
        <w:t>Building Code Administrators and Inspectors</w:t>
      </w:r>
      <w:r>
        <w:t xml:space="preserve"> Board – Chapt</w:t>
      </w:r>
      <w:r w:rsidR="00E3126D">
        <w:t>er 468, Part XII and 61G19 FAC:</w:t>
      </w:r>
    </w:p>
    <w:p w:rsidR="004E142A" w:rsidRDefault="004E142A" w:rsidP="004E142A">
      <w:pPr>
        <w:pStyle w:val="BlockText"/>
        <w:ind w:left="1440"/>
      </w:pPr>
    </w:p>
    <w:p w:rsidR="004E142A" w:rsidRDefault="00C80E12" w:rsidP="00C80E12">
      <w:pPr>
        <w:pStyle w:val="BlockText"/>
        <w:tabs>
          <w:tab w:val="left" w:pos="1710"/>
        </w:tabs>
        <w:ind w:left="1710" w:hanging="270"/>
      </w:pPr>
      <w:r>
        <w:t xml:space="preserve">a. </w:t>
      </w:r>
      <w:r w:rsidR="00E1125C">
        <w:t>This board has proposed, adopted, repealed or amended the following rules (if any):</w:t>
      </w:r>
      <w:r w:rsidR="00E3126D">
        <w:t xml:space="preserve"> None noticed</w:t>
      </w:r>
    </w:p>
    <w:p w:rsidR="004E142A" w:rsidRDefault="004E142A" w:rsidP="004E142A">
      <w:pPr>
        <w:pStyle w:val="BlockText"/>
      </w:pPr>
    </w:p>
    <w:p w:rsidR="00034306" w:rsidRDefault="00C80E12" w:rsidP="00C80E12">
      <w:pPr>
        <w:pStyle w:val="BlockText"/>
        <w:numPr>
          <w:ilvl w:val="1"/>
          <w:numId w:val="20"/>
        </w:numPr>
        <w:tabs>
          <w:tab w:val="left" w:pos="1710"/>
        </w:tabs>
        <w:ind w:left="1620" w:hanging="180"/>
      </w:pPr>
      <w:r>
        <w:t xml:space="preserve"> </w:t>
      </w:r>
      <w:r w:rsidR="004E142A">
        <w:t xml:space="preserve">This board has received or disposed of the following Petitions for Declaratory </w:t>
      </w:r>
      <w:r>
        <w:t xml:space="preserve">     </w:t>
      </w:r>
      <w:r w:rsidR="004E142A">
        <w:t>Statement (if any</w:t>
      </w:r>
      <w:r w:rsidR="00B73DBD">
        <w:t xml:space="preserve">): </w:t>
      </w:r>
      <w:r w:rsidR="00A9229C">
        <w:t>None noticed.</w:t>
      </w:r>
    </w:p>
    <w:p w:rsidR="00A9229C" w:rsidRDefault="00A9229C" w:rsidP="00A9229C">
      <w:pPr>
        <w:pStyle w:val="BlockText"/>
      </w:pPr>
    </w:p>
    <w:p w:rsidR="004E142A" w:rsidRDefault="004E142A" w:rsidP="004E142A">
      <w:pPr>
        <w:pStyle w:val="BlockText"/>
        <w:numPr>
          <w:ilvl w:val="1"/>
          <w:numId w:val="20"/>
        </w:numPr>
        <w:tabs>
          <w:tab w:val="left" w:pos="1710"/>
        </w:tabs>
        <w:ind w:left="1620" w:hanging="180"/>
      </w:pPr>
      <w:r>
        <w:t xml:space="preserve">This board has received or disposed of the following Petitions for Variance or Waiver (if any): </w:t>
      </w:r>
      <w:r w:rsidR="004204AE">
        <w:t>None</w:t>
      </w:r>
      <w:r w:rsidR="00920535">
        <w:t xml:space="preserve"> noticed</w:t>
      </w:r>
      <w:r w:rsidR="004204AE">
        <w:t>.</w:t>
      </w:r>
    </w:p>
    <w:p w:rsidR="000B70C4" w:rsidRPr="003134D3" w:rsidRDefault="000B70C4" w:rsidP="000B70C4">
      <w:pPr>
        <w:pStyle w:val="BlockText"/>
        <w:tabs>
          <w:tab w:val="left" w:pos="1710"/>
        </w:tabs>
      </w:pPr>
    </w:p>
    <w:p w:rsidR="00F73B56" w:rsidRDefault="004E142A" w:rsidP="007B2FC8">
      <w:pPr>
        <w:pStyle w:val="BlockText"/>
        <w:numPr>
          <w:ilvl w:val="0"/>
          <w:numId w:val="11"/>
        </w:numPr>
      </w:pPr>
      <w:r w:rsidRPr="00A82F6F">
        <w:rPr>
          <w:u w:val="single"/>
        </w:rPr>
        <w:t>Florida Building Commission</w:t>
      </w:r>
      <w:r>
        <w:rPr>
          <w:rStyle w:val="FootnoteReference"/>
          <w:u w:val="single"/>
        </w:rPr>
        <w:footnoteReference w:id="2"/>
      </w:r>
      <w:r>
        <w:t xml:space="preserve"> – Chapter 553, Part IV and Chapter 61G20, FAC): </w:t>
      </w:r>
    </w:p>
    <w:p w:rsidR="00F73B56" w:rsidRDefault="00F73B56" w:rsidP="00F73B56">
      <w:pPr>
        <w:pStyle w:val="BlockText"/>
        <w:ind w:left="720"/>
        <w:rPr>
          <w:u w:val="single"/>
        </w:rPr>
      </w:pPr>
    </w:p>
    <w:p w:rsidR="00920535" w:rsidRPr="007A5E81" w:rsidRDefault="00F73B56" w:rsidP="006E0D5B">
      <w:pPr>
        <w:pStyle w:val="BlockText"/>
        <w:ind w:left="720"/>
      </w:pPr>
      <w:r>
        <w:rPr>
          <w:b/>
          <w:u w:val="single"/>
        </w:rPr>
        <w:t xml:space="preserve">CODE </w:t>
      </w:r>
      <w:r w:rsidRPr="00D255AC">
        <w:rPr>
          <w:b/>
          <w:u w:val="single"/>
        </w:rPr>
        <w:t>NOTE</w:t>
      </w:r>
      <w:r w:rsidRPr="00D255AC">
        <w:rPr>
          <w:b/>
        </w:rPr>
        <w:t xml:space="preserve">: </w:t>
      </w:r>
      <w:r w:rsidR="006E0D5B">
        <w:rPr>
          <w:b/>
        </w:rPr>
        <w:t>T</w:t>
      </w:r>
      <w:r w:rsidRPr="00571120">
        <w:rPr>
          <w:b/>
        </w:rPr>
        <w:t>he effective date of the next Florida Bu</w:t>
      </w:r>
      <w:r w:rsidR="006E0D5B">
        <w:rPr>
          <w:b/>
        </w:rPr>
        <w:t xml:space="preserve">ilding Code, which </w:t>
      </w:r>
      <w:r>
        <w:rPr>
          <w:b/>
        </w:rPr>
        <w:t>will be entitled "Florida Building Code 5</w:t>
      </w:r>
      <w:r w:rsidRPr="00571120">
        <w:rPr>
          <w:b/>
          <w:vertAlign w:val="superscript"/>
        </w:rPr>
        <w:t>th</w:t>
      </w:r>
      <w:r w:rsidR="006E0D5B">
        <w:rPr>
          <w:b/>
        </w:rPr>
        <w:t xml:space="preserve"> Edition (2014),</w:t>
      </w:r>
      <w:r>
        <w:rPr>
          <w:b/>
        </w:rPr>
        <w:t>"</w:t>
      </w:r>
      <w:r w:rsidR="000B0D3F">
        <w:rPr>
          <w:b/>
        </w:rPr>
        <w:t xml:space="preserve"> </w:t>
      </w:r>
      <w:r w:rsidR="006E0D5B">
        <w:rPr>
          <w:b/>
        </w:rPr>
        <w:t>is June 30, 2015.</w:t>
      </w:r>
      <w:r w:rsidR="007A5E81">
        <w:rPr>
          <w:b/>
        </w:rPr>
        <w:t xml:space="preserve"> See</w:t>
      </w:r>
      <w:r w:rsidR="007A5E81" w:rsidRPr="007A5E81">
        <w:t>: Rule 61G20-1.001</w:t>
      </w:r>
    </w:p>
    <w:p w:rsidR="00B0622F" w:rsidRPr="00E3126D" w:rsidRDefault="00B0622F" w:rsidP="00E3126D">
      <w:pPr>
        <w:pStyle w:val="BlockText"/>
        <w:rPr>
          <w:b/>
        </w:rPr>
      </w:pPr>
    </w:p>
    <w:p w:rsidR="00C60ABB" w:rsidRDefault="00E1125C" w:rsidP="00086D79">
      <w:pPr>
        <w:pStyle w:val="BlockText"/>
        <w:numPr>
          <w:ilvl w:val="0"/>
          <w:numId w:val="21"/>
        </w:numPr>
      </w:pPr>
      <w:r>
        <w:t>This board has proposed, adopted, repealed or amended the following rules (if any):</w:t>
      </w:r>
      <w:r w:rsidR="00AB69C6">
        <w:t xml:space="preserve"> </w:t>
      </w:r>
      <w:r w:rsidR="00AB69C6">
        <w:rPr>
          <w:b/>
        </w:rPr>
        <w:t>Florida Home Builders Association, et. at</w:t>
      </w:r>
      <w:r w:rsidR="00AB69C6">
        <w:rPr>
          <w:b/>
        </w:rPr>
        <w:t>.</w:t>
      </w:r>
      <w:r w:rsidR="00AB69C6">
        <w:t xml:space="preserve">, seeking Emergency and permanent rules delaying the effective date of </w:t>
      </w:r>
      <w:r w:rsidR="002066F0">
        <w:t>2014 code requirements for secondary elevator spaces in building exceeding 120 feet, and to the use of blower doors to determine air ventilation requirements for energy efficiency.</w:t>
      </w:r>
    </w:p>
    <w:p w:rsidR="007A5E81" w:rsidRDefault="007A5E81" w:rsidP="00E235EA">
      <w:pPr>
        <w:pStyle w:val="BlockText"/>
      </w:pPr>
    </w:p>
    <w:p w:rsidR="00ED68AB" w:rsidRDefault="00E1125C" w:rsidP="00AB69C6">
      <w:pPr>
        <w:pStyle w:val="BlockText"/>
        <w:numPr>
          <w:ilvl w:val="0"/>
          <w:numId w:val="21"/>
        </w:numPr>
      </w:pPr>
      <w:r>
        <w:t>This board has received or disposed of the following Petition</w:t>
      </w:r>
      <w:r w:rsidR="00C05096">
        <w:t>(</w:t>
      </w:r>
      <w:r>
        <w:t>s</w:t>
      </w:r>
      <w:r w:rsidR="00C05096">
        <w:t>)</w:t>
      </w:r>
      <w:r>
        <w:t xml:space="preserve"> for </w:t>
      </w:r>
      <w:r w:rsidR="003747B5">
        <w:t xml:space="preserve">Declaratory Statement: </w:t>
      </w:r>
      <w:r w:rsidR="00AB69C6" w:rsidRPr="00AB69C6">
        <w:rPr>
          <w:b/>
        </w:rPr>
        <w:t>Belmar Development Associates, LLC</w:t>
      </w:r>
      <w:r w:rsidR="00C05096">
        <w:t xml:space="preserve"> – seeking a determination of </w:t>
      </w:r>
      <w:r w:rsidR="00AB69C6">
        <w:t>the applicability of Section 3109 (2010) as to structural components built seaward of the CCCL</w:t>
      </w:r>
      <w:r w:rsidR="00E235EA">
        <w:t>.</w:t>
      </w:r>
      <w:r w:rsidR="00CC1B0F">
        <w:t xml:space="preserve"> </w:t>
      </w:r>
      <w:r w:rsidR="002066F0">
        <w:t>This petition will be discussed via phone conference on June 10 at 10 a.m. (1-866-899-4679 and access code 707-600-333).</w:t>
      </w:r>
    </w:p>
    <w:p w:rsidR="002066F0" w:rsidRDefault="002066F0" w:rsidP="002066F0">
      <w:pPr>
        <w:pStyle w:val="ListParagraph"/>
      </w:pPr>
    </w:p>
    <w:p w:rsidR="002066F0" w:rsidRDefault="002066F0" w:rsidP="00AB69C6">
      <w:pPr>
        <w:pStyle w:val="BlockText"/>
        <w:numPr>
          <w:ilvl w:val="0"/>
          <w:numId w:val="21"/>
        </w:numPr>
      </w:pPr>
      <w:r>
        <w:t>The commission will meet at the Hilton University of Florida Conference Center on June 19, 2015, to consider the Belmar Development petition, the Monroe County Building Department petition, various disability accessibility waivers</w:t>
      </w:r>
      <w:r w:rsidR="0073422E">
        <w:t>, and to consider the FHBA emergency rule requests.</w:t>
      </w:r>
    </w:p>
    <w:p w:rsidR="000B0D3F" w:rsidRPr="000B0D3F" w:rsidRDefault="000B0D3F" w:rsidP="00E235EA">
      <w:pPr>
        <w:pStyle w:val="BlockText"/>
      </w:pPr>
    </w:p>
    <w:p w:rsidR="00681534" w:rsidRDefault="000B0D3F" w:rsidP="00681534">
      <w:pPr>
        <w:pStyle w:val="BlockText"/>
        <w:numPr>
          <w:ilvl w:val="0"/>
          <w:numId w:val="21"/>
        </w:numPr>
      </w:pPr>
      <w:r>
        <w:t>This board has received or disposed of the following Petitions for Variance or Waiver (if any</w:t>
      </w:r>
      <w:r w:rsidR="006E0D5B">
        <w:t>): None noticed.</w:t>
      </w:r>
    </w:p>
    <w:p w:rsidR="00681534" w:rsidRDefault="00681534" w:rsidP="00681534">
      <w:pPr>
        <w:pStyle w:val="BlockText"/>
        <w:ind w:left="1800"/>
      </w:pPr>
    </w:p>
    <w:p w:rsidR="00681534" w:rsidRDefault="008F17A7" w:rsidP="00681534">
      <w:pPr>
        <w:pStyle w:val="BlockText"/>
        <w:numPr>
          <w:ilvl w:val="0"/>
          <w:numId w:val="21"/>
        </w:numPr>
      </w:pPr>
      <w:r w:rsidRPr="00681534">
        <w:t>Th</w:t>
      </w:r>
      <w:r>
        <w:t xml:space="preserve">is </w:t>
      </w:r>
      <w:r w:rsidR="00452CC3">
        <w:t>board has received a petition for</w:t>
      </w:r>
      <w:r>
        <w:t xml:space="preserve"> </w:t>
      </w:r>
      <w:r w:rsidR="00452CC3">
        <w:t>interpretation</w:t>
      </w:r>
      <w:r>
        <w:t xml:space="preserve"> of building code as follows (If any):</w:t>
      </w:r>
      <w:r w:rsidR="00452CC3">
        <w:t xml:space="preserve"> </w:t>
      </w:r>
      <w:r w:rsidR="00681534">
        <w:t>None noticed.</w:t>
      </w:r>
    </w:p>
    <w:p w:rsidR="00996855" w:rsidRPr="00996855" w:rsidRDefault="00996855" w:rsidP="00681534">
      <w:pPr>
        <w:pStyle w:val="BlockText"/>
        <w:rPr>
          <w:b/>
        </w:rPr>
      </w:pPr>
    </w:p>
    <w:p w:rsidR="000340FB" w:rsidRDefault="00941C32" w:rsidP="0017187B">
      <w:pPr>
        <w:pStyle w:val="BlockText"/>
        <w:ind w:firstLine="720"/>
      </w:pPr>
      <w:r>
        <w:t xml:space="preserve">8. </w:t>
      </w:r>
      <w:r w:rsidRPr="00941C32">
        <w:rPr>
          <w:u w:val="single"/>
        </w:rPr>
        <w:t>DBPR/Home Inspectors:</w:t>
      </w:r>
      <w:r>
        <w:t xml:space="preserve"> </w:t>
      </w:r>
      <w:r w:rsidR="00681534">
        <w:t>Nothing new to report.</w:t>
      </w:r>
    </w:p>
    <w:p w:rsidR="0041534C" w:rsidRDefault="0041534C" w:rsidP="0041534C">
      <w:pPr>
        <w:pStyle w:val="BlockText"/>
      </w:pPr>
    </w:p>
    <w:p w:rsidR="008035A4" w:rsidRDefault="00C01BBA" w:rsidP="00C01BBA">
      <w:pPr>
        <w:pStyle w:val="BlockText"/>
        <w:ind w:left="720"/>
      </w:pPr>
      <w:r w:rsidRPr="00F26D19">
        <w:t>9</w:t>
      </w:r>
      <w:r w:rsidR="007B1B79" w:rsidRPr="00F26D19">
        <w:t xml:space="preserve">. </w:t>
      </w:r>
      <w:r w:rsidR="000340FB" w:rsidRPr="000340FB">
        <w:rPr>
          <w:u w:val="single"/>
        </w:rPr>
        <w:t>Board of Professional Geologists:</w:t>
      </w:r>
      <w:r w:rsidR="000340FB">
        <w:t xml:space="preserve"> Chapter 492, Florida Statutes, and Rule Chapter 61G16, F.A</w:t>
      </w:r>
      <w:r w:rsidR="008035A4">
        <w:t>.C.:</w:t>
      </w:r>
    </w:p>
    <w:p w:rsidR="008035A4" w:rsidRDefault="008035A4" w:rsidP="008035A4">
      <w:pPr>
        <w:pStyle w:val="BlockText"/>
        <w:ind w:left="1080"/>
      </w:pPr>
    </w:p>
    <w:p w:rsidR="000340FB" w:rsidRDefault="008035A4" w:rsidP="00AA0190">
      <w:pPr>
        <w:pStyle w:val="BlockText"/>
        <w:numPr>
          <w:ilvl w:val="0"/>
          <w:numId w:val="23"/>
        </w:numPr>
      </w:pPr>
      <w:r>
        <w:t xml:space="preserve">This board has proposed, adopted, repealed or amended the following rules (if any): </w:t>
      </w:r>
      <w:r w:rsidR="001C3A80">
        <w:t xml:space="preserve"> Note: Proposed changes to Rules 61G16-1.009 (definitions), and 61G16-3/001 (schedule of fees), have been withdrawn.</w:t>
      </w:r>
    </w:p>
    <w:p w:rsidR="008035A4" w:rsidRDefault="008035A4" w:rsidP="00143919">
      <w:pPr>
        <w:pStyle w:val="BlockText"/>
      </w:pPr>
    </w:p>
    <w:p w:rsidR="00AF448F" w:rsidRDefault="008035A4" w:rsidP="00AA0190">
      <w:pPr>
        <w:pStyle w:val="BlockText"/>
        <w:numPr>
          <w:ilvl w:val="0"/>
          <w:numId w:val="23"/>
        </w:numPr>
      </w:pPr>
      <w:r>
        <w:t>This board has received or disposed of the following Petitions for Declaratory St</w:t>
      </w:r>
      <w:r w:rsidR="00663C9D">
        <w:t xml:space="preserve">atement (if any): </w:t>
      </w:r>
      <w:r w:rsidR="00143919">
        <w:t xml:space="preserve"> None noticed</w:t>
      </w:r>
      <w:r w:rsidR="00AF448F">
        <w:t xml:space="preserve"> </w:t>
      </w:r>
    </w:p>
    <w:p w:rsidR="008035A4" w:rsidRDefault="008035A4" w:rsidP="008035A4">
      <w:pPr>
        <w:pStyle w:val="BlockText"/>
      </w:pPr>
    </w:p>
    <w:p w:rsidR="008035A4" w:rsidRDefault="008035A4" w:rsidP="00AA0190">
      <w:pPr>
        <w:pStyle w:val="BlockText"/>
        <w:numPr>
          <w:ilvl w:val="0"/>
          <w:numId w:val="23"/>
        </w:numPr>
      </w:pPr>
      <w:r>
        <w:t>This board has received or disposed of the following Petitions for Variance or Waiver (if any): None noticed.</w:t>
      </w:r>
    </w:p>
    <w:p w:rsidR="0094577A" w:rsidRDefault="0094577A" w:rsidP="0094577A">
      <w:pPr>
        <w:pStyle w:val="BlockText"/>
      </w:pPr>
    </w:p>
    <w:p w:rsidR="00317330" w:rsidRDefault="0094577A" w:rsidP="0045633D">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w:t>
      </w:r>
      <w:r w:rsidR="003B59EA">
        <w:t xml:space="preserve">new </w:t>
      </w:r>
      <w:r w:rsidR="004E2A5D">
        <w:t>to report.</w:t>
      </w:r>
    </w:p>
    <w:p w:rsidR="001C3A80" w:rsidRDefault="001C3A80" w:rsidP="0045633D">
      <w:pPr>
        <w:pStyle w:val="BlockText"/>
        <w:ind w:left="720"/>
      </w:pPr>
    </w:p>
    <w:p w:rsidR="005F51C9" w:rsidRDefault="004B10A3" w:rsidP="00E235EA">
      <w:pPr>
        <w:pStyle w:val="BlockText"/>
        <w:ind w:left="810" w:hanging="90"/>
        <w:rPr>
          <w:b/>
        </w:rPr>
      </w:pPr>
      <w:r>
        <w:t xml:space="preserve">11. </w:t>
      </w:r>
      <w:r w:rsidRPr="00C906E0">
        <w:rPr>
          <w:u w:val="single"/>
        </w:rPr>
        <w:t>Asbestos Consultants</w:t>
      </w:r>
      <w:r>
        <w:t xml:space="preserve"> – Chapter </w:t>
      </w:r>
      <w:r w:rsidR="00C906E0">
        <w:t>469</w:t>
      </w:r>
      <w:r>
        <w:t>, Florida Statutes, and Chapter</w:t>
      </w:r>
      <w:r w:rsidR="009D71A1">
        <w:t xml:space="preserve"> 61</w:t>
      </w:r>
      <w:r w:rsidR="00C60ABB">
        <w:t>E1</w:t>
      </w:r>
      <w:r w:rsidR="00452CC3">
        <w:t xml:space="preserve">, F.A.C.:  </w:t>
      </w:r>
      <w:r w:rsidR="001C3A80">
        <w:t>None noticed.</w:t>
      </w:r>
    </w:p>
    <w:p w:rsidR="005F51C9" w:rsidRDefault="005F51C9" w:rsidP="00DE52F2">
      <w:pPr>
        <w:pStyle w:val="BlockText"/>
        <w:rPr>
          <w:b/>
        </w:rPr>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 xml:space="preserve">t II (licensing and regulation): </w:t>
      </w:r>
      <w:r w:rsidR="00317330">
        <w:t>Nothing new to report.</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w:t>
      </w:r>
      <w:r w:rsidR="007D12C5">
        <w:t>h</w:t>
      </w:r>
      <w:r w:rsidR="00E64091">
        <w:t xml:space="preserve">ing </w:t>
      </w:r>
      <w:r w:rsidR="00317330">
        <w:t xml:space="preserve">new </w:t>
      </w:r>
      <w:r w:rsidR="00E64091">
        <w:t>to report.</w:t>
      </w:r>
    </w:p>
    <w:p w:rsidR="004E142A" w:rsidRPr="002E2A6D" w:rsidRDefault="004E142A" w:rsidP="004E142A">
      <w:pPr>
        <w:pStyle w:val="BlockText"/>
        <w:ind w:left="720"/>
      </w:pPr>
    </w:p>
    <w:p w:rsidR="00BE34DD" w:rsidRDefault="00DE52F2" w:rsidP="00BE34DD">
      <w:pPr>
        <w:pStyle w:val="BlockText"/>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p>
    <w:p w:rsidR="00CA5EE6" w:rsidRDefault="00CA5EE6" w:rsidP="0008109E">
      <w:pPr>
        <w:pStyle w:val="BlockText"/>
        <w:numPr>
          <w:ilvl w:val="0"/>
          <w:numId w:val="15"/>
        </w:numPr>
      </w:pPr>
      <w:r>
        <w:t>Division of Environmental Health:</w:t>
      </w:r>
      <w:r w:rsidR="003C3E7C">
        <w:t xml:space="preserve"> </w:t>
      </w:r>
      <w:r w:rsidR="00BE34DD">
        <w:t xml:space="preserve"> </w:t>
      </w:r>
    </w:p>
    <w:p w:rsidR="00BE34DD" w:rsidRDefault="00BE34DD" w:rsidP="00BE34DD">
      <w:pPr>
        <w:pStyle w:val="BlockText"/>
        <w:ind w:left="1080"/>
      </w:pPr>
    </w:p>
    <w:p w:rsidR="00BE34DD" w:rsidRDefault="00431C88" w:rsidP="00BE34DD">
      <w:pPr>
        <w:pStyle w:val="BlockText"/>
        <w:ind w:left="720"/>
        <w:rPr>
          <w:rFonts w:eastAsiaTheme="minorHAnsi"/>
          <w:iCs w:val="0"/>
        </w:rPr>
      </w:pPr>
      <w:r>
        <w:rPr>
          <w:rFonts w:eastAsiaTheme="minorHAnsi"/>
          <w:b/>
          <w:iCs w:val="0"/>
          <w:u w:val="single"/>
        </w:rPr>
        <w:t>Meeting Notification</w:t>
      </w:r>
      <w:r w:rsidR="00BE34DD" w:rsidRPr="003C3E7C">
        <w:rPr>
          <w:rFonts w:eastAsiaTheme="minorHAnsi"/>
          <w:b/>
          <w:iCs w:val="0"/>
          <w:u w:val="single"/>
        </w:rPr>
        <w:t>:</w:t>
      </w:r>
      <w:r w:rsidR="00BE34DD">
        <w:rPr>
          <w:rFonts w:eastAsiaTheme="minorHAnsi"/>
          <w:iCs w:val="0"/>
        </w:rPr>
        <w:t xml:space="preserve"> The Variance Review and Advisory Committee on the standards for onsite sewage treatment and disposal systems, has announced a series of monthly meetings around the state during 2015.</w:t>
      </w:r>
    </w:p>
    <w:p w:rsidR="003C3E7C" w:rsidRDefault="003C3E7C" w:rsidP="00746128"/>
    <w:p w:rsidR="003C3E7C" w:rsidRDefault="003C3E7C" w:rsidP="003C3E7C">
      <w:pPr>
        <w:pStyle w:val="BlockText"/>
        <w:ind w:left="720"/>
      </w:pPr>
      <w:r w:rsidRPr="001D35CA">
        <w:rPr>
          <w:b/>
          <w:u w:val="single"/>
        </w:rPr>
        <w:t>Editor’s Note:</w:t>
      </w:r>
      <w:r>
        <w:t xml:space="preserve"> The 2012 repeal of the Department of Health’s authority for plan review and approval of swimming pools and bathing pools appears to have been REINSTATED effective July 1, 2014 by House Bill 7147, which prohibits a building department from accepting an application for a permit to construct a “public” pool (such as at a condominium complex) without proof that an application for an OPERATING permit has been filed with the Department of Health, and prohibits a building department from issuing a Certificate of Completion for a public pool without proof that the DOH has issued the OPERATING permit. This appears to be a compromise that reinstates the role of DO</w:t>
      </w:r>
      <w:r w:rsidR="00746128">
        <w:t>H.</w:t>
      </w:r>
    </w:p>
    <w:p w:rsidR="003B388E" w:rsidRDefault="003B388E" w:rsidP="003C3E7C">
      <w:pPr>
        <w:pStyle w:val="BlockText"/>
        <w:ind w:left="720"/>
      </w:pPr>
    </w:p>
    <w:p w:rsidR="003C3E7C" w:rsidRDefault="003B388E" w:rsidP="00173BB8">
      <w:pPr>
        <w:pStyle w:val="BlockText"/>
        <w:numPr>
          <w:ilvl w:val="1"/>
          <w:numId w:val="15"/>
        </w:numPr>
        <w:ind w:left="1800"/>
      </w:pPr>
      <w:r>
        <w:t>The following Petition(s) for Declaratory Statement have been filed or disposed of (if any):</w:t>
      </w:r>
      <w:r w:rsidR="00200AF1">
        <w:t xml:space="preserve"> </w:t>
      </w:r>
      <w:r w:rsidR="000C5FBA">
        <w:t>None to report.</w:t>
      </w:r>
    </w:p>
    <w:p w:rsidR="000C5FBA" w:rsidRDefault="000C5FBA" w:rsidP="000C5FBA">
      <w:pPr>
        <w:pStyle w:val="BlockText"/>
        <w:ind w:left="1890"/>
      </w:pPr>
    </w:p>
    <w:p w:rsidR="0045633D" w:rsidRDefault="00CA5EE6" w:rsidP="00BC261C">
      <w:pPr>
        <w:pStyle w:val="BlockText"/>
        <w:numPr>
          <w:ilvl w:val="1"/>
          <w:numId w:val="15"/>
        </w:numPr>
        <w:ind w:left="1800"/>
      </w:pPr>
      <w:r>
        <w:t>The following Petitions for Variance or Wavier have been received or disposed of</w:t>
      </w:r>
      <w:r w:rsidR="002630FF">
        <w:t xml:space="preserve"> (if any</w:t>
      </w:r>
      <w:r w:rsidR="00BC261C">
        <w:t xml:space="preserve">): </w:t>
      </w:r>
    </w:p>
    <w:p w:rsidR="0045633D" w:rsidRDefault="0045633D" w:rsidP="0045633D">
      <w:pPr>
        <w:pStyle w:val="ListParagraph"/>
        <w:rPr>
          <w:b/>
        </w:rPr>
      </w:pPr>
    </w:p>
    <w:p w:rsidR="0045633D" w:rsidRDefault="001C3A80" w:rsidP="00387E18">
      <w:pPr>
        <w:pStyle w:val="BlockText"/>
        <w:numPr>
          <w:ilvl w:val="2"/>
          <w:numId w:val="15"/>
        </w:numPr>
      </w:pPr>
      <w:r w:rsidRPr="001C3A80">
        <w:rPr>
          <w:b/>
        </w:rPr>
        <w:t>School Board of Brevard County</w:t>
      </w:r>
      <w:r w:rsidR="00BC261C" w:rsidRPr="001C3A80">
        <w:rPr>
          <w:b/>
        </w:rPr>
        <w:t xml:space="preserve"> </w:t>
      </w:r>
      <w:r w:rsidR="00BC261C">
        <w:t xml:space="preserve">– </w:t>
      </w:r>
      <w:r>
        <w:t xml:space="preserve">Order entered on May 8 granting </w:t>
      </w:r>
      <w:r w:rsidR="00C976E2">
        <w:t>p</w:t>
      </w:r>
      <w:r w:rsidR="00BC261C">
        <w:t>etition</w:t>
      </w:r>
      <w:r>
        <w:t>.</w:t>
      </w:r>
      <w:r w:rsidR="00BC261C">
        <w:t xml:space="preserve"> </w:t>
      </w:r>
    </w:p>
    <w:p w:rsidR="001C3A80" w:rsidRDefault="001C3A80" w:rsidP="001C3A80">
      <w:pPr>
        <w:pStyle w:val="BlockText"/>
        <w:ind w:left="2520"/>
      </w:pPr>
    </w:p>
    <w:p w:rsidR="00746128" w:rsidRDefault="001C3A80" w:rsidP="00795F0A">
      <w:pPr>
        <w:pStyle w:val="BlockText"/>
        <w:numPr>
          <w:ilvl w:val="2"/>
          <w:numId w:val="15"/>
        </w:numPr>
      </w:pPr>
      <w:r w:rsidRPr="001C3A80">
        <w:rPr>
          <w:b/>
        </w:rPr>
        <w:t>Mess Hall, Inc.</w:t>
      </w:r>
      <w:r w:rsidR="0045633D">
        <w:t xml:space="preserve"> – </w:t>
      </w:r>
      <w:r>
        <w:t xml:space="preserve">Ordered entered on May 20, 2015, granting </w:t>
      </w:r>
      <w:r w:rsidR="00C976E2">
        <w:t>p</w:t>
      </w:r>
      <w:r w:rsidR="0045633D">
        <w:t>etition</w:t>
      </w:r>
      <w:r>
        <w:t>.</w:t>
      </w:r>
      <w:r w:rsidR="0045633D">
        <w:t xml:space="preserve"> </w:t>
      </w:r>
    </w:p>
    <w:p w:rsidR="00C976E2" w:rsidRDefault="00C976E2" w:rsidP="00C976E2">
      <w:pPr>
        <w:pStyle w:val="ListParagraph"/>
      </w:pPr>
    </w:p>
    <w:p w:rsidR="00C976E2" w:rsidRDefault="00C976E2" w:rsidP="00795F0A">
      <w:pPr>
        <w:pStyle w:val="BlockText"/>
        <w:numPr>
          <w:ilvl w:val="2"/>
          <w:numId w:val="15"/>
        </w:numPr>
      </w:pPr>
      <w:r w:rsidRPr="00C976E2">
        <w:rPr>
          <w:b/>
        </w:rPr>
        <w:t>Gold Mouse, Inc</w:t>
      </w:r>
      <w:r>
        <w:t>. – Order entered on November 24, 2014, granting petition.</w:t>
      </w:r>
    </w:p>
    <w:p w:rsidR="00C976E2" w:rsidRDefault="00C976E2" w:rsidP="00C976E2">
      <w:pPr>
        <w:pStyle w:val="ListParagraph"/>
      </w:pPr>
    </w:p>
    <w:p w:rsidR="00C976E2" w:rsidRDefault="00C976E2" w:rsidP="00795F0A">
      <w:pPr>
        <w:pStyle w:val="BlockText"/>
        <w:numPr>
          <w:ilvl w:val="2"/>
          <w:numId w:val="15"/>
        </w:numPr>
      </w:pPr>
      <w:r w:rsidRPr="00C976E2">
        <w:rPr>
          <w:b/>
        </w:rPr>
        <w:t>Positive Impact Waste Solutions, Inc</w:t>
      </w:r>
      <w:r>
        <w:t>. – Petition filed on May 20,, 2015, seeking a variance or waiver of Rule 64E-16.007(4)(j).</w:t>
      </w:r>
    </w:p>
    <w:p w:rsidR="001C3A80" w:rsidRDefault="001C3A80" w:rsidP="001C3A80">
      <w:pPr>
        <w:pStyle w:val="BlockText"/>
      </w:pPr>
    </w:p>
    <w:p w:rsidR="008F58B8" w:rsidRDefault="00746128" w:rsidP="00DE52F2">
      <w:pPr>
        <w:pStyle w:val="BlockText"/>
      </w:pPr>
      <w:r w:rsidRPr="00746128">
        <w:rPr>
          <w:b/>
        </w:rPr>
        <w:t>D.</w:t>
      </w:r>
      <w:r>
        <w:t xml:space="preserve"> </w:t>
      </w:r>
      <w:r w:rsidR="00C428D0">
        <w:t xml:space="preserve"> </w:t>
      </w:r>
      <w:r w:rsidR="00DE52F2">
        <w:rPr>
          <w:b/>
        </w:rPr>
        <w:t xml:space="preserve">Department of </w:t>
      </w:r>
      <w:r w:rsidR="004E142A" w:rsidRPr="00251EB1">
        <w:rPr>
          <w:b/>
        </w:rPr>
        <w:t>Financial Services</w:t>
      </w:r>
      <w:r w:rsidR="004E142A">
        <w:t xml:space="preserve">: </w:t>
      </w:r>
    </w:p>
    <w:p w:rsidR="00436BA2" w:rsidRDefault="00436BA2" w:rsidP="00436BA2">
      <w:pPr>
        <w:pStyle w:val="BlockText"/>
        <w:ind w:left="720"/>
      </w:pPr>
    </w:p>
    <w:p w:rsidR="0074409F" w:rsidRDefault="00DE52F2" w:rsidP="0074409F">
      <w:pPr>
        <w:pStyle w:val="BlockText"/>
        <w:ind w:left="720"/>
      </w:pPr>
      <w:r>
        <w:t xml:space="preserve">1. </w:t>
      </w:r>
      <w:r w:rsidR="003B59EA">
        <w:t xml:space="preserve"> </w:t>
      </w:r>
      <w:r w:rsidR="00436BA2">
        <w:t>Boiler Safety Act - Chapter 554, F. S., and Chapter 69A-51, F.A.C.</w:t>
      </w:r>
      <w:r w:rsidR="0074409F">
        <w:t xml:space="preserve">: </w:t>
      </w:r>
    </w:p>
    <w:p w:rsidR="002630FF" w:rsidRDefault="002630FF" w:rsidP="0074409F">
      <w:pPr>
        <w:pStyle w:val="BlockText"/>
        <w:ind w:left="720"/>
      </w:pPr>
    </w:p>
    <w:p w:rsidR="002630FF" w:rsidRDefault="0074409F" w:rsidP="00173BB8">
      <w:pPr>
        <w:pStyle w:val="BlockText"/>
        <w:ind w:left="1710" w:hanging="270"/>
      </w:pPr>
      <w:r>
        <w:t xml:space="preserve">a. </w:t>
      </w:r>
      <w:r w:rsidR="002630FF">
        <w:t xml:space="preserve">The following rules have been proposed for adoption or amendment (if any): </w:t>
      </w:r>
      <w:r w:rsidR="00746128">
        <w:t>Nothing new to report.</w:t>
      </w:r>
    </w:p>
    <w:p w:rsidR="002630FF" w:rsidRDefault="002630FF" w:rsidP="002630FF">
      <w:pPr>
        <w:pStyle w:val="BlockText"/>
        <w:ind w:left="1436"/>
      </w:pPr>
    </w:p>
    <w:p w:rsidR="002630FF" w:rsidRDefault="0074409F" w:rsidP="002630FF">
      <w:pPr>
        <w:pStyle w:val="BlockText"/>
        <w:numPr>
          <w:ilvl w:val="0"/>
          <w:numId w:val="27"/>
        </w:numPr>
      </w:pPr>
      <w:r>
        <w:t>The agency has received the following petitions</w:t>
      </w:r>
      <w:r w:rsidR="002630FF">
        <w:t xml:space="preserve"> for Declaratory Statement or Variance/Waiver (if any):</w:t>
      </w:r>
      <w:r w:rsidR="000C5FBA">
        <w:t xml:space="preserve"> None to report</w:t>
      </w:r>
      <w:r w:rsidR="002630FF">
        <w:t>.</w:t>
      </w:r>
    </w:p>
    <w:p w:rsidR="008F58B8" w:rsidRDefault="008F58B8" w:rsidP="002630FF">
      <w:pPr>
        <w:pStyle w:val="BlockText"/>
        <w:ind w:left="1800"/>
      </w:pPr>
    </w:p>
    <w:p w:rsidR="000C5FBA" w:rsidRDefault="003C2DE3" w:rsidP="00C976E2">
      <w:pPr>
        <w:pStyle w:val="BlockText"/>
        <w:numPr>
          <w:ilvl w:val="0"/>
          <w:numId w:val="15"/>
        </w:numPr>
      </w:pPr>
      <w:r>
        <w:t>Division of Workers’ Compensation</w:t>
      </w:r>
      <w:r w:rsidR="004E142A">
        <w:t xml:space="preserve"> – Chapter 440 and 6</w:t>
      </w:r>
      <w:r w:rsidR="00BD42D8">
        <w:t>9L FAC:</w:t>
      </w:r>
      <w:r w:rsidR="0032124B">
        <w:t xml:space="preserve"> The following rules have been proposed for adoption or amendment (if any):</w:t>
      </w:r>
      <w:r w:rsidR="009D3EF7">
        <w:t xml:space="preserve"> </w:t>
      </w:r>
    </w:p>
    <w:p w:rsidR="00C976E2" w:rsidRDefault="00C976E2" w:rsidP="00C976E2">
      <w:pPr>
        <w:pStyle w:val="BlockText"/>
        <w:ind w:left="1080"/>
      </w:pPr>
    </w:p>
    <w:p w:rsidR="00C976E2" w:rsidRDefault="00C976E2" w:rsidP="00C976E2">
      <w:pPr>
        <w:pStyle w:val="BlockText"/>
        <w:numPr>
          <w:ilvl w:val="1"/>
          <w:numId w:val="15"/>
        </w:numPr>
      </w:pPr>
      <w:r w:rsidRPr="0052318D">
        <w:rPr>
          <w:b/>
        </w:rPr>
        <w:t>Rules 69L-6.015 and .025</w:t>
      </w:r>
      <w:r>
        <w:t xml:space="preserve"> regarding record maintenance and production requirements for employers and conditional stop work orders and periodic payment plans.</w:t>
      </w:r>
    </w:p>
    <w:p w:rsidR="000C5FBA" w:rsidRDefault="000C5FBA" w:rsidP="000C5FBA">
      <w:pPr>
        <w:pStyle w:val="BlockText"/>
        <w:ind w:left="1080"/>
      </w:pPr>
    </w:p>
    <w:p w:rsidR="00C428D0" w:rsidRDefault="0032124B" w:rsidP="000C5FBA">
      <w:pPr>
        <w:pStyle w:val="BlockText"/>
        <w:numPr>
          <w:ilvl w:val="1"/>
          <w:numId w:val="15"/>
        </w:numPr>
      </w:pPr>
      <w:r w:rsidRPr="0052318D">
        <w:rPr>
          <w:b/>
        </w:rPr>
        <w:t>Rules 69L-6.027, l027, .028 and .035</w:t>
      </w:r>
      <w:r>
        <w:t xml:space="preserve"> regarding penalty calculation worksheets.</w:t>
      </w:r>
      <w:r w:rsidR="000C5FBA">
        <w:t xml:space="preserve"> Pending results.</w:t>
      </w:r>
    </w:p>
    <w:p w:rsidR="0032124B" w:rsidRDefault="0032124B" w:rsidP="00C976E2">
      <w:pPr>
        <w:pStyle w:val="BlockText"/>
      </w:pPr>
    </w:p>
    <w:p w:rsidR="0032124B" w:rsidRDefault="0032124B" w:rsidP="000C5FBA">
      <w:pPr>
        <w:pStyle w:val="BlockText"/>
        <w:ind w:left="720" w:firstLine="4"/>
      </w:pPr>
      <w:r w:rsidRPr="0032124B">
        <w:rPr>
          <w:b/>
        </w:rPr>
        <w:t>Editor’s Note:</w:t>
      </w:r>
      <w:r>
        <w:t xml:space="preserve"> These changes appear to be in response to recent statutory changes, and not necessarily as a result of the DOAH litigation described </w:t>
      </w:r>
      <w:r w:rsidR="00746128">
        <w:t>in the February</w:t>
      </w:r>
      <w:r w:rsidR="000C5FBA">
        <w:t xml:space="preserve"> report.</w:t>
      </w:r>
    </w:p>
    <w:p w:rsidR="000C5FBA" w:rsidRDefault="000C5FBA" w:rsidP="000C5FBA">
      <w:pPr>
        <w:pStyle w:val="BlockText"/>
        <w:ind w:left="720" w:firstLine="4"/>
      </w:pPr>
    </w:p>
    <w:p w:rsidR="00C428D0" w:rsidRDefault="00C428D0" w:rsidP="00C428D0">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74409F">
      <w:pPr>
        <w:pStyle w:val="BlockText"/>
      </w:pPr>
    </w:p>
    <w:p w:rsidR="00876A95" w:rsidRDefault="0001260C" w:rsidP="002630FF">
      <w:pPr>
        <w:pStyle w:val="BlockText"/>
        <w:numPr>
          <w:ilvl w:val="0"/>
          <w:numId w:val="15"/>
        </w:numPr>
      </w:pPr>
      <w:r>
        <w:t xml:space="preserve">Office of State Fire Marshal - Chapter 633, Florida Statutes and Chapter 69A, F.C.A.: </w:t>
      </w:r>
    </w:p>
    <w:p w:rsidR="00876A95" w:rsidRDefault="00876A95" w:rsidP="00876A95">
      <w:pPr>
        <w:pStyle w:val="BlockText"/>
        <w:ind w:left="1080"/>
      </w:pPr>
    </w:p>
    <w:p w:rsidR="00BE7267" w:rsidRDefault="000E282A" w:rsidP="00086D79">
      <w:pPr>
        <w:pStyle w:val="BlockText"/>
        <w:numPr>
          <w:ilvl w:val="1"/>
          <w:numId w:val="15"/>
        </w:numPr>
        <w:ind w:left="1800"/>
      </w:pPr>
      <w:r>
        <w:t>The following rules are being proposed or amended</w:t>
      </w:r>
      <w:r w:rsidR="001D2330">
        <w:t xml:space="preserve"> (if any)</w:t>
      </w:r>
      <w:r>
        <w:t>:</w:t>
      </w:r>
      <w:r w:rsidR="00DF2996">
        <w:t xml:space="preserve"> </w:t>
      </w:r>
      <w:r w:rsidR="00FC4FC5">
        <w:t>Proposed changes to Rule 69A-62,024 regarding firefighter living and sleeping quarters and the prevention of contaminated equipment being carried in crew passenger areas have been changed.</w:t>
      </w:r>
    </w:p>
    <w:p w:rsidR="006531D6" w:rsidRDefault="006531D6" w:rsidP="006531D6">
      <w:pPr>
        <w:pStyle w:val="BlockText"/>
        <w:ind w:left="2340"/>
      </w:pPr>
    </w:p>
    <w:p w:rsidR="005C76EE" w:rsidRDefault="000E282A" w:rsidP="002630FF">
      <w:pPr>
        <w:pStyle w:val="BlockText"/>
        <w:numPr>
          <w:ilvl w:val="1"/>
          <w:numId w:val="15"/>
        </w:numPr>
      </w:pPr>
      <w:r>
        <w:t xml:space="preserve">The following petitions for Declaratory Statement </w:t>
      </w:r>
      <w:r w:rsidR="0017420F">
        <w:t xml:space="preserve">and petitions for Variance or Waiver </w:t>
      </w:r>
      <w:r>
        <w:t>have been received or disposed of:</w:t>
      </w:r>
      <w:r w:rsidR="0052318D">
        <w:t xml:space="preserve"> </w:t>
      </w:r>
    </w:p>
    <w:p w:rsidR="0052318D" w:rsidRDefault="0052318D" w:rsidP="0052318D">
      <w:pPr>
        <w:pStyle w:val="ListParagraph"/>
      </w:pPr>
    </w:p>
    <w:p w:rsidR="0052318D" w:rsidRDefault="0052318D" w:rsidP="0052318D">
      <w:pPr>
        <w:pStyle w:val="BlockText"/>
        <w:numPr>
          <w:ilvl w:val="2"/>
          <w:numId w:val="15"/>
        </w:numPr>
      </w:pPr>
      <w:r w:rsidRPr="0052318D">
        <w:rPr>
          <w:b/>
        </w:rPr>
        <w:t>Richard Coates</w:t>
      </w:r>
      <w:r>
        <w:t xml:space="preserve"> – filed on February 9, 2015, seeking a determination of the applicability of the Florida Fire Protection Code to a burned boat house was denied on May 8, 2015, because it involved the conduct of another person/entity.</w:t>
      </w:r>
    </w:p>
    <w:p w:rsidR="0052318D" w:rsidRDefault="0052318D" w:rsidP="0052318D">
      <w:pPr>
        <w:pStyle w:val="BlockText"/>
        <w:ind w:left="2520"/>
      </w:pPr>
    </w:p>
    <w:p w:rsidR="0052318D" w:rsidRDefault="0052318D" w:rsidP="0052318D">
      <w:pPr>
        <w:pStyle w:val="BlockText"/>
        <w:numPr>
          <w:ilvl w:val="2"/>
          <w:numId w:val="15"/>
        </w:numPr>
      </w:pPr>
      <w:r w:rsidRPr="0052318D">
        <w:rPr>
          <w:b/>
        </w:rPr>
        <w:t>Eric A. Neilinger</w:t>
      </w:r>
      <w:r>
        <w:t xml:space="preserve"> – filed on April 29, 2015, seeking a determination as to whether Miami-Dade ordinance 14-66 is valid and enforceable, and take precedence over the Florida Fire Prevention Code.</w:t>
      </w:r>
    </w:p>
    <w:p w:rsidR="00640C66" w:rsidRDefault="00640C66" w:rsidP="000C5FBA">
      <w:pPr>
        <w:pStyle w:val="BlockText"/>
      </w:pPr>
    </w:p>
    <w:p w:rsidR="00640C66" w:rsidRDefault="00640C66" w:rsidP="00640C66">
      <w:pPr>
        <w:pStyle w:val="BlockText"/>
        <w:ind w:left="720"/>
      </w:pPr>
      <w:r w:rsidRPr="00640C66">
        <w:rPr>
          <w:b/>
        </w:rPr>
        <w:t>Editor’s Note:</w:t>
      </w:r>
      <w:r>
        <w:t xml:space="preserve"> There are dozens of such petitions filed each month, primarily seeking interpretation of the Fire Code. Due to the specialized nature of these requests, we have discontinued reporting </w:t>
      </w:r>
      <w:r w:rsidR="000C5FBA">
        <w:t xml:space="preserve">all of </w:t>
      </w:r>
      <w:r>
        <w:t xml:space="preserve">them; however, if anyone is interested in the department’s interpretation of a particular code section, these statements can be found on the division website. </w:t>
      </w:r>
    </w:p>
    <w:p w:rsidR="00DD6729" w:rsidRDefault="00DD6729" w:rsidP="00997BD1">
      <w:pPr>
        <w:pStyle w:val="BlockText"/>
      </w:pPr>
    </w:p>
    <w:p w:rsidR="00C416D8" w:rsidRDefault="008476AE" w:rsidP="00997BD1">
      <w:pPr>
        <w:pStyle w:val="BlockText"/>
        <w:rPr>
          <w:b/>
          <w:i/>
          <w:u w:val="single"/>
        </w:rPr>
      </w:pPr>
      <w:r w:rsidRPr="003C2DE3">
        <w:rPr>
          <w:b/>
          <w:u w:val="single"/>
        </w:rPr>
        <w:t>Reminder:</w:t>
      </w:r>
      <w:r>
        <w:t xml:space="preserve"> </w:t>
      </w:r>
      <w:r w:rsidR="0001260C">
        <w:t>Rule 69A-60.003, amended ef</w:t>
      </w:r>
      <w:r w:rsidR="00B40FA6">
        <w:t xml:space="preserve">fective May 1, 2013, </w:t>
      </w:r>
      <w:r w:rsidR="00997BD1">
        <w:t>and adopted</w:t>
      </w:r>
      <w:r w:rsidR="00B40FA6">
        <w:t xml:space="preserve"> </w:t>
      </w:r>
      <w:r w:rsidR="0001260C">
        <w:t>NPR 1, the Fire Code, Florida 2009 edition (as amended 3/2013 to add Section 18.4.1.3 to Section 18.4 - Fire Flow Requirements for Buildings).</w:t>
      </w:r>
      <w:r w:rsidR="003C2DE3">
        <w:t xml:space="preserve"> </w:t>
      </w:r>
      <w:r w:rsidR="00997BD1">
        <w:t>S</w:t>
      </w:r>
      <w:r w:rsidR="00757661">
        <w:t>ection 633.0215(6)(b)</w:t>
      </w:r>
      <w:r w:rsidR="00997BD1">
        <w:t>, effective July 1, 2013,</w:t>
      </w:r>
      <w:r w:rsidR="00757661">
        <w:t xml:space="preserve"> EXMEPTS certain structures from application of the Florida Fire Prevention Code.</w:t>
      </w:r>
      <w:r w:rsidR="00997BD1" w:rsidRPr="00997BD1">
        <w:rPr>
          <w:b/>
        </w:rPr>
        <w:t xml:space="preserve"> </w:t>
      </w:r>
    </w:p>
    <w:p w:rsidR="004271D8" w:rsidRDefault="004271D8" w:rsidP="005C76EE">
      <w:pPr>
        <w:pStyle w:val="BlockText"/>
        <w:rPr>
          <w:b/>
          <w:u w:val="single"/>
        </w:rPr>
      </w:pPr>
    </w:p>
    <w:p w:rsidR="00BC261C" w:rsidRDefault="00CF37B7" w:rsidP="005C76EE">
      <w:pPr>
        <w:pStyle w:val="BlockText"/>
      </w:pPr>
      <w:r w:rsidRPr="00CD02EB">
        <w:rPr>
          <w:b/>
          <w:u w:val="single"/>
        </w:rPr>
        <w:t>Legislative Action:</w:t>
      </w:r>
      <w:r w:rsidR="00156092">
        <w:t xml:space="preserve"> </w:t>
      </w:r>
      <w:r w:rsidR="00CC4315">
        <w:t xml:space="preserve"> During t</w:t>
      </w:r>
      <w:r w:rsidR="00431C88">
        <w:t>he 2015 Re</w:t>
      </w:r>
      <w:r w:rsidR="00BC261C">
        <w:t>gu</w:t>
      </w:r>
      <w:r w:rsidR="00CC4315">
        <w:t>lar Legislative Session, t</w:t>
      </w:r>
      <w:r w:rsidR="00BC261C">
        <w:t xml:space="preserve">he </w:t>
      </w:r>
      <w:r w:rsidR="00431C88">
        <w:t xml:space="preserve">following </w:t>
      </w:r>
      <w:r w:rsidR="00997BB1">
        <w:t xml:space="preserve">MAJOR </w:t>
      </w:r>
      <w:r w:rsidR="00431C88">
        <w:t>bills affecting the const</w:t>
      </w:r>
      <w:r w:rsidR="00BC261C">
        <w:t xml:space="preserve">ruction industry were </w:t>
      </w:r>
      <w:r w:rsidR="00BC261C" w:rsidRPr="0045633D">
        <w:rPr>
          <w:b/>
          <w:i/>
          <w:u w:val="single"/>
        </w:rPr>
        <w:t>PASSED</w:t>
      </w:r>
      <w:r w:rsidR="0045633D">
        <w:rPr>
          <w:b/>
          <w:i/>
          <w:u w:val="single"/>
        </w:rPr>
        <w:t>, all of which are effective on July 1</w:t>
      </w:r>
      <w:r w:rsidR="0045633D" w:rsidRPr="0045633D">
        <w:rPr>
          <w:b/>
          <w:i/>
          <w:u w:val="single"/>
          <w:vertAlign w:val="superscript"/>
        </w:rPr>
        <w:t>st</w:t>
      </w:r>
      <w:r w:rsidR="0045633D">
        <w:rPr>
          <w:b/>
          <w:i/>
          <w:u w:val="single"/>
        </w:rPr>
        <w:t>, except HB 87 and HB 383, which are effective on October 1st</w:t>
      </w:r>
      <w:r w:rsidR="00BC261C">
        <w:t>:</w:t>
      </w:r>
    </w:p>
    <w:p w:rsidR="00E435B7" w:rsidRPr="00E435B7" w:rsidRDefault="00E435B7" w:rsidP="0045633D">
      <w:pPr>
        <w:rPr>
          <w:rFonts w:cs="Times New Roman"/>
        </w:rPr>
      </w:pPr>
      <w:r w:rsidRPr="00E435B7">
        <w:rPr>
          <w:rFonts w:cs="Times New Roman"/>
        </w:rPr>
        <w:t>House Bill 87: Chapter 558 – Notice to Cure</w:t>
      </w:r>
      <w:r w:rsidR="0045633D">
        <w:rPr>
          <w:rFonts w:cs="Times New Roman"/>
        </w:rPr>
        <w:t xml:space="preserve"> (Notice of Claim)</w:t>
      </w:r>
    </w:p>
    <w:p w:rsidR="00E435B7" w:rsidRPr="00E435B7" w:rsidRDefault="00E435B7" w:rsidP="0045633D">
      <w:pPr>
        <w:rPr>
          <w:rFonts w:cs="Times New Roman"/>
        </w:rPr>
      </w:pPr>
      <w:r w:rsidRPr="00E435B7">
        <w:rPr>
          <w:rFonts w:cs="Times New Roman"/>
        </w:rPr>
        <w:t>House Bill 217: Chapter 471 – Engineers</w:t>
      </w:r>
      <w:r w:rsidR="0045633D">
        <w:rPr>
          <w:rFonts w:cs="Times New Roman"/>
        </w:rPr>
        <w:t xml:space="preserve"> (Structural Classification)</w:t>
      </w:r>
    </w:p>
    <w:p w:rsidR="00E435B7" w:rsidRPr="00E435B7" w:rsidRDefault="00E435B7" w:rsidP="0045633D">
      <w:pPr>
        <w:rPr>
          <w:rFonts w:cs="Times New Roman"/>
        </w:rPr>
      </w:pPr>
      <w:r w:rsidRPr="00E435B7">
        <w:rPr>
          <w:rFonts w:cs="Times New Roman"/>
        </w:rPr>
        <w:t>House Bill 383: Chapter 70 – Private Property Rights</w:t>
      </w:r>
      <w:r w:rsidR="0045633D">
        <w:rPr>
          <w:rFonts w:cs="Times New Roman"/>
        </w:rPr>
        <w:t xml:space="preserve"> (Bert Harris, Jr. Act)</w:t>
      </w:r>
    </w:p>
    <w:p w:rsidR="00E435B7" w:rsidRPr="00E435B7" w:rsidRDefault="00E435B7" w:rsidP="0045633D">
      <w:pPr>
        <w:rPr>
          <w:rFonts w:cs="Times New Roman"/>
        </w:rPr>
      </w:pPr>
      <w:r w:rsidRPr="00E435B7">
        <w:rPr>
          <w:rFonts w:cs="Times New Roman"/>
        </w:rPr>
        <w:t>Senate Bill 466: Chapter 553 – Alarm Systems</w:t>
      </w:r>
      <w:r w:rsidR="0045633D">
        <w:rPr>
          <w:rFonts w:cs="Times New Roman"/>
        </w:rPr>
        <w:t xml:space="preserve"> (wireless systems)</w:t>
      </w:r>
    </w:p>
    <w:p w:rsidR="00E435B7" w:rsidRPr="00E435B7" w:rsidRDefault="00E435B7" w:rsidP="0045633D">
      <w:pPr>
        <w:rPr>
          <w:rFonts w:cs="Times New Roman"/>
        </w:rPr>
      </w:pPr>
      <w:r w:rsidRPr="00E435B7">
        <w:rPr>
          <w:rFonts w:cs="Times New Roman"/>
        </w:rPr>
        <w:t>Senate Bill 778: Chapter 255 – Public Works Contracts</w:t>
      </w:r>
      <w:r w:rsidR="0045633D">
        <w:rPr>
          <w:rFonts w:cs="Times New Roman"/>
        </w:rPr>
        <w:t xml:space="preserve"> (Local bidding preferences)</w:t>
      </w:r>
    </w:p>
    <w:p w:rsidR="00E435B7" w:rsidRDefault="00E435B7" w:rsidP="0045633D">
      <w:pPr>
        <w:rPr>
          <w:rFonts w:cs="Times New Roman"/>
        </w:rPr>
      </w:pPr>
      <w:r w:rsidRPr="00E435B7">
        <w:rPr>
          <w:rFonts w:cs="Times New Roman"/>
        </w:rPr>
        <w:t xml:space="preserve">House Bill 1151: Chapter 553 – Master Permitting </w:t>
      </w:r>
      <w:r w:rsidR="0045633D">
        <w:rPr>
          <w:rFonts w:cs="Times New Roman"/>
        </w:rPr>
        <w:t>(County option for residential)</w:t>
      </w:r>
    </w:p>
    <w:p w:rsidR="00E435B7" w:rsidRPr="00E435B7" w:rsidRDefault="00E435B7" w:rsidP="00E435B7">
      <w:pPr>
        <w:ind w:firstLine="720"/>
        <w:rPr>
          <w:rFonts w:cs="Times New Roman"/>
        </w:rPr>
      </w:pPr>
    </w:p>
    <w:p w:rsidR="00E435B7" w:rsidRPr="00E435B7" w:rsidRDefault="00E435B7" w:rsidP="00E435B7">
      <w:pPr>
        <w:jc w:val="center"/>
        <w:rPr>
          <w:rFonts w:cs="Times New Roman"/>
          <w:u w:val="single"/>
        </w:rPr>
      </w:pPr>
      <w:r w:rsidRPr="00E435B7">
        <w:rPr>
          <w:rFonts w:cs="Times New Roman"/>
          <w:u w:val="single"/>
        </w:rPr>
        <w:t>NOTE:</w:t>
      </w:r>
    </w:p>
    <w:p w:rsidR="00E435B7" w:rsidRPr="00E435B7" w:rsidRDefault="00E435B7" w:rsidP="00E435B7">
      <w:pPr>
        <w:jc w:val="both"/>
        <w:rPr>
          <w:rFonts w:cs="Times New Roman"/>
        </w:rPr>
      </w:pPr>
      <w:r w:rsidRPr="00E435B7">
        <w:rPr>
          <w:rFonts w:cs="Times New Roman"/>
        </w:rPr>
        <w:t>Once a bill has passed both chambers, it is “enrolled,” which means it is the final version that will be presented to the Governor, who then has only 15 days to veto, signing or allow the bill to become law without his signature. “Presentment” of a bill to the Governor requires a certification signed by both presiding officers that the bill has passed the respective chamber, but here is NO DEADLINE by which the bill must be so presented.</w:t>
      </w:r>
    </w:p>
    <w:p w:rsidR="00E435B7" w:rsidRPr="00E435B7" w:rsidRDefault="00E435B7" w:rsidP="00E435B7">
      <w:pPr>
        <w:jc w:val="both"/>
        <w:rPr>
          <w:rFonts w:cs="Times New Roman"/>
        </w:rPr>
      </w:pPr>
    </w:p>
    <w:p w:rsidR="00E435B7" w:rsidRDefault="00E435B7" w:rsidP="00E435B7">
      <w:pPr>
        <w:jc w:val="center"/>
        <w:rPr>
          <w:rFonts w:cs="Times New Roman"/>
          <w:u w:val="single"/>
        </w:rPr>
      </w:pPr>
      <w:r w:rsidRPr="00E435B7">
        <w:rPr>
          <w:rFonts w:cs="Times New Roman"/>
          <w:u w:val="single"/>
        </w:rPr>
        <w:t xml:space="preserve">BILLS THAT </w:t>
      </w:r>
      <w:r w:rsidRPr="00E435B7">
        <w:rPr>
          <w:rFonts w:cs="Times New Roman"/>
          <w:b/>
          <w:u w:val="single"/>
        </w:rPr>
        <w:t>DIDN’T</w:t>
      </w:r>
      <w:r w:rsidRPr="00E435B7">
        <w:rPr>
          <w:rFonts w:cs="Times New Roman"/>
          <w:u w:val="single"/>
        </w:rPr>
        <w:t xml:space="preserve"> PASS:</w:t>
      </w:r>
    </w:p>
    <w:p w:rsidR="00E435B7" w:rsidRPr="00E435B7" w:rsidRDefault="00E435B7" w:rsidP="00E435B7">
      <w:pPr>
        <w:jc w:val="center"/>
        <w:rPr>
          <w:rFonts w:cs="Times New Roman"/>
          <w:u w:val="single"/>
        </w:rPr>
      </w:pPr>
    </w:p>
    <w:p w:rsidR="00E435B7" w:rsidRPr="00E435B7" w:rsidRDefault="00E435B7" w:rsidP="00E435B7">
      <w:pPr>
        <w:ind w:left="720" w:firstLine="720"/>
        <w:rPr>
          <w:rFonts w:cs="Times New Roman"/>
        </w:rPr>
      </w:pPr>
      <w:r w:rsidRPr="00E435B7">
        <w:rPr>
          <w:rFonts w:cs="Times New Roman"/>
        </w:rPr>
        <w:t>House Bills 63 and 65 – Public-Private Partnerships</w:t>
      </w:r>
    </w:p>
    <w:p w:rsidR="00E435B7" w:rsidRPr="00E435B7" w:rsidRDefault="00E435B7" w:rsidP="00E435B7">
      <w:pPr>
        <w:ind w:left="720" w:firstLine="720"/>
        <w:rPr>
          <w:rFonts w:cs="Times New Roman"/>
        </w:rPr>
      </w:pPr>
      <w:r w:rsidRPr="00E435B7">
        <w:rPr>
          <w:rFonts w:cs="Times New Roman"/>
        </w:rPr>
        <w:t>Senate Bill 224 – Public Records/Public Contracts</w:t>
      </w:r>
    </w:p>
    <w:p w:rsidR="00E435B7" w:rsidRPr="00E435B7" w:rsidRDefault="00E435B7" w:rsidP="00E435B7">
      <w:pPr>
        <w:ind w:left="720" w:firstLine="720"/>
        <w:rPr>
          <w:rFonts w:cs="Times New Roman"/>
        </w:rPr>
      </w:pPr>
      <w:r w:rsidRPr="00E435B7">
        <w:rPr>
          <w:rFonts w:cs="Times New Roman"/>
        </w:rPr>
        <w:t>House Bill 501 – Statute of Repose (reduction to 7 years)</w:t>
      </w:r>
    </w:p>
    <w:p w:rsidR="00E435B7" w:rsidRDefault="00E435B7" w:rsidP="00E435B7">
      <w:pPr>
        <w:ind w:left="720" w:firstLine="720"/>
        <w:rPr>
          <w:rFonts w:cs="Times New Roman"/>
        </w:rPr>
      </w:pPr>
      <w:r w:rsidRPr="00E435B7">
        <w:rPr>
          <w:rFonts w:cs="Times New Roman"/>
        </w:rPr>
        <w:t>House Bill 915 – Florida Building Code</w:t>
      </w:r>
    </w:p>
    <w:p w:rsidR="0052318D" w:rsidRPr="00E435B7" w:rsidRDefault="0052318D" w:rsidP="00E435B7">
      <w:pPr>
        <w:ind w:left="720" w:firstLine="720"/>
        <w:rPr>
          <w:rFonts w:cs="Times New Roman"/>
        </w:rPr>
      </w:pPr>
    </w:p>
    <w:p w:rsidR="00BC261C" w:rsidRDefault="00BC261C" w:rsidP="002B78B0">
      <w:pPr>
        <w:pStyle w:val="BlockText"/>
      </w:pPr>
    </w:p>
    <w:p w:rsidR="00BC261C" w:rsidRDefault="00BC261C" w:rsidP="002B78B0">
      <w:pPr>
        <w:pStyle w:val="BlockText"/>
      </w:pPr>
      <w:r>
        <w:t>Respectfully submitted,</w:t>
      </w:r>
    </w:p>
    <w:p w:rsidR="00BC261C" w:rsidRDefault="00BC261C" w:rsidP="002B78B0">
      <w:pPr>
        <w:pStyle w:val="BlockText"/>
      </w:pPr>
      <w:r>
        <w:t>Fred R. Dudley, Esq.</w:t>
      </w:r>
    </w:p>
    <w:p w:rsidR="00502614" w:rsidRDefault="00502614" w:rsidP="002B78B0">
      <w:pPr>
        <w:pStyle w:val="BlockText"/>
      </w:pPr>
      <w:r>
        <w:t xml:space="preserve">Seller </w:t>
      </w:r>
      <w:r w:rsidR="00C10E53">
        <w:t xml:space="preserve">E. </w:t>
      </w:r>
      <w:r>
        <w:t>Sellers</w:t>
      </w:r>
      <w:r w:rsidR="001F0D0C">
        <w:t>, Esq.</w:t>
      </w:r>
    </w:p>
    <w:p w:rsidR="00997BD1" w:rsidRDefault="00997BD1" w:rsidP="002B78B0">
      <w:pPr>
        <w:pStyle w:val="BlockText"/>
      </w:pPr>
      <w:r>
        <w:t>Tallahassee, Florida</w:t>
      </w:r>
    </w:p>
    <w:p w:rsidR="00466EB9" w:rsidRDefault="0052318D" w:rsidP="002B78B0">
      <w:pPr>
        <w:pStyle w:val="BlockText"/>
      </w:pPr>
      <w:r>
        <w:t>June 8</w:t>
      </w:r>
      <w:r w:rsidR="0029168D">
        <w:t>, 2</w:t>
      </w:r>
      <w:r w:rsidR="004271D8">
        <w:t>015</w:t>
      </w:r>
    </w:p>
    <w:sectPr w:rsidR="00466EB9" w:rsidSect="009A10B6">
      <w:footerReference w:type="default" r:id="rId8"/>
      <w:footerReference w:type="first" r:id="rId9"/>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945" w:rsidRDefault="00A52945" w:rsidP="009A2CBA">
      <w:r>
        <w:separator/>
      </w:r>
    </w:p>
  </w:endnote>
  <w:endnote w:type="continuationSeparator" w:id="0">
    <w:p w:rsidR="00A52945" w:rsidRDefault="00A52945"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B40FA6" w:rsidRDefault="00FF5097" w:rsidP="000421B5">
    <w:pPr>
      <w:pStyle w:val="Footer"/>
      <w:rPr>
        <w:rStyle w:val="DocID"/>
        <w:sz w:val="24"/>
      </w:rPr>
    </w:pPr>
    <w:r>
      <w:tab/>
    </w:r>
    <w:r>
      <w:fldChar w:fldCharType="begin"/>
    </w:r>
    <w:r>
      <w:instrText xml:space="preserve"> PAGE   \* MERGEFORMAT </w:instrText>
    </w:r>
    <w:r>
      <w:fldChar w:fldCharType="separate"/>
    </w:r>
    <w:r w:rsidR="008E1FA4">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911FE4" w:rsidRDefault="00FF5097"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8E1FA4">
      <w:rPr>
        <w:noProof/>
        <w:sz w:val="20"/>
      </w:rPr>
      <w:instrText>8</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945" w:rsidRDefault="00A52945" w:rsidP="009A2CBA">
      <w:r>
        <w:separator/>
      </w:r>
    </w:p>
  </w:footnote>
  <w:footnote w:type="continuationSeparator" w:id="0">
    <w:p w:rsidR="00A52945" w:rsidRDefault="00A52945" w:rsidP="009A2CBA">
      <w:r>
        <w:continuationSeparator/>
      </w:r>
    </w:p>
  </w:footnote>
  <w:footnote w:id="1">
    <w:p w:rsidR="00FF5097" w:rsidRDefault="00FF5097">
      <w:pPr>
        <w:pStyle w:val="FootnoteText"/>
      </w:pPr>
      <w:r>
        <w:rPr>
          <w:rStyle w:val="FootnoteReference"/>
        </w:rPr>
        <w:footnoteRef/>
      </w:r>
      <w:r>
        <w:t xml:space="preserve"> Not surprisingly, this rule is ripe for legal challenge if the board fails to define “habitability” and “new” in such a way as to encourage, rather than discourage, license applications</w:t>
      </w:r>
      <w:r w:rsidR="00F15DD6">
        <w:t xml:space="preserve">, and </w:t>
      </w:r>
      <w:r w:rsidR="00072343">
        <w:t xml:space="preserve">is </w:t>
      </w:r>
      <w:r w:rsidR="00F15DD6">
        <w:t>within its legislative authority</w:t>
      </w:r>
      <w:r>
        <w:t>.</w:t>
      </w:r>
    </w:p>
  </w:footnote>
  <w:footnote w:id="2">
    <w:p w:rsidR="00FF5097" w:rsidRPr="0038047E" w:rsidRDefault="00FF5097" w:rsidP="00491907">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w:t>
      </w:r>
    </w:p>
    <w:p w:rsidR="00FF5097" w:rsidRDefault="00FF5097" w:rsidP="004E142A">
      <w:pPr>
        <w:pStyle w:val="BlockText"/>
      </w:pPr>
    </w:p>
    <w:p w:rsidR="00FF5097" w:rsidRDefault="00FF5097"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06C845F6"/>
    <w:multiLevelType w:val="hybridMultilevel"/>
    <w:tmpl w:val="0520DBCC"/>
    <w:lvl w:ilvl="0" w:tplc="30A0DE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B492D1FC">
      <w:start w:val="1"/>
      <w:numFmt w:val="lowerRoman"/>
      <w:lvlText w:val="%3."/>
      <w:lvlJc w:val="right"/>
      <w:pPr>
        <w:ind w:left="3240" w:hanging="180"/>
      </w:pPr>
      <w:rPr>
        <w:rFonts w:ascii="Times New Roman" w:eastAsiaTheme="minorEastAsia" w:hAnsi="Times New Roman" w:cstheme="minorBid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842C8E"/>
    <w:multiLevelType w:val="multilevel"/>
    <w:tmpl w:val="E1B0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70347"/>
    <w:multiLevelType w:val="hybridMultilevel"/>
    <w:tmpl w:val="83EA3382"/>
    <w:lvl w:ilvl="0" w:tplc="69649F7A">
      <w:start w:val="2"/>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2866245"/>
    <w:multiLevelType w:val="multilevel"/>
    <w:tmpl w:val="666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47BA5"/>
    <w:multiLevelType w:val="hybridMultilevel"/>
    <w:tmpl w:val="F356D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1E0D0B"/>
    <w:multiLevelType w:val="hybridMultilevel"/>
    <w:tmpl w:val="9AC62A5C"/>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0F4A2B"/>
    <w:multiLevelType w:val="multilevel"/>
    <w:tmpl w:val="1B34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B62313"/>
    <w:multiLevelType w:val="multilevel"/>
    <w:tmpl w:val="8A14B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AC7912"/>
    <w:multiLevelType w:val="multilevel"/>
    <w:tmpl w:val="D47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036A7"/>
    <w:multiLevelType w:val="multilevel"/>
    <w:tmpl w:val="E52A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B702DC"/>
    <w:multiLevelType w:val="hybridMultilevel"/>
    <w:tmpl w:val="3BBC0568"/>
    <w:lvl w:ilvl="0" w:tplc="3CA63BF8">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122782"/>
    <w:multiLevelType w:val="multilevel"/>
    <w:tmpl w:val="B052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50E0A57"/>
    <w:multiLevelType w:val="hybridMultilevel"/>
    <w:tmpl w:val="15469CD4"/>
    <w:lvl w:ilvl="0" w:tplc="7E4CA22E">
      <w:start w:val="1"/>
      <w:numFmt w:val="decimal"/>
      <w:lvlText w:val="%1."/>
      <w:lvlJc w:val="left"/>
      <w:pPr>
        <w:ind w:left="1080" w:hanging="360"/>
      </w:pPr>
      <w:rPr>
        <w:rFonts w:hint="default"/>
      </w:rPr>
    </w:lvl>
    <w:lvl w:ilvl="1" w:tplc="C2C82888">
      <w:start w:val="1"/>
      <w:numFmt w:val="lowerRoman"/>
      <w:lvlText w:val="%2."/>
      <w:lvlJc w:val="left"/>
      <w:pPr>
        <w:ind w:left="1800" w:hanging="360"/>
      </w:pPr>
      <w:rPr>
        <w:rFonts w:ascii="Times New Roman" w:eastAsiaTheme="minorEastAsia" w:hAnsi="Times New Roman" w:cstheme="minorBidi"/>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787DFB"/>
    <w:multiLevelType w:val="multilevel"/>
    <w:tmpl w:val="B90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F81DD0"/>
    <w:multiLevelType w:val="hybridMultilevel"/>
    <w:tmpl w:val="C1A67A6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08162AD"/>
    <w:multiLevelType w:val="hybridMultilevel"/>
    <w:tmpl w:val="63F055DC"/>
    <w:lvl w:ilvl="0" w:tplc="717AC844">
      <w:start w:val="9"/>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15:restartNumberingAfterBreak="0">
    <w:nsid w:val="440002EB"/>
    <w:multiLevelType w:val="multilevel"/>
    <w:tmpl w:val="409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56C2A"/>
    <w:multiLevelType w:val="hybridMultilevel"/>
    <w:tmpl w:val="9EEEC288"/>
    <w:lvl w:ilvl="0" w:tplc="F2147C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148088C"/>
    <w:multiLevelType w:val="hybridMultilevel"/>
    <w:tmpl w:val="D8582808"/>
    <w:lvl w:ilvl="0" w:tplc="42AE776C">
      <w:start w:val="2"/>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57826040"/>
    <w:multiLevelType w:val="hybridMultilevel"/>
    <w:tmpl w:val="FC80830C"/>
    <w:lvl w:ilvl="0" w:tplc="A3C8B76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9A5854"/>
    <w:multiLevelType w:val="multilevel"/>
    <w:tmpl w:val="AE06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B73C9"/>
    <w:multiLevelType w:val="multilevel"/>
    <w:tmpl w:val="74D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CE150D"/>
    <w:multiLevelType w:val="hybridMultilevel"/>
    <w:tmpl w:val="869EE4C2"/>
    <w:lvl w:ilvl="0" w:tplc="04090019">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9DF5132"/>
    <w:multiLevelType w:val="multilevel"/>
    <w:tmpl w:val="482E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AE4765"/>
    <w:multiLevelType w:val="hybridMultilevel"/>
    <w:tmpl w:val="6F64C03A"/>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B15EAF"/>
    <w:multiLevelType w:val="multilevel"/>
    <w:tmpl w:val="7130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675D07"/>
    <w:multiLevelType w:val="multilevel"/>
    <w:tmpl w:val="5F5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DE24A6"/>
    <w:multiLevelType w:val="hybridMultilevel"/>
    <w:tmpl w:val="7F6E23C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4"/>
  </w:num>
  <w:num w:numId="4">
    <w:abstractNumId w:val="39"/>
  </w:num>
  <w:num w:numId="5">
    <w:abstractNumId w:val="29"/>
  </w:num>
  <w:num w:numId="6">
    <w:abstractNumId w:val="40"/>
  </w:num>
  <w:num w:numId="7">
    <w:abstractNumId w:val="10"/>
  </w:num>
  <w:num w:numId="8">
    <w:abstractNumId w:val="15"/>
  </w:num>
  <w:num w:numId="9">
    <w:abstractNumId w:val="3"/>
  </w:num>
  <w:num w:numId="10">
    <w:abstractNumId w:val="1"/>
  </w:num>
  <w:num w:numId="11">
    <w:abstractNumId w:val="21"/>
  </w:num>
  <w:num w:numId="12">
    <w:abstractNumId w:val="4"/>
  </w:num>
  <w:num w:numId="13">
    <w:abstractNumId w:val="24"/>
  </w:num>
  <w:num w:numId="14">
    <w:abstractNumId w:val="11"/>
  </w:num>
  <w:num w:numId="15">
    <w:abstractNumId w:val="18"/>
  </w:num>
  <w:num w:numId="16">
    <w:abstractNumId w:val="20"/>
  </w:num>
  <w:num w:numId="17">
    <w:abstractNumId w:val="38"/>
  </w:num>
  <w:num w:numId="18">
    <w:abstractNumId w:val="12"/>
  </w:num>
  <w:num w:numId="19">
    <w:abstractNumId w:val="26"/>
  </w:num>
  <w:num w:numId="20">
    <w:abstractNumId w:val="23"/>
  </w:num>
  <w:num w:numId="21">
    <w:abstractNumId w:val="5"/>
  </w:num>
  <w:num w:numId="22">
    <w:abstractNumId w:val="9"/>
  </w:num>
  <w:num w:numId="23">
    <w:abstractNumId w:val="28"/>
  </w:num>
  <w:num w:numId="24">
    <w:abstractNumId w:val="35"/>
  </w:num>
  <w:num w:numId="25">
    <w:abstractNumId w:val="7"/>
  </w:num>
  <w:num w:numId="26">
    <w:abstractNumId w:val="32"/>
  </w:num>
  <w:num w:numId="27">
    <w:abstractNumId w:val="27"/>
  </w:num>
  <w:num w:numId="28">
    <w:abstractNumId w:val="14"/>
  </w:num>
  <w:num w:numId="29">
    <w:abstractNumId w:val="33"/>
  </w:num>
  <w:num w:numId="30">
    <w:abstractNumId w:val="16"/>
  </w:num>
  <w:num w:numId="31">
    <w:abstractNumId w:val="37"/>
  </w:num>
  <w:num w:numId="32">
    <w:abstractNumId w:val="25"/>
  </w:num>
  <w:num w:numId="33">
    <w:abstractNumId w:val="13"/>
  </w:num>
  <w:num w:numId="34">
    <w:abstractNumId w:val="31"/>
  </w:num>
  <w:num w:numId="35">
    <w:abstractNumId w:val="36"/>
  </w:num>
  <w:num w:numId="36">
    <w:abstractNumId w:val="30"/>
  </w:num>
  <w:num w:numId="37">
    <w:abstractNumId w:val="8"/>
  </w:num>
  <w:num w:numId="38">
    <w:abstractNumId w:val="22"/>
  </w:num>
  <w:num w:numId="39">
    <w:abstractNumId w:val="6"/>
  </w:num>
  <w:num w:numId="40">
    <w:abstractNumId w:val="19"/>
  </w:num>
  <w:num w:numId="4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1776"/>
    <w:rsid w:val="0001260C"/>
    <w:rsid w:val="00013164"/>
    <w:rsid w:val="00016A29"/>
    <w:rsid w:val="0002257F"/>
    <w:rsid w:val="00026394"/>
    <w:rsid w:val="00026C6B"/>
    <w:rsid w:val="00027FC3"/>
    <w:rsid w:val="000302BC"/>
    <w:rsid w:val="000324B5"/>
    <w:rsid w:val="000340FB"/>
    <w:rsid w:val="000341ED"/>
    <w:rsid w:val="00034306"/>
    <w:rsid w:val="000421B5"/>
    <w:rsid w:val="0005012E"/>
    <w:rsid w:val="000509E7"/>
    <w:rsid w:val="00052694"/>
    <w:rsid w:val="00054D0D"/>
    <w:rsid w:val="0005515D"/>
    <w:rsid w:val="00055700"/>
    <w:rsid w:val="00061C8E"/>
    <w:rsid w:val="00065B23"/>
    <w:rsid w:val="00066D23"/>
    <w:rsid w:val="00071707"/>
    <w:rsid w:val="00072343"/>
    <w:rsid w:val="00074EDF"/>
    <w:rsid w:val="0008109E"/>
    <w:rsid w:val="00084298"/>
    <w:rsid w:val="00086D79"/>
    <w:rsid w:val="00094361"/>
    <w:rsid w:val="00094EBD"/>
    <w:rsid w:val="000A3246"/>
    <w:rsid w:val="000A4BA4"/>
    <w:rsid w:val="000A66AC"/>
    <w:rsid w:val="000B0D3F"/>
    <w:rsid w:val="000B0E17"/>
    <w:rsid w:val="000B1DDB"/>
    <w:rsid w:val="000B1E71"/>
    <w:rsid w:val="000B2203"/>
    <w:rsid w:val="000B70C4"/>
    <w:rsid w:val="000B76DD"/>
    <w:rsid w:val="000B78F0"/>
    <w:rsid w:val="000C4772"/>
    <w:rsid w:val="000C4BC7"/>
    <w:rsid w:val="000C5ABA"/>
    <w:rsid w:val="000C5FBA"/>
    <w:rsid w:val="000C722C"/>
    <w:rsid w:val="000D08E7"/>
    <w:rsid w:val="000D2555"/>
    <w:rsid w:val="000D3AAE"/>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3919"/>
    <w:rsid w:val="001462FC"/>
    <w:rsid w:val="00146574"/>
    <w:rsid w:val="00146E4E"/>
    <w:rsid w:val="001476D7"/>
    <w:rsid w:val="00151063"/>
    <w:rsid w:val="00151720"/>
    <w:rsid w:val="00151F43"/>
    <w:rsid w:val="00156092"/>
    <w:rsid w:val="001572A8"/>
    <w:rsid w:val="00162E5A"/>
    <w:rsid w:val="001649EE"/>
    <w:rsid w:val="00165F0B"/>
    <w:rsid w:val="001673C5"/>
    <w:rsid w:val="0017187B"/>
    <w:rsid w:val="00172C04"/>
    <w:rsid w:val="00173BB8"/>
    <w:rsid w:val="0017420F"/>
    <w:rsid w:val="00175923"/>
    <w:rsid w:val="001768AB"/>
    <w:rsid w:val="001776E6"/>
    <w:rsid w:val="00177AA7"/>
    <w:rsid w:val="00182EC5"/>
    <w:rsid w:val="00183D27"/>
    <w:rsid w:val="0019065B"/>
    <w:rsid w:val="00193DF7"/>
    <w:rsid w:val="001963BC"/>
    <w:rsid w:val="001A3667"/>
    <w:rsid w:val="001B0E80"/>
    <w:rsid w:val="001B11FD"/>
    <w:rsid w:val="001B4226"/>
    <w:rsid w:val="001B5A99"/>
    <w:rsid w:val="001B5DD4"/>
    <w:rsid w:val="001B6195"/>
    <w:rsid w:val="001B73F6"/>
    <w:rsid w:val="001C3A80"/>
    <w:rsid w:val="001D0121"/>
    <w:rsid w:val="001D1B70"/>
    <w:rsid w:val="001D2330"/>
    <w:rsid w:val="001D25D1"/>
    <w:rsid w:val="001D35CA"/>
    <w:rsid w:val="001D50A8"/>
    <w:rsid w:val="001E327E"/>
    <w:rsid w:val="001E3281"/>
    <w:rsid w:val="001F01B4"/>
    <w:rsid w:val="001F0D0C"/>
    <w:rsid w:val="001F18CD"/>
    <w:rsid w:val="001F7DB9"/>
    <w:rsid w:val="00200951"/>
    <w:rsid w:val="00200AF1"/>
    <w:rsid w:val="002031ED"/>
    <w:rsid w:val="002066F0"/>
    <w:rsid w:val="00210263"/>
    <w:rsid w:val="002145F0"/>
    <w:rsid w:val="00217DA2"/>
    <w:rsid w:val="00217EBB"/>
    <w:rsid w:val="00221926"/>
    <w:rsid w:val="00221AAE"/>
    <w:rsid w:val="00222C12"/>
    <w:rsid w:val="002236E8"/>
    <w:rsid w:val="0022445A"/>
    <w:rsid w:val="00227443"/>
    <w:rsid w:val="002321A5"/>
    <w:rsid w:val="002348A5"/>
    <w:rsid w:val="00234D30"/>
    <w:rsid w:val="002363CA"/>
    <w:rsid w:val="00236A0B"/>
    <w:rsid w:val="00236AB0"/>
    <w:rsid w:val="00237AEC"/>
    <w:rsid w:val="002438D2"/>
    <w:rsid w:val="00243FF8"/>
    <w:rsid w:val="00246D22"/>
    <w:rsid w:val="00251EB1"/>
    <w:rsid w:val="00252DC4"/>
    <w:rsid w:val="002542DC"/>
    <w:rsid w:val="002558FB"/>
    <w:rsid w:val="00261795"/>
    <w:rsid w:val="00262A25"/>
    <w:rsid w:val="002630F7"/>
    <w:rsid w:val="002630FF"/>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D0C"/>
    <w:rsid w:val="002A4DD8"/>
    <w:rsid w:val="002A5595"/>
    <w:rsid w:val="002A7577"/>
    <w:rsid w:val="002A777F"/>
    <w:rsid w:val="002B09F1"/>
    <w:rsid w:val="002B0DFC"/>
    <w:rsid w:val="002B35C5"/>
    <w:rsid w:val="002B3E98"/>
    <w:rsid w:val="002B78B0"/>
    <w:rsid w:val="002C0513"/>
    <w:rsid w:val="002C3294"/>
    <w:rsid w:val="002C378F"/>
    <w:rsid w:val="002C5E1D"/>
    <w:rsid w:val="002D1599"/>
    <w:rsid w:val="002D366C"/>
    <w:rsid w:val="002D4362"/>
    <w:rsid w:val="002E2A6D"/>
    <w:rsid w:val="002E2F5E"/>
    <w:rsid w:val="002F015B"/>
    <w:rsid w:val="002F16B3"/>
    <w:rsid w:val="002F2016"/>
    <w:rsid w:val="002F61E3"/>
    <w:rsid w:val="00304305"/>
    <w:rsid w:val="00305D83"/>
    <w:rsid w:val="00305FDE"/>
    <w:rsid w:val="00311BC1"/>
    <w:rsid w:val="00311DF4"/>
    <w:rsid w:val="00312FA2"/>
    <w:rsid w:val="003134D3"/>
    <w:rsid w:val="0031487D"/>
    <w:rsid w:val="003154E8"/>
    <w:rsid w:val="00317330"/>
    <w:rsid w:val="0032124B"/>
    <w:rsid w:val="00321E89"/>
    <w:rsid w:val="003239B0"/>
    <w:rsid w:val="0032443B"/>
    <w:rsid w:val="0032598E"/>
    <w:rsid w:val="00325FC1"/>
    <w:rsid w:val="003319A7"/>
    <w:rsid w:val="00332825"/>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1628"/>
    <w:rsid w:val="0036439B"/>
    <w:rsid w:val="00364771"/>
    <w:rsid w:val="003747B5"/>
    <w:rsid w:val="00376DA1"/>
    <w:rsid w:val="003776B3"/>
    <w:rsid w:val="0038047E"/>
    <w:rsid w:val="00383EFB"/>
    <w:rsid w:val="00384141"/>
    <w:rsid w:val="00385904"/>
    <w:rsid w:val="003A0148"/>
    <w:rsid w:val="003A1E91"/>
    <w:rsid w:val="003A33A5"/>
    <w:rsid w:val="003A4FB0"/>
    <w:rsid w:val="003A7CB2"/>
    <w:rsid w:val="003B388E"/>
    <w:rsid w:val="003B52AB"/>
    <w:rsid w:val="003B59EA"/>
    <w:rsid w:val="003B5B30"/>
    <w:rsid w:val="003C09F0"/>
    <w:rsid w:val="003C265E"/>
    <w:rsid w:val="003C2DE3"/>
    <w:rsid w:val="003C3E7C"/>
    <w:rsid w:val="003C40E8"/>
    <w:rsid w:val="003C4C6F"/>
    <w:rsid w:val="003C50CC"/>
    <w:rsid w:val="003D1D42"/>
    <w:rsid w:val="003D34DF"/>
    <w:rsid w:val="003D6EAC"/>
    <w:rsid w:val="003D7308"/>
    <w:rsid w:val="003E09D4"/>
    <w:rsid w:val="003E13A7"/>
    <w:rsid w:val="003E3843"/>
    <w:rsid w:val="003E6AD8"/>
    <w:rsid w:val="003E6F51"/>
    <w:rsid w:val="003F395F"/>
    <w:rsid w:val="003F4811"/>
    <w:rsid w:val="003F5F1A"/>
    <w:rsid w:val="003F6A5C"/>
    <w:rsid w:val="00401A5C"/>
    <w:rsid w:val="004077C2"/>
    <w:rsid w:val="0041051F"/>
    <w:rsid w:val="00413E91"/>
    <w:rsid w:val="00414D9E"/>
    <w:rsid w:val="0041534C"/>
    <w:rsid w:val="00416C25"/>
    <w:rsid w:val="00416CC9"/>
    <w:rsid w:val="004200FB"/>
    <w:rsid w:val="004204AE"/>
    <w:rsid w:val="00421A4C"/>
    <w:rsid w:val="00425FE8"/>
    <w:rsid w:val="004271D8"/>
    <w:rsid w:val="00427E2F"/>
    <w:rsid w:val="00431C88"/>
    <w:rsid w:val="00434B55"/>
    <w:rsid w:val="00436BA2"/>
    <w:rsid w:val="00437958"/>
    <w:rsid w:val="004406AC"/>
    <w:rsid w:val="00441CD1"/>
    <w:rsid w:val="004517A3"/>
    <w:rsid w:val="00452CC3"/>
    <w:rsid w:val="00454846"/>
    <w:rsid w:val="0045543B"/>
    <w:rsid w:val="0045633D"/>
    <w:rsid w:val="0046192D"/>
    <w:rsid w:val="0046330C"/>
    <w:rsid w:val="004634BE"/>
    <w:rsid w:val="00465432"/>
    <w:rsid w:val="00466EB9"/>
    <w:rsid w:val="00467045"/>
    <w:rsid w:val="0047003F"/>
    <w:rsid w:val="0047163D"/>
    <w:rsid w:val="00474D96"/>
    <w:rsid w:val="0047516C"/>
    <w:rsid w:val="00480712"/>
    <w:rsid w:val="00484142"/>
    <w:rsid w:val="00484B9C"/>
    <w:rsid w:val="00491907"/>
    <w:rsid w:val="00491948"/>
    <w:rsid w:val="00491E26"/>
    <w:rsid w:val="00492027"/>
    <w:rsid w:val="004A0671"/>
    <w:rsid w:val="004A451E"/>
    <w:rsid w:val="004A46B4"/>
    <w:rsid w:val="004A5613"/>
    <w:rsid w:val="004A582F"/>
    <w:rsid w:val="004A5DD2"/>
    <w:rsid w:val="004A6E9B"/>
    <w:rsid w:val="004B10A3"/>
    <w:rsid w:val="004B196B"/>
    <w:rsid w:val="004C4506"/>
    <w:rsid w:val="004C458B"/>
    <w:rsid w:val="004C5780"/>
    <w:rsid w:val="004C63D8"/>
    <w:rsid w:val="004C7846"/>
    <w:rsid w:val="004E1249"/>
    <w:rsid w:val="004E142A"/>
    <w:rsid w:val="004E2A5D"/>
    <w:rsid w:val="004E35D0"/>
    <w:rsid w:val="004E60B2"/>
    <w:rsid w:val="004E61C2"/>
    <w:rsid w:val="004E7067"/>
    <w:rsid w:val="004F030C"/>
    <w:rsid w:val="004F3D87"/>
    <w:rsid w:val="00500503"/>
    <w:rsid w:val="00502614"/>
    <w:rsid w:val="00504537"/>
    <w:rsid w:val="005063F3"/>
    <w:rsid w:val="0051221A"/>
    <w:rsid w:val="00512724"/>
    <w:rsid w:val="00512A9F"/>
    <w:rsid w:val="00517E4F"/>
    <w:rsid w:val="00520F5E"/>
    <w:rsid w:val="0052318D"/>
    <w:rsid w:val="005237C4"/>
    <w:rsid w:val="0052387A"/>
    <w:rsid w:val="0052642A"/>
    <w:rsid w:val="00530892"/>
    <w:rsid w:val="00530BF1"/>
    <w:rsid w:val="00530CD6"/>
    <w:rsid w:val="00535353"/>
    <w:rsid w:val="00535A2B"/>
    <w:rsid w:val="0053686B"/>
    <w:rsid w:val="00537681"/>
    <w:rsid w:val="00540398"/>
    <w:rsid w:val="005463F4"/>
    <w:rsid w:val="005510CD"/>
    <w:rsid w:val="00553CBE"/>
    <w:rsid w:val="00555FBF"/>
    <w:rsid w:val="005665C2"/>
    <w:rsid w:val="00571120"/>
    <w:rsid w:val="00576B27"/>
    <w:rsid w:val="00584934"/>
    <w:rsid w:val="00592867"/>
    <w:rsid w:val="00592B85"/>
    <w:rsid w:val="0059572F"/>
    <w:rsid w:val="005A1AAC"/>
    <w:rsid w:val="005A61CC"/>
    <w:rsid w:val="005A74C3"/>
    <w:rsid w:val="005B212C"/>
    <w:rsid w:val="005B2CCD"/>
    <w:rsid w:val="005B558F"/>
    <w:rsid w:val="005B581D"/>
    <w:rsid w:val="005C08FA"/>
    <w:rsid w:val="005C40F9"/>
    <w:rsid w:val="005C5CFC"/>
    <w:rsid w:val="005C76EE"/>
    <w:rsid w:val="005D217B"/>
    <w:rsid w:val="005D446B"/>
    <w:rsid w:val="005D5F3E"/>
    <w:rsid w:val="005D71D8"/>
    <w:rsid w:val="005E196A"/>
    <w:rsid w:val="005E4539"/>
    <w:rsid w:val="005E73B8"/>
    <w:rsid w:val="005F17D4"/>
    <w:rsid w:val="005F1FB3"/>
    <w:rsid w:val="005F2098"/>
    <w:rsid w:val="005F2E38"/>
    <w:rsid w:val="005F4A79"/>
    <w:rsid w:val="005F51C9"/>
    <w:rsid w:val="005F705E"/>
    <w:rsid w:val="005F770C"/>
    <w:rsid w:val="00600D46"/>
    <w:rsid w:val="00604806"/>
    <w:rsid w:val="0060730E"/>
    <w:rsid w:val="00614279"/>
    <w:rsid w:val="00620CC5"/>
    <w:rsid w:val="006221E1"/>
    <w:rsid w:val="00625F11"/>
    <w:rsid w:val="0063019F"/>
    <w:rsid w:val="0063059E"/>
    <w:rsid w:val="00633037"/>
    <w:rsid w:val="0063517A"/>
    <w:rsid w:val="00640C66"/>
    <w:rsid w:val="0064116F"/>
    <w:rsid w:val="0064458E"/>
    <w:rsid w:val="00644BDC"/>
    <w:rsid w:val="006450DA"/>
    <w:rsid w:val="0064574F"/>
    <w:rsid w:val="006465C5"/>
    <w:rsid w:val="006531D6"/>
    <w:rsid w:val="00654846"/>
    <w:rsid w:val="006577D7"/>
    <w:rsid w:val="00657E5B"/>
    <w:rsid w:val="00660F73"/>
    <w:rsid w:val="0066317C"/>
    <w:rsid w:val="006639C7"/>
    <w:rsid w:val="00663A8E"/>
    <w:rsid w:val="00663C9D"/>
    <w:rsid w:val="0066697C"/>
    <w:rsid w:val="00667D54"/>
    <w:rsid w:val="00675E10"/>
    <w:rsid w:val="00681534"/>
    <w:rsid w:val="00685808"/>
    <w:rsid w:val="00691E1A"/>
    <w:rsid w:val="00695A6D"/>
    <w:rsid w:val="00697F28"/>
    <w:rsid w:val="006A3547"/>
    <w:rsid w:val="006A3A6B"/>
    <w:rsid w:val="006A3B11"/>
    <w:rsid w:val="006A4458"/>
    <w:rsid w:val="006A50BC"/>
    <w:rsid w:val="006B0145"/>
    <w:rsid w:val="006B1D63"/>
    <w:rsid w:val="006B60DD"/>
    <w:rsid w:val="006C5A7D"/>
    <w:rsid w:val="006C704A"/>
    <w:rsid w:val="006D3AD0"/>
    <w:rsid w:val="006D7744"/>
    <w:rsid w:val="006E0D5B"/>
    <w:rsid w:val="006E3B26"/>
    <w:rsid w:val="006E5368"/>
    <w:rsid w:val="006E5C27"/>
    <w:rsid w:val="006E6103"/>
    <w:rsid w:val="006F336C"/>
    <w:rsid w:val="006F4CE9"/>
    <w:rsid w:val="00700924"/>
    <w:rsid w:val="007011CC"/>
    <w:rsid w:val="007017B0"/>
    <w:rsid w:val="0070218E"/>
    <w:rsid w:val="007065A1"/>
    <w:rsid w:val="007135EE"/>
    <w:rsid w:val="00714A54"/>
    <w:rsid w:val="007150E1"/>
    <w:rsid w:val="00720A29"/>
    <w:rsid w:val="00722B80"/>
    <w:rsid w:val="00722DD1"/>
    <w:rsid w:val="0073422E"/>
    <w:rsid w:val="0074409F"/>
    <w:rsid w:val="0074468A"/>
    <w:rsid w:val="00746128"/>
    <w:rsid w:val="00756A0C"/>
    <w:rsid w:val="00757661"/>
    <w:rsid w:val="00760E2D"/>
    <w:rsid w:val="00774A2B"/>
    <w:rsid w:val="007755F6"/>
    <w:rsid w:val="00775D28"/>
    <w:rsid w:val="007803DA"/>
    <w:rsid w:val="00780CCE"/>
    <w:rsid w:val="00781A63"/>
    <w:rsid w:val="00783765"/>
    <w:rsid w:val="007862BD"/>
    <w:rsid w:val="007870BA"/>
    <w:rsid w:val="007902F3"/>
    <w:rsid w:val="00790ED1"/>
    <w:rsid w:val="0079148C"/>
    <w:rsid w:val="00793514"/>
    <w:rsid w:val="00795394"/>
    <w:rsid w:val="00795F45"/>
    <w:rsid w:val="00797252"/>
    <w:rsid w:val="007977D0"/>
    <w:rsid w:val="007A0040"/>
    <w:rsid w:val="007A040E"/>
    <w:rsid w:val="007A2C34"/>
    <w:rsid w:val="007A5E81"/>
    <w:rsid w:val="007A7335"/>
    <w:rsid w:val="007B1B79"/>
    <w:rsid w:val="007B2FC8"/>
    <w:rsid w:val="007B455D"/>
    <w:rsid w:val="007C06B0"/>
    <w:rsid w:val="007C3596"/>
    <w:rsid w:val="007C479E"/>
    <w:rsid w:val="007C534A"/>
    <w:rsid w:val="007C689D"/>
    <w:rsid w:val="007D12C5"/>
    <w:rsid w:val="007D14A8"/>
    <w:rsid w:val="007E128E"/>
    <w:rsid w:val="007E2299"/>
    <w:rsid w:val="007E2953"/>
    <w:rsid w:val="007E4176"/>
    <w:rsid w:val="007F16BD"/>
    <w:rsid w:val="007F2F12"/>
    <w:rsid w:val="007F63B9"/>
    <w:rsid w:val="007F6E51"/>
    <w:rsid w:val="00801B02"/>
    <w:rsid w:val="008035A4"/>
    <w:rsid w:val="00804A8E"/>
    <w:rsid w:val="00806AA8"/>
    <w:rsid w:val="00812FF0"/>
    <w:rsid w:val="00815043"/>
    <w:rsid w:val="008157CF"/>
    <w:rsid w:val="00820D75"/>
    <w:rsid w:val="00821688"/>
    <w:rsid w:val="008219AB"/>
    <w:rsid w:val="0082467E"/>
    <w:rsid w:val="008271F6"/>
    <w:rsid w:val="00832281"/>
    <w:rsid w:val="00832A42"/>
    <w:rsid w:val="0083319A"/>
    <w:rsid w:val="00833649"/>
    <w:rsid w:val="0084009D"/>
    <w:rsid w:val="008476AE"/>
    <w:rsid w:val="008513F5"/>
    <w:rsid w:val="0086294F"/>
    <w:rsid w:val="008642DB"/>
    <w:rsid w:val="00864F61"/>
    <w:rsid w:val="008667F9"/>
    <w:rsid w:val="0087018F"/>
    <w:rsid w:val="008714D7"/>
    <w:rsid w:val="008750C1"/>
    <w:rsid w:val="00875906"/>
    <w:rsid w:val="00876A95"/>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1FA4"/>
    <w:rsid w:val="008E212F"/>
    <w:rsid w:val="008E5BE5"/>
    <w:rsid w:val="008F051F"/>
    <w:rsid w:val="008F17A7"/>
    <w:rsid w:val="008F58B8"/>
    <w:rsid w:val="008F6B36"/>
    <w:rsid w:val="009008DD"/>
    <w:rsid w:val="009024B4"/>
    <w:rsid w:val="0090334E"/>
    <w:rsid w:val="009037AF"/>
    <w:rsid w:val="0090427C"/>
    <w:rsid w:val="00910237"/>
    <w:rsid w:val="0091203A"/>
    <w:rsid w:val="00912B18"/>
    <w:rsid w:val="00913DE9"/>
    <w:rsid w:val="00915698"/>
    <w:rsid w:val="00920535"/>
    <w:rsid w:val="00922A6D"/>
    <w:rsid w:val="009230A5"/>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615F7"/>
    <w:rsid w:val="0096439D"/>
    <w:rsid w:val="00965188"/>
    <w:rsid w:val="009679F7"/>
    <w:rsid w:val="00972224"/>
    <w:rsid w:val="0098369B"/>
    <w:rsid w:val="009855ED"/>
    <w:rsid w:val="00990086"/>
    <w:rsid w:val="009939EF"/>
    <w:rsid w:val="00994DC4"/>
    <w:rsid w:val="00995402"/>
    <w:rsid w:val="00995739"/>
    <w:rsid w:val="00996855"/>
    <w:rsid w:val="00997BB1"/>
    <w:rsid w:val="00997BD1"/>
    <w:rsid w:val="009A1012"/>
    <w:rsid w:val="009A10B6"/>
    <w:rsid w:val="009A2CBA"/>
    <w:rsid w:val="009A3785"/>
    <w:rsid w:val="009B2454"/>
    <w:rsid w:val="009B472E"/>
    <w:rsid w:val="009B53D8"/>
    <w:rsid w:val="009B6571"/>
    <w:rsid w:val="009B7504"/>
    <w:rsid w:val="009C4A92"/>
    <w:rsid w:val="009C6254"/>
    <w:rsid w:val="009C6CE8"/>
    <w:rsid w:val="009C6F42"/>
    <w:rsid w:val="009D3EF7"/>
    <w:rsid w:val="009D4AA9"/>
    <w:rsid w:val="009D71A1"/>
    <w:rsid w:val="009E1F25"/>
    <w:rsid w:val="009E2A70"/>
    <w:rsid w:val="009E489B"/>
    <w:rsid w:val="009F3168"/>
    <w:rsid w:val="009F3454"/>
    <w:rsid w:val="009F4440"/>
    <w:rsid w:val="009F7BC1"/>
    <w:rsid w:val="00A0246B"/>
    <w:rsid w:val="00A03908"/>
    <w:rsid w:val="00A04CE4"/>
    <w:rsid w:val="00A05724"/>
    <w:rsid w:val="00A11C23"/>
    <w:rsid w:val="00A17D94"/>
    <w:rsid w:val="00A2092B"/>
    <w:rsid w:val="00A23BA0"/>
    <w:rsid w:val="00A24F93"/>
    <w:rsid w:val="00A25028"/>
    <w:rsid w:val="00A314FA"/>
    <w:rsid w:val="00A3799B"/>
    <w:rsid w:val="00A413D5"/>
    <w:rsid w:val="00A47BAD"/>
    <w:rsid w:val="00A47D5F"/>
    <w:rsid w:val="00A52844"/>
    <w:rsid w:val="00A52945"/>
    <w:rsid w:val="00A52BEC"/>
    <w:rsid w:val="00A57777"/>
    <w:rsid w:val="00A57E0F"/>
    <w:rsid w:val="00A65C42"/>
    <w:rsid w:val="00A75304"/>
    <w:rsid w:val="00A82F6F"/>
    <w:rsid w:val="00A862A4"/>
    <w:rsid w:val="00A903BC"/>
    <w:rsid w:val="00A9229C"/>
    <w:rsid w:val="00A92BA2"/>
    <w:rsid w:val="00A9360E"/>
    <w:rsid w:val="00A973D9"/>
    <w:rsid w:val="00AA0190"/>
    <w:rsid w:val="00AA1C3B"/>
    <w:rsid w:val="00AA1DC4"/>
    <w:rsid w:val="00AA20DC"/>
    <w:rsid w:val="00AA2435"/>
    <w:rsid w:val="00AA29A7"/>
    <w:rsid w:val="00AA49B9"/>
    <w:rsid w:val="00AB392A"/>
    <w:rsid w:val="00AB6124"/>
    <w:rsid w:val="00AB69C6"/>
    <w:rsid w:val="00AB759F"/>
    <w:rsid w:val="00AB7A77"/>
    <w:rsid w:val="00AC25D8"/>
    <w:rsid w:val="00AC4FD0"/>
    <w:rsid w:val="00AC560D"/>
    <w:rsid w:val="00AC5BA7"/>
    <w:rsid w:val="00AD19E4"/>
    <w:rsid w:val="00AD319B"/>
    <w:rsid w:val="00AD3673"/>
    <w:rsid w:val="00AD4A48"/>
    <w:rsid w:val="00AE082C"/>
    <w:rsid w:val="00AE0C03"/>
    <w:rsid w:val="00AE36D0"/>
    <w:rsid w:val="00AE40E2"/>
    <w:rsid w:val="00AE4140"/>
    <w:rsid w:val="00AE4928"/>
    <w:rsid w:val="00AE4CE1"/>
    <w:rsid w:val="00AE4D48"/>
    <w:rsid w:val="00AF0CA4"/>
    <w:rsid w:val="00AF448F"/>
    <w:rsid w:val="00AF4CC5"/>
    <w:rsid w:val="00B02CB3"/>
    <w:rsid w:val="00B04E9C"/>
    <w:rsid w:val="00B0622F"/>
    <w:rsid w:val="00B06511"/>
    <w:rsid w:val="00B06DF9"/>
    <w:rsid w:val="00B102F7"/>
    <w:rsid w:val="00B11BE8"/>
    <w:rsid w:val="00B1354A"/>
    <w:rsid w:val="00B14506"/>
    <w:rsid w:val="00B22750"/>
    <w:rsid w:val="00B228D4"/>
    <w:rsid w:val="00B231A5"/>
    <w:rsid w:val="00B26EF6"/>
    <w:rsid w:val="00B33726"/>
    <w:rsid w:val="00B34CB8"/>
    <w:rsid w:val="00B36726"/>
    <w:rsid w:val="00B36BD2"/>
    <w:rsid w:val="00B40CCF"/>
    <w:rsid w:val="00B40FA6"/>
    <w:rsid w:val="00B43413"/>
    <w:rsid w:val="00B442F3"/>
    <w:rsid w:val="00B51F07"/>
    <w:rsid w:val="00B52A30"/>
    <w:rsid w:val="00B55AA9"/>
    <w:rsid w:val="00B576FB"/>
    <w:rsid w:val="00B605B3"/>
    <w:rsid w:val="00B607ED"/>
    <w:rsid w:val="00B6409D"/>
    <w:rsid w:val="00B65A78"/>
    <w:rsid w:val="00B665B0"/>
    <w:rsid w:val="00B70EED"/>
    <w:rsid w:val="00B7209C"/>
    <w:rsid w:val="00B73DBD"/>
    <w:rsid w:val="00B754FE"/>
    <w:rsid w:val="00B75D21"/>
    <w:rsid w:val="00B82AFD"/>
    <w:rsid w:val="00B82F44"/>
    <w:rsid w:val="00B854DA"/>
    <w:rsid w:val="00B86298"/>
    <w:rsid w:val="00B901A9"/>
    <w:rsid w:val="00B92C29"/>
    <w:rsid w:val="00B94BF6"/>
    <w:rsid w:val="00B94EA1"/>
    <w:rsid w:val="00B94EB0"/>
    <w:rsid w:val="00B96D89"/>
    <w:rsid w:val="00B972A0"/>
    <w:rsid w:val="00BA2CBC"/>
    <w:rsid w:val="00BA363C"/>
    <w:rsid w:val="00BA5910"/>
    <w:rsid w:val="00BA7E0B"/>
    <w:rsid w:val="00BB3CE8"/>
    <w:rsid w:val="00BB43FD"/>
    <w:rsid w:val="00BB6D12"/>
    <w:rsid w:val="00BC261C"/>
    <w:rsid w:val="00BC3E94"/>
    <w:rsid w:val="00BC3ED9"/>
    <w:rsid w:val="00BC4B4F"/>
    <w:rsid w:val="00BC5032"/>
    <w:rsid w:val="00BC59CC"/>
    <w:rsid w:val="00BD0579"/>
    <w:rsid w:val="00BD1D69"/>
    <w:rsid w:val="00BD42D8"/>
    <w:rsid w:val="00BD45AE"/>
    <w:rsid w:val="00BE34DD"/>
    <w:rsid w:val="00BE7267"/>
    <w:rsid w:val="00BE7523"/>
    <w:rsid w:val="00BE7E71"/>
    <w:rsid w:val="00BF06EC"/>
    <w:rsid w:val="00BF09D3"/>
    <w:rsid w:val="00BF384F"/>
    <w:rsid w:val="00BF5744"/>
    <w:rsid w:val="00BF5944"/>
    <w:rsid w:val="00BF5A88"/>
    <w:rsid w:val="00C00519"/>
    <w:rsid w:val="00C014A9"/>
    <w:rsid w:val="00C01BBA"/>
    <w:rsid w:val="00C02420"/>
    <w:rsid w:val="00C04971"/>
    <w:rsid w:val="00C05096"/>
    <w:rsid w:val="00C0615F"/>
    <w:rsid w:val="00C10CCD"/>
    <w:rsid w:val="00C10E53"/>
    <w:rsid w:val="00C10FB4"/>
    <w:rsid w:val="00C15A97"/>
    <w:rsid w:val="00C16757"/>
    <w:rsid w:val="00C17A11"/>
    <w:rsid w:val="00C20A49"/>
    <w:rsid w:val="00C22965"/>
    <w:rsid w:val="00C22BDC"/>
    <w:rsid w:val="00C25BD9"/>
    <w:rsid w:val="00C41104"/>
    <w:rsid w:val="00C41134"/>
    <w:rsid w:val="00C416D8"/>
    <w:rsid w:val="00C428D0"/>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80E12"/>
    <w:rsid w:val="00C80F74"/>
    <w:rsid w:val="00C84E54"/>
    <w:rsid w:val="00C8621F"/>
    <w:rsid w:val="00C906E0"/>
    <w:rsid w:val="00C959A0"/>
    <w:rsid w:val="00C976E2"/>
    <w:rsid w:val="00C97707"/>
    <w:rsid w:val="00CA1872"/>
    <w:rsid w:val="00CA1D5A"/>
    <w:rsid w:val="00CA349E"/>
    <w:rsid w:val="00CA5910"/>
    <w:rsid w:val="00CA5EE6"/>
    <w:rsid w:val="00CA6A88"/>
    <w:rsid w:val="00CB0D76"/>
    <w:rsid w:val="00CB169A"/>
    <w:rsid w:val="00CB18D5"/>
    <w:rsid w:val="00CB393B"/>
    <w:rsid w:val="00CC1B0F"/>
    <w:rsid w:val="00CC4315"/>
    <w:rsid w:val="00CC601F"/>
    <w:rsid w:val="00CD02EB"/>
    <w:rsid w:val="00CD6E9F"/>
    <w:rsid w:val="00CF0F17"/>
    <w:rsid w:val="00CF2384"/>
    <w:rsid w:val="00CF2A48"/>
    <w:rsid w:val="00CF2DBD"/>
    <w:rsid w:val="00CF37B7"/>
    <w:rsid w:val="00CF3D80"/>
    <w:rsid w:val="00CF569B"/>
    <w:rsid w:val="00CF7C33"/>
    <w:rsid w:val="00D025A9"/>
    <w:rsid w:val="00D11596"/>
    <w:rsid w:val="00D15049"/>
    <w:rsid w:val="00D17EF8"/>
    <w:rsid w:val="00D22A20"/>
    <w:rsid w:val="00D255AC"/>
    <w:rsid w:val="00D318BB"/>
    <w:rsid w:val="00D31E05"/>
    <w:rsid w:val="00D35E4B"/>
    <w:rsid w:val="00D4023D"/>
    <w:rsid w:val="00D40DAB"/>
    <w:rsid w:val="00D42313"/>
    <w:rsid w:val="00D45220"/>
    <w:rsid w:val="00D45FC8"/>
    <w:rsid w:val="00D500CC"/>
    <w:rsid w:val="00D51EF8"/>
    <w:rsid w:val="00D532DF"/>
    <w:rsid w:val="00D550EA"/>
    <w:rsid w:val="00D555B1"/>
    <w:rsid w:val="00D5683A"/>
    <w:rsid w:val="00D6075F"/>
    <w:rsid w:val="00D64A8A"/>
    <w:rsid w:val="00D64ACA"/>
    <w:rsid w:val="00D65EE5"/>
    <w:rsid w:val="00D6635B"/>
    <w:rsid w:val="00D72E5C"/>
    <w:rsid w:val="00D74A8F"/>
    <w:rsid w:val="00D76989"/>
    <w:rsid w:val="00D8155F"/>
    <w:rsid w:val="00D83830"/>
    <w:rsid w:val="00D8408A"/>
    <w:rsid w:val="00D85984"/>
    <w:rsid w:val="00D8641A"/>
    <w:rsid w:val="00D92897"/>
    <w:rsid w:val="00D9374F"/>
    <w:rsid w:val="00D96664"/>
    <w:rsid w:val="00D9771C"/>
    <w:rsid w:val="00D97BF8"/>
    <w:rsid w:val="00DA0331"/>
    <w:rsid w:val="00DA04A7"/>
    <w:rsid w:val="00DA30E3"/>
    <w:rsid w:val="00DA399C"/>
    <w:rsid w:val="00DA43F1"/>
    <w:rsid w:val="00DA5E85"/>
    <w:rsid w:val="00DB01F6"/>
    <w:rsid w:val="00DB1B72"/>
    <w:rsid w:val="00DB4628"/>
    <w:rsid w:val="00DD18B8"/>
    <w:rsid w:val="00DD1B53"/>
    <w:rsid w:val="00DD2D4F"/>
    <w:rsid w:val="00DD3ECB"/>
    <w:rsid w:val="00DD4201"/>
    <w:rsid w:val="00DD5289"/>
    <w:rsid w:val="00DD5BF9"/>
    <w:rsid w:val="00DD6729"/>
    <w:rsid w:val="00DD760C"/>
    <w:rsid w:val="00DE0FB7"/>
    <w:rsid w:val="00DE3DD6"/>
    <w:rsid w:val="00DE4100"/>
    <w:rsid w:val="00DE517B"/>
    <w:rsid w:val="00DE52F2"/>
    <w:rsid w:val="00DE5A5D"/>
    <w:rsid w:val="00DF072F"/>
    <w:rsid w:val="00DF0B84"/>
    <w:rsid w:val="00DF1ACD"/>
    <w:rsid w:val="00DF255F"/>
    <w:rsid w:val="00DF2996"/>
    <w:rsid w:val="00DF4C21"/>
    <w:rsid w:val="00E028F5"/>
    <w:rsid w:val="00E05588"/>
    <w:rsid w:val="00E07E81"/>
    <w:rsid w:val="00E10E84"/>
    <w:rsid w:val="00E1125C"/>
    <w:rsid w:val="00E16D83"/>
    <w:rsid w:val="00E17AA2"/>
    <w:rsid w:val="00E235EA"/>
    <w:rsid w:val="00E253BD"/>
    <w:rsid w:val="00E267AB"/>
    <w:rsid w:val="00E27BF3"/>
    <w:rsid w:val="00E30C2C"/>
    <w:rsid w:val="00E311DC"/>
    <w:rsid w:val="00E3126D"/>
    <w:rsid w:val="00E31752"/>
    <w:rsid w:val="00E3534A"/>
    <w:rsid w:val="00E4082C"/>
    <w:rsid w:val="00E435B7"/>
    <w:rsid w:val="00E4444A"/>
    <w:rsid w:val="00E44DA1"/>
    <w:rsid w:val="00E46C87"/>
    <w:rsid w:val="00E576B4"/>
    <w:rsid w:val="00E62413"/>
    <w:rsid w:val="00E64091"/>
    <w:rsid w:val="00E66237"/>
    <w:rsid w:val="00E66470"/>
    <w:rsid w:val="00E67C64"/>
    <w:rsid w:val="00E71BDF"/>
    <w:rsid w:val="00E8267C"/>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61E2"/>
    <w:rsid w:val="00EC0471"/>
    <w:rsid w:val="00EC3A1C"/>
    <w:rsid w:val="00EC3C0E"/>
    <w:rsid w:val="00EC539A"/>
    <w:rsid w:val="00EC6DFA"/>
    <w:rsid w:val="00ED39C3"/>
    <w:rsid w:val="00ED66FE"/>
    <w:rsid w:val="00ED68AB"/>
    <w:rsid w:val="00EE3D44"/>
    <w:rsid w:val="00EE41E2"/>
    <w:rsid w:val="00EF1906"/>
    <w:rsid w:val="00EF1953"/>
    <w:rsid w:val="00EF2347"/>
    <w:rsid w:val="00EF2D9E"/>
    <w:rsid w:val="00EF30B1"/>
    <w:rsid w:val="00EF3BC8"/>
    <w:rsid w:val="00EF7F7D"/>
    <w:rsid w:val="00F003DC"/>
    <w:rsid w:val="00F00476"/>
    <w:rsid w:val="00F012AB"/>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9FC"/>
    <w:rsid w:val="00F50B67"/>
    <w:rsid w:val="00F52831"/>
    <w:rsid w:val="00F53B73"/>
    <w:rsid w:val="00F53D3E"/>
    <w:rsid w:val="00F56C3E"/>
    <w:rsid w:val="00F60C95"/>
    <w:rsid w:val="00F61714"/>
    <w:rsid w:val="00F6434D"/>
    <w:rsid w:val="00F7015E"/>
    <w:rsid w:val="00F7297C"/>
    <w:rsid w:val="00F73B56"/>
    <w:rsid w:val="00F777FA"/>
    <w:rsid w:val="00F77D99"/>
    <w:rsid w:val="00F820A6"/>
    <w:rsid w:val="00F828AE"/>
    <w:rsid w:val="00F83282"/>
    <w:rsid w:val="00F8540B"/>
    <w:rsid w:val="00F85ED6"/>
    <w:rsid w:val="00F91098"/>
    <w:rsid w:val="00F917FF"/>
    <w:rsid w:val="00F9398C"/>
    <w:rsid w:val="00F9535D"/>
    <w:rsid w:val="00F97BF7"/>
    <w:rsid w:val="00FA0D68"/>
    <w:rsid w:val="00FA2710"/>
    <w:rsid w:val="00FA5090"/>
    <w:rsid w:val="00FA7229"/>
    <w:rsid w:val="00FA7F61"/>
    <w:rsid w:val="00FB554A"/>
    <w:rsid w:val="00FB588A"/>
    <w:rsid w:val="00FC0694"/>
    <w:rsid w:val="00FC470A"/>
    <w:rsid w:val="00FC4FC5"/>
    <w:rsid w:val="00FC6982"/>
    <w:rsid w:val="00FC6F29"/>
    <w:rsid w:val="00FD1341"/>
    <w:rsid w:val="00FD2F47"/>
    <w:rsid w:val="00FE363C"/>
    <w:rsid w:val="00FE3AE2"/>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5394">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20DE4-C1AF-4F4B-8A0A-9B57C2E2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16927</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2015-06-08T12:01:00Z</dcterms:created>
  <dcterms:modified xsi:type="dcterms:W3CDTF">2015-06-08T14:13:00Z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