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286B5F">
      <w:pPr>
        <w:pStyle w:val="BlockText"/>
        <w:jc w:val="center"/>
      </w:pPr>
      <w:r>
        <w:t>Month</w:t>
      </w:r>
      <w:r w:rsidR="00DA04A7">
        <w:t xml:space="preserve"> of April</w:t>
      </w:r>
      <w:r w:rsidR="00B607ED">
        <w:t xml:space="preserve"> 2015</w:t>
      </w:r>
    </w:p>
    <w:p w:rsidR="006F4CE9" w:rsidRDefault="006F4CE9" w:rsidP="00D9771C">
      <w:pPr>
        <w:pStyle w:val="BlockText"/>
        <w:rPr>
          <w:b/>
          <w:u w:val="single"/>
        </w:rPr>
      </w:pPr>
    </w:p>
    <w:p w:rsidR="00CC601F" w:rsidRDefault="00CC601F" w:rsidP="007D14A8">
      <w:pPr>
        <w:pStyle w:val="BlockText"/>
        <w:rPr>
          <w:b/>
          <w:u w:val="single"/>
        </w:rPr>
      </w:pPr>
    </w:p>
    <w:p w:rsidR="007F16BD" w:rsidRDefault="009F4440" w:rsidP="007D14A8">
      <w:pPr>
        <w:pStyle w:val="BlockText"/>
        <w:rPr>
          <w:b/>
          <w:u w:val="single"/>
        </w:rPr>
      </w:pPr>
      <w:r>
        <w:rPr>
          <w:b/>
          <w:u w:val="single"/>
        </w:rPr>
        <w:t xml:space="preserve">State </w:t>
      </w:r>
      <w:r w:rsidR="00DA30E3">
        <w:rPr>
          <w:b/>
          <w:u w:val="single"/>
        </w:rPr>
        <w:t xml:space="preserve">and Federal </w:t>
      </w:r>
      <w:r w:rsidR="00D9771C" w:rsidRPr="00D9771C">
        <w:rPr>
          <w:b/>
          <w:u w:val="single"/>
        </w:rPr>
        <w:t>Appellate Decisions:</w:t>
      </w:r>
    </w:p>
    <w:p w:rsidR="009230A5" w:rsidRPr="00B972A0" w:rsidRDefault="009230A5" w:rsidP="007D14A8">
      <w:pPr>
        <w:pStyle w:val="BlockText"/>
        <w:rPr>
          <w:b/>
          <w:u w:val="single"/>
        </w:rPr>
      </w:pPr>
    </w:p>
    <w:p w:rsidR="00F21C36" w:rsidRDefault="00F21C36" w:rsidP="00F21C36">
      <w:pPr>
        <w:jc w:val="both"/>
      </w:pPr>
      <w:r w:rsidRPr="00DE14C7">
        <w:rPr>
          <w:i/>
          <w:lang w:val="en-CA"/>
        </w:rPr>
        <w:fldChar w:fldCharType="begin"/>
      </w:r>
      <w:r w:rsidRPr="00DE14C7">
        <w:rPr>
          <w:i/>
          <w:lang w:val="en-CA"/>
        </w:rPr>
        <w:instrText xml:space="preserve"> SEQ CHAPTER \h \r 1</w:instrText>
      </w:r>
      <w:r w:rsidRPr="00DE14C7">
        <w:rPr>
          <w:i/>
          <w:lang w:val="en-CA"/>
        </w:rPr>
        <w:fldChar w:fldCharType="end"/>
      </w:r>
      <w:r w:rsidRPr="00DE14C7">
        <w:rPr>
          <w:i/>
          <w:u w:val="single"/>
        </w:rPr>
        <w:t>Carithers v. Mid-Continent Casualty Company</w:t>
      </w:r>
      <w:r>
        <w:t>, 2015 WL 1529038 (11</w:t>
      </w:r>
      <w:r>
        <w:rPr>
          <w:vertAlign w:val="superscript"/>
        </w:rPr>
        <w:t>th</w:t>
      </w:r>
      <w:r>
        <w:t xml:space="preserve"> Cir. April 7, 2015).</w:t>
      </w:r>
    </w:p>
    <w:p w:rsidR="00F21C36" w:rsidRDefault="00F21C36" w:rsidP="00F21C36">
      <w:pPr>
        <w:jc w:val="both"/>
      </w:pPr>
      <w:r>
        <w:t xml:space="preserve">This case from the Eleventh Circuit discusses insurance coverage for construction defects.  The issues were whether the insurer has a duty to defend, what is the appropriate “trigger” to determine what policy covers hidden construction defects, and what types of damages are covered by insurance.  </w:t>
      </w:r>
    </w:p>
    <w:p w:rsidR="00F21C36" w:rsidRDefault="00F21C36" w:rsidP="00F21C36">
      <w:pPr>
        <w:jc w:val="both"/>
      </w:pPr>
    </w:p>
    <w:p w:rsidR="00F21C36" w:rsidRDefault="00F21C36" w:rsidP="00F21C36">
      <w:pPr>
        <w:jc w:val="both"/>
      </w:pPr>
      <w:r>
        <w:t>The Carithers are homeowners who suffered damages in their new residence due to latent defects.  The three areas of damage included (1) negligent application of exterior brick coating that caused damage to the brick itself; (2) the use of inadequate adhesive and an inadequate base in the installation of tile that caused damage to the tile; and (3) a defectively constructed balcony that caused damage to the garage.</w:t>
      </w:r>
    </w:p>
    <w:p w:rsidR="00F21C36" w:rsidRDefault="00F21C36" w:rsidP="00F21C36">
      <w:pPr>
        <w:jc w:val="both"/>
      </w:pPr>
    </w:p>
    <w:p w:rsidR="00F21C36" w:rsidRDefault="00F21C36" w:rsidP="00F21C36">
      <w:pPr>
        <w:jc w:val="both"/>
      </w:pPr>
      <w:r>
        <w:t xml:space="preserve">As for the duty to defend, the Court determined that the “injury-in-fact” trigger was appropriate under the facts of this case because the trial judge found as a fact that the property damages occurred during a specific policy period.   The Court rejected the insurer’s argument that the appropriate trigger for these latent defects is the time when the damages should have been discovered with reasonable care or the time when the damages were actually discovered (the “manifestation” trigger).  The Court noted the uncertainty of the law in Florida regarding the appropriate trigger, but held that the insurer must provide a defense unless it was certain there was no coverage.  </w:t>
      </w:r>
    </w:p>
    <w:p w:rsidR="00F21C36" w:rsidRDefault="00F21C36" w:rsidP="00F21C36">
      <w:pPr>
        <w:jc w:val="both"/>
      </w:pPr>
    </w:p>
    <w:p w:rsidR="00F21C36" w:rsidRDefault="00F21C36" w:rsidP="00F21C36">
      <w:pPr>
        <w:jc w:val="both"/>
      </w:pPr>
      <w:r>
        <w:t xml:space="preserve">As for damages, the Court noted the decisions in </w:t>
      </w:r>
      <w:r>
        <w:rPr>
          <w:u w:val="single"/>
        </w:rPr>
        <w:t>J.S.U.B.</w:t>
      </w:r>
      <w:r>
        <w:t xml:space="preserve"> and </w:t>
      </w:r>
      <w:r>
        <w:rPr>
          <w:u w:val="single"/>
        </w:rPr>
        <w:t>Pozzi Window Co.</w:t>
      </w:r>
      <w:r>
        <w:t>, and stated that “faulty workmanship or defective work that has damaged the otherwise nondefective completed project” is covered by insurance.  The damaged brick would have been covered if the homeowner proved that the brick and coating was performed by different subcontractors but it failed to carry this burden.  Likewise, the homeowners did not submit any evidence of whether the tile and adhesive and mud base were installed by different subcontractors.  The Court was not impressed by the fact that the homeowners provided the tile to the subcontractor.  Finally, while the cost of reconstructing the defective balcony was not covered, the cost to replace it was covered because it was necessary to rebuild it in order to get to and replace the damage caused by the defective balcony.</w:t>
      </w:r>
    </w:p>
    <w:p w:rsidR="00F21C36" w:rsidRDefault="00F21C36" w:rsidP="00F21C36">
      <w:pPr>
        <w:jc w:val="both"/>
      </w:pPr>
    </w:p>
    <w:p w:rsidR="00F21C36" w:rsidRDefault="00F21C36" w:rsidP="00F21C36">
      <w:pPr>
        <w:jc w:val="both"/>
      </w:pPr>
      <w:r w:rsidRPr="00F21C36">
        <w:rPr>
          <w:b/>
          <w:u w:val="single"/>
        </w:rPr>
        <w:t>Editor’s Note</w:t>
      </w:r>
      <w:r>
        <w:t>: This case continues the recent line of cases applying the “injury-in-fact” trigger, but note that this Court did not eliminate the use of the “manifestation” trigger in cases of latent defects when it is “difficult</w:t>
      </w:r>
      <w:r>
        <w:t>”</w:t>
      </w:r>
      <w:r>
        <w:t xml:space="preserve"> (or impossible) to determine when the property was damaged.”</w:t>
      </w:r>
    </w:p>
    <w:p w:rsidR="00431C88" w:rsidRDefault="00431C88" w:rsidP="00431C88"/>
    <w:p w:rsidR="00F21C36" w:rsidRDefault="00F21C36" w:rsidP="00D72E5C">
      <w:pPr>
        <w:pStyle w:val="BlockText"/>
        <w:rPr>
          <w:b/>
          <w:u w:val="single"/>
        </w:rPr>
      </w:pPr>
    </w:p>
    <w:p w:rsidR="00F21C36" w:rsidRDefault="00F21C36" w:rsidP="00D72E5C">
      <w:pPr>
        <w:pStyle w:val="BlockText"/>
        <w:rPr>
          <w:b/>
          <w:u w:val="single"/>
        </w:rPr>
      </w:pPr>
    </w:p>
    <w:p w:rsidR="00F21C36" w:rsidRDefault="00F21C36" w:rsidP="00D72E5C">
      <w:pPr>
        <w:pStyle w:val="BlockText"/>
        <w:rPr>
          <w:b/>
          <w:u w:val="single"/>
        </w:rPr>
      </w:pPr>
    </w:p>
    <w:p w:rsidR="00F21C36" w:rsidRDefault="00F21C36" w:rsidP="00D72E5C">
      <w:pPr>
        <w:pStyle w:val="BlockText"/>
        <w:rPr>
          <w:b/>
          <w:u w:val="single"/>
        </w:rPr>
      </w:pPr>
    </w:p>
    <w:p w:rsidR="00F21C36" w:rsidRDefault="00F21C36" w:rsidP="00D72E5C">
      <w:pPr>
        <w:pStyle w:val="BlockText"/>
        <w:rPr>
          <w:b/>
          <w:u w:val="single"/>
        </w:rPr>
      </w:pPr>
    </w:p>
    <w:p w:rsidR="0034626F" w:rsidRDefault="00EB61E2" w:rsidP="00D72E5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p>
    <w:p w:rsidR="00437958" w:rsidRDefault="00437958" w:rsidP="00D72E5C">
      <w:pPr>
        <w:pStyle w:val="BlockText"/>
      </w:pPr>
    </w:p>
    <w:p w:rsidR="00CC601F" w:rsidRDefault="0047516C" w:rsidP="00D72E5C">
      <w:pPr>
        <w:pStyle w:val="BlockText"/>
      </w:pPr>
      <w:r w:rsidRPr="0047516C">
        <w:rPr>
          <w:i/>
          <w:u w:val="single"/>
        </w:rPr>
        <w:t>Department of Business and Professional Regulation, Electrical Contracting Licensing Board v. Michael Ellis</w:t>
      </w:r>
      <w:r>
        <w:t>, DOAH Case No. 14-5400PL</w:t>
      </w:r>
      <w:r w:rsidR="006B0145">
        <w:t>:</w:t>
      </w:r>
      <w:r>
        <w:t xml:space="preserve"> </w:t>
      </w:r>
      <w:r w:rsidR="006B0145">
        <w:t xml:space="preserve">A </w:t>
      </w:r>
      <w:r>
        <w:t>Recommended Order</w:t>
      </w:r>
      <w:r w:rsidR="00C22BDC">
        <w:rPr>
          <w:rStyle w:val="FootnoteReference"/>
        </w:rPr>
        <w:footnoteReference w:id="1"/>
      </w:r>
      <w:r>
        <w:t xml:space="preserve"> entered on March 13, 2015, </w:t>
      </w:r>
      <w:r w:rsidR="00C22BDC">
        <w:t xml:space="preserve">involved an Administrative Complaint filed by this board against one of its licensees in September 2014 for “aiding…any unlicensed person or entity to practice a profession contrary to” the law for hiring an </w:t>
      </w:r>
      <w:r w:rsidR="00C22BDC" w:rsidRPr="006B0145">
        <w:rPr>
          <w:b/>
        </w:rPr>
        <w:t>un</w:t>
      </w:r>
      <w:r w:rsidR="00C22BDC">
        <w:t xml:space="preserve">licensed subcontractor to perform electrical work (rather than as an employee, whose work could have been </w:t>
      </w:r>
      <w:r w:rsidR="006B0145">
        <w:t xml:space="preserve">exempted from licensure as being </w:t>
      </w:r>
      <w:r w:rsidR="00C22BDC">
        <w:t xml:space="preserve">performed under the electrician’s license) without first checking the subcontractor’s license status. </w:t>
      </w:r>
      <w:r w:rsidR="00C22BDC" w:rsidRPr="006B0145">
        <w:rPr>
          <w:b/>
          <w:u w:val="single"/>
        </w:rPr>
        <w:t>Held:</w:t>
      </w:r>
      <w:r w:rsidR="00C22BDC">
        <w:t xml:space="preserve"> </w:t>
      </w:r>
      <w:r w:rsidR="006B0145">
        <w:t xml:space="preserve">(1) </w:t>
      </w:r>
      <w:r w:rsidR="00C22BDC">
        <w:t>The licensee had a duty to verify the subcontractor’s licensure status before any work was performed (which appears to be contrary to the Florida Supreme Court’</w:t>
      </w:r>
      <w:r w:rsidR="00B972A0">
        <w:t xml:space="preserve">s ruling in </w:t>
      </w:r>
      <w:hyperlink r:id="rId8" w:history="1">
        <w:r w:rsidR="00B972A0" w:rsidRPr="00B972A0">
          <w:rPr>
            <w:rFonts w:asciiTheme="majorHAnsi" w:hAnsiTheme="majorHAnsi" w:cstheme="majorHAnsi"/>
            <w:i/>
            <w:u w:val="single"/>
          </w:rPr>
          <w:t>Earth Trades, Inc. v. T&amp;G Corp.</w:t>
        </w:r>
        <w:r w:rsidR="00B972A0" w:rsidRPr="00B972A0">
          <w:rPr>
            <w:rFonts w:asciiTheme="majorHAnsi" w:hAnsiTheme="majorHAnsi" w:cstheme="majorHAnsi"/>
          </w:rPr>
          <w:t>, 108 So.3d 580 (Fla., 2013)</w:t>
        </w:r>
      </w:hyperlink>
      <w:r w:rsidR="00B972A0" w:rsidRPr="00B972A0">
        <w:rPr>
          <w:rFonts w:ascii="Verdana" w:hAnsi="Verdana"/>
          <w:sz w:val="18"/>
          <w:szCs w:val="18"/>
        </w:rPr>
        <w:t xml:space="preserve"> </w:t>
      </w:r>
      <w:r w:rsidR="00B972A0" w:rsidRPr="00B972A0">
        <w:t xml:space="preserve"> </w:t>
      </w:r>
      <w:r w:rsidR="00C22BDC">
        <w:t xml:space="preserve">in the </w:t>
      </w:r>
      <w:r w:rsidR="00C22BDC" w:rsidRPr="00C22BDC">
        <w:rPr>
          <w:i/>
        </w:rPr>
        <w:t>Earth Tec</w:t>
      </w:r>
      <w:r w:rsidR="00C22BDC">
        <w:t xml:space="preserve"> case)</w:t>
      </w:r>
      <w:r w:rsidR="006B0145">
        <w:t xml:space="preserve">, </w:t>
      </w:r>
      <w:r w:rsidR="00C22BDC">
        <w:t xml:space="preserve">AND </w:t>
      </w:r>
      <w:r w:rsidR="006B0145">
        <w:t xml:space="preserve">(2) </w:t>
      </w:r>
      <w:r w:rsidR="00B972A0">
        <w:t>P</w:t>
      </w:r>
      <w:r w:rsidR="00C22BDC">
        <w:t xml:space="preserve">roof of specific intent </w:t>
      </w:r>
      <w:r w:rsidR="006B0145">
        <w:t xml:space="preserve">to aid unlicensed activities </w:t>
      </w:r>
      <w:r w:rsidR="00C22BDC">
        <w:t xml:space="preserve">was not required since the 1988 statutory changes to s. 489.129(1)(e), </w:t>
      </w:r>
      <w:r w:rsidR="006B0145">
        <w:t>as had been previously determined to be required in</w:t>
      </w:r>
      <w:r w:rsidR="00C22BDC">
        <w:t xml:space="preserve"> </w:t>
      </w:r>
      <w:r w:rsidR="006B0145" w:rsidRPr="006B0145">
        <w:rPr>
          <w:i/>
          <w:u w:val="single"/>
        </w:rPr>
        <w:t>Blume v. D BPR, CILB, 489 So. 2d 880</w:t>
      </w:r>
      <w:r w:rsidR="006B0145">
        <w:t xml:space="preserve"> (Fla. 2</w:t>
      </w:r>
      <w:r w:rsidR="006B0145" w:rsidRPr="006B0145">
        <w:rPr>
          <w:vertAlign w:val="superscript"/>
        </w:rPr>
        <w:t>nd</w:t>
      </w:r>
      <w:r w:rsidR="006B0145">
        <w:t xml:space="preserve"> DCA 1986).</w:t>
      </w:r>
    </w:p>
    <w:p w:rsidR="004E60B2" w:rsidRPr="004E60B2" w:rsidRDefault="004E60B2" w:rsidP="00D72E5C">
      <w:pPr>
        <w:pStyle w:val="BlockText"/>
      </w:pPr>
    </w:p>
    <w:p w:rsidR="00B26EF6" w:rsidRPr="00B26EF6" w:rsidRDefault="00B26EF6" w:rsidP="00D72E5C">
      <w:pPr>
        <w:pStyle w:val="BlockText"/>
        <w:rPr>
          <w:b/>
          <w:u w:val="single"/>
        </w:rPr>
      </w:pPr>
      <w:r w:rsidRPr="00B26EF6">
        <w:rPr>
          <w:b/>
          <w:u w:val="single"/>
        </w:rPr>
        <w:t>AGENCY REGULATIONS:</w:t>
      </w:r>
    </w:p>
    <w:p w:rsidR="003747B5" w:rsidRDefault="00401A5C" w:rsidP="00217DA2">
      <w:pPr>
        <w:pStyle w:val="BlockText"/>
      </w:pPr>
      <w:r>
        <w:tab/>
      </w:r>
    </w:p>
    <w:p w:rsidR="004E142A" w:rsidRDefault="00DE52F2" w:rsidP="00DE52F2">
      <w:pPr>
        <w:pStyle w:val="BlockText"/>
      </w:pPr>
      <w:r w:rsidRPr="00B0622F">
        <w:rPr>
          <w:b/>
        </w:rPr>
        <w:t>A.</w:t>
      </w:r>
      <w:r>
        <w:t xml:space="preserve"> </w:t>
      </w:r>
      <w:r w:rsidR="004E142A">
        <w:rPr>
          <w:b/>
        </w:rPr>
        <w:t xml:space="preserve">Department of </w:t>
      </w:r>
      <w:r w:rsidR="004E142A" w:rsidRPr="0098369B">
        <w:rPr>
          <w:b/>
        </w:rPr>
        <w:t>Business and Professional Regulation</w:t>
      </w:r>
      <w:r w:rsidR="004E142A">
        <w:rPr>
          <w:b/>
        </w:rPr>
        <w:t>.</w:t>
      </w:r>
    </w:p>
    <w:p w:rsidR="004E142A" w:rsidRDefault="004E142A" w:rsidP="004E142A">
      <w:pPr>
        <w:pStyle w:val="BlockText"/>
        <w:ind w:left="720"/>
      </w:pPr>
    </w:p>
    <w:p w:rsidR="002A7577" w:rsidRPr="00B36BD2" w:rsidRDefault="004E142A" w:rsidP="0008109E">
      <w:pPr>
        <w:pStyle w:val="BlockText"/>
        <w:numPr>
          <w:ilvl w:val="0"/>
          <w:numId w:val="11"/>
        </w:numPr>
        <w:rPr>
          <w:b/>
        </w:rPr>
      </w:pPr>
      <w:r w:rsidRPr="00936542">
        <w:rPr>
          <w:u w:val="single"/>
        </w:rPr>
        <w:t>Construction Industry Licensing Board</w:t>
      </w:r>
      <w:r>
        <w:t xml:space="preserve"> – Chapter 489, Part I, FS and Chapter 61G4 FAC: </w:t>
      </w:r>
    </w:p>
    <w:p w:rsidR="00B36BD2" w:rsidRPr="002A7577" w:rsidRDefault="00B36BD2" w:rsidP="00B36BD2">
      <w:pPr>
        <w:pStyle w:val="BlockText"/>
        <w:ind w:left="1080"/>
        <w:rPr>
          <w:b/>
        </w:rPr>
      </w:pPr>
    </w:p>
    <w:p w:rsidR="004A46B4" w:rsidRPr="004A46B4" w:rsidRDefault="00E1125C" w:rsidP="004A46B4">
      <w:pPr>
        <w:pStyle w:val="BlockText"/>
        <w:numPr>
          <w:ilvl w:val="0"/>
          <w:numId w:val="18"/>
        </w:numPr>
        <w:rPr>
          <w:b/>
        </w:rPr>
      </w:pPr>
      <w:r>
        <w:t xml:space="preserve">This board has </w:t>
      </w:r>
      <w:r w:rsidR="00052694">
        <w:t>proposed</w:t>
      </w:r>
      <w:r>
        <w:t xml:space="preserve"> </w:t>
      </w:r>
      <w:r w:rsidR="004E142A">
        <w:t>adopt</w:t>
      </w:r>
      <w:r>
        <w:t>ed, repealed</w:t>
      </w:r>
      <w:r w:rsidR="004E142A">
        <w:t xml:space="preserve"> or amend</w:t>
      </w:r>
      <w:r>
        <w:t>ed</w:t>
      </w:r>
      <w:r w:rsidR="004E142A">
        <w:t xml:space="preserve"> the following rules (if any)</w:t>
      </w:r>
      <w:r w:rsidR="00B754FE">
        <w:t>:</w:t>
      </w:r>
    </w:p>
    <w:p w:rsidR="004A46B4" w:rsidRDefault="004A46B4" w:rsidP="004A46B4">
      <w:pPr>
        <w:pStyle w:val="BlockText"/>
        <w:ind w:left="1800"/>
      </w:pPr>
    </w:p>
    <w:p w:rsidR="00B972A0" w:rsidRDefault="00B972A0" w:rsidP="00B972A0">
      <w:pPr>
        <w:pStyle w:val="BlockText"/>
        <w:numPr>
          <w:ilvl w:val="2"/>
          <w:numId w:val="18"/>
        </w:numPr>
        <w:ind w:left="2160"/>
      </w:pPr>
      <w:r w:rsidRPr="00EF2347">
        <w:rPr>
          <w:b/>
        </w:rPr>
        <w:t>Rule 61G4-15.001(1)</w:t>
      </w:r>
      <w:r>
        <w:t xml:space="preserve"> proposed amendments being discussed to clarify that work experience must be on “habitable” and “new” structures and “ground up construction” were discussed for a second time at the board’s March 3015 meeting, but nothing has yet been approved for publication</w:t>
      </w:r>
      <w:r w:rsidR="00B06511">
        <w:rPr>
          <w:rStyle w:val="FootnoteReference"/>
        </w:rPr>
        <w:footnoteReference w:id="2"/>
      </w:r>
      <w:r>
        <w:t>. This proposal would also clarify the matrix of verifications that are no longer required.</w:t>
      </w:r>
    </w:p>
    <w:p w:rsidR="00B972A0" w:rsidRDefault="00B972A0" w:rsidP="00B972A0">
      <w:pPr>
        <w:pStyle w:val="BlockText"/>
        <w:ind w:left="2160"/>
        <w:rPr>
          <w:b/>
        </w:rPr>
      </w:pPr>
    </w:p>
    <w:p w:rsidR="0034626F" w:rsidRPr="00F21C36" w:rsidRDefault="006A4458" w:rsidP="00173BB8">
      <w:pPr>
        <w:pStyle w:val="BlockText"/>
        <w:numPr>
          <w:ilvl w:val="2"/>
          <w:numId w:val="18"/>
        </w:numPr>
        <w:ind w:left="2160"/>
        <w:rPr>
          <w:b/>
        </w:rPr>
      </w:pPr>
      <w:r w:rsidRPr="00EF2347">
        <w:rPr>
          <w:b/>
        </w:rPr>
        <w:t>Rule 61G4-</w:t>
      </w:r>
      <w:r w:rsidR="0034626F" w:rsidRPr="00EF2347">
        <w:rPr>
          <w:b/>
        </w:rPr>
        <w:t>17.001</w:t>
      </w:r>
      <w:r w:rsidR="00B607ED">
        <w:t xml:space="preserve"> </w:t>
      </w:r>
      <w:r w:rsidR="00B972A0">
        <w:t xml:space="preserve">final </w:t>
      </w:r>
      <w:r w:rsidR="00B607ED">
        <w:t>proposed</w:t>
      </w:r>
      <w:r w:rsidR="0034626F">
        <w:t xml:space="preserve"> </w:t>
      </w:r>
      <w:r w:rsidR="00B607ED">
        <w:t xml:space="preserve">amendments </w:t>
      </w:r>
      <w:r w:rsidR="0034626F">
        <w:t xml:space="preserve">regarding both minimum and maximum disciplinary guidelines </w:t>
      </w:r>
      <w:r w:rsidR="00B607ED">
        <w:t xml:space="preserve">have been changed </w:t>
      </w:r>
      <w:r w:rsidR="004E60B2">
        <w:t xml:space="preserve">and </w:t>
      </w:r>
      <w:r w:rsidR="00B972A0">
        <w:t>approved at the board’s March 3015</w:t>
      </w:r>
      <w:r w:rsidR="004E60B2">
        <w:t xml:space="preserve"> meeting.</w:t>
      </w:r>
    </w:p>
    <w:p w:rsidR="00F21C36" w:rsidRPr="001776E6" w:rsidRDefault="00F21C36" w:rsidP="00F21C36">
      <w:pPr>
        <w:pStyle w:val="BlockText"/>
        <w:tabs>
          <w:tab w:val="left" w:pos="1440"/>
          <w:tab w:val="left" w:pos="1980"/>
        </w:tabs>
        <w:rPr>
          <w:b/>
        </w:rPr>
      </w:pPr>
    </w:p>
    <w:p w:rsidR="00182EC5" w:rsidRPr="00EC6DFA" w:rsidRDefault="0032443B" w:rsidP="00D40DAB">
      <w:pPr>
        <w:pStyle w:val="BlockText"/>
        <w:numPr>
          <w:ilvl w:val="0"/>
          <w:numId w:val="18"/>
        </w:numPr>
        <w:rPr>
          <w:b/>
        </w:rPr>
      </w:pPr>
      <w:r>
        <w:t>This board has received the following Petitions for Declaratory Statement (if any):</w:t>
      </w:r>
    </w:p>
    <w:p w:rsidR="00EC6DFA" w:rsidRPr="00182EC5" w:rsidRDefault="00EC6DFA" w:rsidP="00EC6DFA">
      <w:pPr>
        <w:pStyle w:val="BlockText"/>
        <w:ind w:left="1800"/>
        <w:rPr>
          <w:b/>
        </w:rPr>
      </w:pPr>
    </w:p>
    <w:p w:rsidR="0032443B" w:rsidRPr="00EC6DFA" w:rsidRDefault="00182EC5" w:rsidP="00F21C36">
      <w:pPr>
        <w:pStyle w:val="BlockText"/>
        <w:numPr>
          <w:ilvl w:val="2"/>
          <w:numId w:val="18"/>
        </w:numPr>
        <w:ind w:left="2160"/>
        <w:rPr>
          <w:b/>
        </w:rPr>
      </w:pPr>
      <w:r w:rsidRPr="00EC6DFA">
        <w:rPr>
          <w:b/>
        </w:rPr>
        <w:t>Robert M. Solliday, Jr</w:t>
      </w:r>
      <w:r>
        <w:t>. – Petition filed on March 10, 2015, seeking a determination of the applicability of s. 489.105(3)(m) as to whether “fuel oil and gasoline piping ant tank and pump installation, except for bulk storage plants can be performed under a Plumbing contractor’s license.</w:t>
      </w:r>
      <w:r w:rsidR="004E142A">
        <w:t xml:space="preserve"> </w:t>
      </w:r>
    </w:p>
    <w:p w:rsidR="00EC6DFA" w:rsidRPr="00EC6DFA" w:rsidRDefault="00EC6DFA" w:rsidP="00EC6DFA">
      <w:pPr>
        <w:pStyle w:val="BlockText"/>
        <w:ind w:left="2520"/>
        <w:rPr>
          <w:b/>
        </w:rPr>
      </w:pPr>
    </w:p>
    <w:p w:rsidR="00EC6DFA" w:rsidRPr="00182EC5" w:rsidRDefault="00EC6DFA" w:rsidP="00F21C36">
      <w:pPr>
        <w:pStyle w:val="BlockText"/>
        <w:numPr>
          <w:ilvl w:val="2"/>
          <w:numId w:val="18"/>
        </w:numPr>
        <w:ind w:left="2160"/>
        <w:rPr>
          <w:b/>
        </w:rPr>
      </w:pPr>
      <w:r>
        <w:rPr>
          <w:b/>
        </w:rPr>
        <w:t xml:space="preserve">Joseph J. Celestin </w:t>
      </w:r>
      <w:r>
        <w:t>– Petition filed on March 11, 2015, seeking a determination of the applicability of s. 489.105(a), (b) and (c) as to whether a “construction compliance manager” must be licensed or whether a local government can require that such a manager on a public project must be an professional engineer.</w:t>
      </w:r>
    </w:p>
    <w:p w:rsidR="0032443B" w:rsidRPr="0032443B" w:rsidRDefault="0032443B" w:rsidP="00EC6DFA">
      <w:pPr>
        <w:pStyle w:val="BlockText"/>
        <w:rPr>
          <w:b/>
        </w:rPr>
      </w:pPr>
    </w:p>
    <w:p w:rsidR="00D40DAB" w:rsidRPr="00173BB8" w:rsidRDefault="0032443B" w:rsidP="003F6A5C">
      <w:pPr>
        <w:pStyle w:val="BlockText"/>
        <w:numPr>
          <w:ilvl w:val="0"/>
          <w:numId w:val="18"/>
        </w:numPr>
        <w:rPr>
          <w:b/>
        </w:rPr>
      </w:pPr>
      <w:r>
        <w:t xml:space="preserve">The board has </w:t>
      </w:r>
      <w:r w:rsidR="004E142A">
        <w:t>dis</w:t>
      </w:r>
      <w:r w:rsidR="002558FB">
        <w:t xml:space="preserve">posed of the following </w:t>
      </w:r>
      <w:r w:rsidR="009F7BC1">
        <w:t>Peti</w:t>
      </w:r>
      <w:r>
        <w:t>tions for Declaratory Statement (if any)</w:t>
      </w:r>
      <w:r w:rsidR="009F7BC1">
        <w:t>:</w:t>
      </w:r>
    </w:p>
    <w:p w:rsidR="00173BB8" w:rsidRDefault="00173BB8" w:rsidP="00173BB8">
      <w:pPr>
        <w:pStyle w:val="BlockText"/>
        <w:ind w:left="1800"/>
        <w:rPr>
          <w:b/>
        </w:rPr>
      </w:pPr>
    </w:p>
    <w:p w:rsidR="00FF5097" w:rsidRPr="00EF2347" w:rsidRDefault="00FF5097" w:rsidP="00FF5097">
      <w:pPr>
        <w:pStyle w:val="BlockText"/>
        <w:numPr>
          <w:ilvl w:val="2"/>
          <w:numId w:val="18"/>
        </w:numPr>
        <w:ind w:left="2340"/>
        <w:rPr>
          <w:b/>
        </w:rPr>
      </w:pPr>
      <w:r>
        <w:rPr>
          <w:b/>
        </w:rPr>
        <w:t>James R. Johannsson –</w:t>
      </w:r>
      <w:r>
        <w:t xml:space="preserve"> Petition received on February 6, 2015, seeks a determination of whether a contract for electrical or low voltage work can be awarded to a general contractor, provided the general contractors subcontracts the work to an appropriately licensed electrical or low voltage subcontractor. An order was entered on March 30, 2015 stating that such a contract can be awarded to a general contractor, provided that the electrical work is subcontracted to an appropriately licensed person.</w:t>
      </w:r>
    </w:p>
    <w:p w:rsidR="00FF5097" w:rsidRPr="00BB6D12" w:rsidRDefault="00FF5097" w:rsidP="00FF5097">
      <w:pPr>
        <w:pStyle w:val="BlockText"/>
        <w:ind w:left="3240"/>
        <w:rPr>
          <w:b/>
        </w:rPr>
      </w:pPr>
    </w:p>
    <w:p w:rsidR="00FF5097" w:rsidRPr="00FC6982" w:rsidRDefault="00FF5097" w:rsidP="00FF5097">
      <w:pPr>
        <w:pStyle w:val="BlockText"/>
        <w:numPr>
          <w:ilvl w:val="2"/>
          <w:numId w:val="18"/>
        </w:numPr>
        <w:ind w:left="2340"/>
        <w:rPr>
          <w:b/>
        </w:rPr>
      </w:pPr>
      <w:r>
        <w:rPr>
          <w:b/>
        </w:rPr>
        <w:t>John Fitch –</w:t>
      </w:r>
      <w:r>
        <w:t xml:space="preserve"> Petition filed on February 24, 2015, seeks a determination of whether a general contractor can apply a “non-hot tar” system as a roofing material on new construction built by the general contractor who is not also a licensed roofer. The petition describes the product as a self-adhered poly-glass system. The petition was not present at the board’s March meeting, and a Motion to Intervene was granted to the Florida Roofing and Sheet Metal Association, which was in opposition to the petition based on both procedural grounds (such as the petitioner failed to sign the petition), and on statutory grounds that Division II contractors are limited to the installation of shingles and shakes, but not roof “systems” was described in the petition. While the board members expressed support for the apparent statutory prohibition, it declined to issue a declaratory statement due to the procedural aspects that had been raised.</w:t>
      </w:r>
    </w:p>
    <w:p w:rsidR="00FC6982" w:rsidRDefault="00FC6982" w:rsidP="00FC6982">
      <w:pPr>
        <w:pStyle w:val="ListParagraph"/>
        <w:rPr>
          <w:b/>
        </w:rPr>
      </w:pPr>
    </w:p>
    <w:p w:rsidR="00FC6982" w:rsidRPr="00FC6982" w:rsidRDefault="00FC6982" w:rsidP="00FC6982">
      <w:pPr>
        <w:pStyle w:val="BlockText"/>
        <w:numPr>
          <w:ilvl w:val="2"/>
          <w:numId w:val="18"/>
        </w:numPr>
        <w:ind w:left="2340"/>
        <w:rPr>
          <w:b/>
        </w:rPr>
      </w:pPr>
      <w:r w:rsidRPr="003F6A5C">
        <w:rPr>
          <w:b/>
        </w:rPr>
        <w:t xml:space="preserve">Putnam County #DS2014-160 </w:t>
      </w:r>
      <w:r>
        <w:t>– Petition filed on December 18, 2014, regarding the application of Rule 61G4-15.015 to a registered specialty contractor (aluminum) serving as the primary contractor for a</w:t>
      </w:r>
      <w:r>
        <w:t xml:space="preserve"> screened room and wooden decks, appears to still be</w:t>
      </w:r>
      <w:r>
        <w:t xml:space="preserve"> pending board hearing.</w:t>
      </w:r>
    </w:p>
    <w:p w:rsidR="00FC6982" w:rsidRDefault="00FC6982" w:rsidP="00FC6982">
      <w:pPr>
        <w:pStyle w:val="ListParagraph"/>
        <w:rPr>
          <w:b/>
        </w:rPr>
      </w:pPr>
    </w:p>
    <w:p w:rsidR="00FC6982" w:rsidRPr="00FC6982" w:rsidRDefault="00FC6982" w:rsidP="00FC6982">
      <w:pPr>
        <w:pStyle w:val="BlockText"/>
        <w:numPr>
          <w:ilvl w:val="2"/>
          <w:numId w:val="18"/>
        </w:numPr>
        <w:ind w:left="2340"/>
        <w:rPr>
          <w:b/>
        </w:rPr>
      </w:pPr>
      <w:r>
        <w:rPr>
          <w:b/>
        </w:rPr>
        <w:t xml:space="preserve">Fort Pierce Utilities Authority – </w:t>
      </w:r>
      <w:r>
        <w:t>Petition filed on December 5, 2014, seeking a determination of the applicability of s. 489.103(2) and (5) was withdrawn.</w:t>
      </w:r>
    </w:p>
    <w:p w:rsidR="00FC6982" w:rsidRDefault="00FC6982" w:rsidP="00FC6982">
      <w:pPr>
        <w:pStyle w:val="ListParagraph"/>
        <w:rPr>
          <w:b/>
        </w:rPr>
      </w:pPr>
    </w:p>
    <w:p w:rsidR="00FF5097" w:rsidRPr="00FC6982" w:rsidRDefault="00FC6982" w:rsidP="00FC6982">
      <w:pPr>
        <w:pStyle w:val="BlockText"/>
        <w:numPr>
          <w:ilvl w:val="2"/>
          <w:numId w:val="18"/>
        </w:numPr>
        <w:ind w:left="2340"/>
        <w:rPr>
          <w:b/>
        </w:rPr>
      </w:pPr>
      <w:r w:rsidRPr="00FC6982">
        <w:rPr>
          <w:b/>
        </w:rPr>
        <w:t xml:space="preserve">Sandy Robinson and Kevin Powell – </w:t>
      </w:r>
      <w:r>
        <w:t>Petition filed on December 18, 2014 seeking a determination of when a Registered Specialty Contractor (Aluminum) can be the primary contractor on a permit for a screened room and wooden deck, was denied by order entered on March 6, 2015 for lack of standing (and to leave it up to the county regarding issuance of permits).</w:t>
      </w:r>
    </w:p>
    <w:p w:rsidR="00FC6982" w:rsidRPr="00FC6982" w:rsidRDefault="00FC6982" w:rsidP="00FC6982">
      <w:pPr>
        <w:pStyle w:val="BlockText"/>
        <w:rPr>
          <w:b/>
        </w:rPr>
      </w:pPr>
    </w:p>
    <w:p w:rsidR="006450DA" w:rsidRDefault="009F7BC1" w:rsidP="007B2FC8">
      <w:pPr>
        <w:pStyle w:val="BlockText"/>
        <w:numPr>
          <w:ilvl w:val="0"/>
          <w:numId w:val="18"/>
        </w:numPr>
      </w:pPr>
      <w:r>
        <w:t xml:space="preserve">This board has received or disposed of the following </w:t>
      </w:r>
      <w:r w:rsidR="002558FB">
        <w:t>Petition</w:t>
      </w:r>
      <w:r>
        <w:t>s</w:t>
      </w:r>
      <w:r w:rsidR="004E142A">
        <w:t xml:space="preserve"> for Va</w:t>
      </w:r>
      <w:r w:rsidR="0092555A">
        <w:t>riance or Waiver</w:t>
      </w:r>
      <w:r w:rsidR="00BB6D12">
        <w:t xml:space="preserve"> (if any):</w:t>
      </w:r>
    </w:p>
    <w:p w:rsidR="00DB4628" w:rsidRDefault="00DB4628" w:rsidP="00DB4628">
      <w:pPr>
        <w:pStyle w:val="ListParagraph"/>
      </w:pPr>
    </w:p>
    <w:p w:rsidR="00DB4628" w:rsidRDefault="00DB4628" w:rsidP="00173BB8">
      <w:pPr>
        <w:pStyle w:val="BlockText"/>
        <w:numPr>
          <w:ilvl w:val="2"/>
          <w:numId w:val="18"/>
        </w:numPr>
        <w:ind w:left="2340"/>
      </w:pPr>
      <w:r w:rsidRPr="00DB4628">
        <w:rPr>
          <w:b/>
        </w:rPr>
        <w:t>Ronald Clark</w:t>
      </w:r>
      <w:r>
        <w:t xml:space="preserve"> – </w:t>
      </w:r>
      <w:r w:rsidR="00BF384F">
        <w:t>filed on February 6, 2015, petitions for</w:t>
      </w:r>
      <w:r>
        <w:t xml:space="preserve"> a waiver of the requirements of Rule 61G4-16.005 that a passing grade will be valid for only a period of four (4) years.</w:t>
      </w:r>
      <w:r w:rsidR="00BF384F">
        <w:t xml:space="preserve"> By order entered on March 30, 2015, the board denied this petition for lack of demonstrated hardship.</w:t>
      </w:r>
    </w:p>
    <w:p w:rsidR="009855ED" w:rsidRDefault="009855ED" w:rsidP="009855ED">
      <w:pPr>
        <w:pStyle w:val="BlockText"/>
        <w:ind w:left="2340"/>
      </w:pPr>
    </w:p>
    <w:p w:rsidR="00BF384F" w:rsidRDefault="00BF384F" w:rsidP="00173BB8">
      <w:pPr>
        <w:pStyle w:val="BlockText"/>
        <w:numPr>
          <w:ilvl w:val="2"/>
          <w:numId w:val="18"/>
        </w:numPr>
        <w:ind w:left="2340"/>
      </w:pPr>
      <w:r>
        <w:rPr>
          <w:b/>
        </w:rPr>
        <w:t xml:space="preserve">Mehdi Jalayer and Ye Zhou </w:t>
      </w:r>
      <w:r>
        <w:t xml:space="preserve">– filed on March 26, 2015, </w:t>
      </w:r>
      <w:r w:rsidR="009855ED">
        <w:t>petition for a waiver of the board rules governing the requirements for credit reports. In light of the applicants’ Canadian citizenship, where “TU” credit scores are used instead of the required “FICO” credit scores, and where there are “providences” rather than “states,” the board approved the petition (and the applications) at its March 2015 meeting.</w:t>
      </w:r>
    </w:p>
    <w:p w:rsidR="00AA1DC4" w:rsidRPr="00AA1DC4" w:rsidRDefault="00AA1DC4" w:rsidP="00AA1DC4">
      <w:pPr>
        <w:pStyle w:val="BlockText"/>
        <w:rPr>
          <w:b/>
        </w:rPr>
      </w:pPr>
    </w:p>
    <w:p w:rsidR="00E05588" w:rsidRDefault="004E142A" w:rsidP="00E05588">
      <w:pPr>
        <w:pStyle w:val="BlockText"/>
        <w:numPr>
          <w:ilvl w:val="0"/>
          <w:numId w:val="11"/>
        </w:numPr>
      </w:pPr>
      <w:r w:rsidRPr="00BD45AE">
        <w:rPr>
          <w:u w:val="single"/>
        </w:rPr>
        <w:t>Electrical Contracting Licensing Board</w:t>
      </w:r>
      <w:r>
        <w:t xml:space="preserve"> (includes both electricians and alarm contractors) – Chapter </w:t>
      </w:r>
      <w:r w:rsidR="00EF30B1">
        <w:t>489, Part II, FS and 61G6, FAC</w:t>
      </w:r>
      <w:r w:rsidR="00BD45AE">
        <w:t xml:space="preserve">: </w:t>
      </w:r>
    </w:p>
    <w:p w:rsidR="00F2420F" w:rsidRDefault="00F2420F" w:rsidP="00F2420F">
      <w:pPr>
        <w:pStyle w:val="BlockText"/>
        <w:ind w:left="1080"/>
      </w:pPr>
    </w:p>
    <w:p w:rsidR="009855ED" w:rsidRDefault="00663A8E" w:rsidP="00173BB8">
      <w:pPr>
        <w:pStyle w:val="BlockText"/>
        <w:ind w:left="2160" w:hanging="720"/>
      </w:pPr>
      <w:r>
        <w:t xml:space="preserve">a. </w:t>
      </w:r>
      <w:r w:rsidR="009855ED">
        <w:t xml:space="preserve">  </w:t>
      </w:r>
      <w:r w:rsidR="00BD45AE">
        <w:t xml:space="preserve">This board has </w:t>
      </w:r>
      <w:r w:rsidR="00BE7523">
        <w:t>proposed</w:t>
      </w:r>
      <w:r w:rsidR="00BD45AE">
        <w:t xml:space="preserve"> adopted, repealed or amended the following rules (if any):</w:t>
      </w:r>
    </w:p>
    <w:p w:rsidR="00E05588" w:rsidRDefault="009855ED" w:rsidP="00173BB8">
      <w:pPr>
        <w:pStyle w:val="BlockText"/>
        <w:ind w:left="2160" w:hanging="720"/>
      </w:pPr>
      <w:r>
        <w:t xml:space="preserve">      </w:t>
      </w:r>
      <w:r w:rsidR="00DB4628">
        <w:t>None to report.</w:t>
      </w:r>
    </w:p>
    <w:p w:rsidR="00DB4628" w:rsidRDefault="00DB4628" w:rsidP="00DB4628">
      <w:pPr>
        <w:pStyle w:val="BlockText"/>
        <w:ind w:left="2520"/>
      </w:pPr>
    </w:p>
    <w:p w:rsidR="00F2420F" w:rsidRDefault="004E142A" w:rsidP="00173BB8">
      <w:pPr>
        <w:pStyle w:val="BlockText"/>
        <w:numPr>
          <w:ilvl w:val="1"/>
          <w:numId w:val="18"/>
        </w:numPr>
        <w:ind w:left="1800"/>
      </w:pPr>
      <w:r>
        <w:t xml:space="preserve">This board has received or disposed of the following Petitions for </w:t>
      </w:r>
      <w:r w:rsidR="00DB4628">
        <w:t xml:space="preserve">Declaratory Statement (if any): </w:t>
      </w:r>
      <w:r w:rsidR="00DB4628" w:rsidRPr="00DB4628">
        <w:rPr>
          <w:b/>
        </w:rPr>
        <w:t>Stephen W. Cassell</w:t>
      </w:r>
      <w:r w:rsidR="00DB4628">
        <w:rPr>
          <w:b/>
        </w:rPr>
        <w:t>/Nex-Gen Fiber Services, Inc.</w:t>
      </w:r>
      <w:r w:rsidR="00F2420F">
        <w:t xml:space="preserve"> – Petit</w:t>
      </w:r>
      <w:r w:rsidR="00DB4628">
        <w:t xml:space="preserve">ion filed </w:t>
      </w:r>
      <w:r w:rsidR="00F2420F">
        <w:t xml:space="preserve">seeking a determination </w:t>
      </w:r>
      <w:r w:rsidR="00DB4628">
        <w:t>of the applicability of section 489.503(14), as to w</w:t>
      </w:r>
      <w:r w:rsidR="00F2420F">
        <w:t>hether petitioner</w:t>
      </w:r>
      <w:r w:rsidR="00DB4628">
        <w:t xml:space="preserve"> would need to be licensed to perform telecommunication and/or fiber optic work, and, if so, what type of license would be required. </w:t>
      </w:r>
      <w:r w:rsidR="009855ED">
        <w:t>This appears to be still pending.</w:t>
      </w:r>
    </w:p>
    <w:p w:rsidR="00E05588" w:rsidRDefault="00E05588" w:rsidP="00E05588">
      <w:pPr>
        <w:pStyle w:val="BlockText"/>
      </w:pPr>
    </w:p>
    <w:p w:rsidR="00F917FF" w:rsidRDefault="004E142A" w:rsidP="00173BB8">
      <w:pPr>
        <w:pStyle w:val="BlockText"/>
        <w:numPr>
          <w:ilvl w:val="1"/>
          <w:numId w:val="18"/>
        </w:numPr>
        <w:tabs>
          <w:tab w:val="left" w:pos="2430"/>
        </w:tabs>
        <w:ind w:left="1800"/>
      </w:pPr>
      <w:r>
        <w:t xml:space="preserve">This board has received or disposed of the following Petitions for </w:t>
      </w:r>
      <w:r w:rsidR="009E2A70">
        <w:t>Va</w:t>
      </w:r>
      <w:r w:rsidR="00CB169A">
        <w:t xml:space="preserve">riance or Waiver </w:t>
      </w:r>
      <w:r w:rsidR="00DB4628">
        <w:t xml:space="preserve">(if any): </w:t>
      </w:r>
      <w:r w:rsidR="009855ED">
        <w:rPr>
          <w:b/>
        </w:rPr>
        <w:t>Olin Daniel Johnson II</w:t>
      </w:r>
      <w:r w:rsidR="009855ED">
        <w:t xml:space="preserve">- Petition filed on December 12, 2014, </w:t>
      </w:r>
      <w:r w:rsidR="00DB4628">
        <w:t>seeking a waiver from Rule 61G6-6.017, which requires a passing exam score on any part of the exam is valid only for a period of two (2) yea</w:t>
      </w:r>
      <w:r w:rsidR="009855ED">
        <w:t>rs from date of the examination was granted by order entered on January 30, 2015 based on demonstrated hardship.</w:t>
      </w:r>
    </w:p>
    <w:p w:rsidR="00F2420F" w:rsidRPr="00F917FF" w:rsidRDefault="00F2420F" w:rsidP="00F2420F">
      <w:pPr>
        <w:pStyle w:val="BlockText"/>
      </w:pPr>
    </w:p>
    <w:p w:rsidR="004E142A" w:rsidRDefault="004E142A" w:rsidP="007B2FC8">
      <w:pPr>
        <w:pStyle w:val="BlockText"/>
        <w:numPr>
          <w:ilvl w:val="0"/>
          <w:numId w:val="11"/>
        </w:numPr>
      </w:pPr>
      <w:r w:rsidRPr="00CF2384">
        <w:rPr>
          <w:u w:val="single"/>
        </w:rPr>
        <w:t>Board of Architecture and Interior Design</w:t>
      </w:r>
      <w:r>
        <w:t xml:space="preserve"> – Chapter 481, Part I, FS and 61G1 FAC: </w:t>
      </w:r>
    </w:p>
    <w:p w:rsidR="004E142A" w:rsidRDefault="004E142A" w:rsidP="004E142A">
      <w:pPr>
        <w:pStyle w:val="BlockText"/>
        <w:ind w:left="1080"/>
      </w:pPr>
    </w:p>
    <w:p w:rsidR="003C40E8" w:rsidRDefault="00E1125C" w:rsidP="00F21C36">
      <w:pPr>
        <w:pStyle w:val="BlockText"/>
        <w:numPr>
          <w:ilvl w:val="0"/>
          <w:numId w:val="19"/>
        </w:numPr>
        <w:tabs>
          <w:tab w:val="left" w:pos="1710"/>
        </w:tabs>
        <w:ind w:left="1440" w:firstLine="0"/>
      </w:pPr>
      <w:r>
        <w:t>This board has proposed, adopted, repealed or ame</w:t>
      </w:r>
      <w:r w:rsidR="000B1E71">
        <w:t>nded the following rules</w:t>
      </w:r>
      <w:r w:rsidR="00297D0C">
        <w:t xml:space="preserve"> (if any)</w:t>
      </w:r>
      <w:r w:rsidR="000B1E71">
        <w:t xml:space="preserve">: </w:t>
      </w:r>
      <w:r w:rsidR="00F21C36">
        <w:t xml:space="preserve"> </w:t>
      </w:r>
      <w:r w:rsidR="00D500CC">
        <w:t xml:space="preserve">None noticed. </w:t>
      </w:r>
    </w:p>
    <w:p w:rsidR="00AC4FD0" w:rsidRDefault="00AC4FD0" w:rsidP="00AC4FD0">
      <w:pPr>
        <w:pStyle w:val="BlockText"/>
        <w:ind w:left="1800"/>
      </w:pPr>
    </w:p>
    <w:p w:rsidR="004E142A" w:rsidRDefault="004E142A" w:rsidP="00F21C36">
      <w:pPr>
        <w:pStyle w:val="BlockText"/>
        <w:numPr>
          <w:ilvl w:val="0"/>
          <w:numId w:val="19"/>
        </w:numPr>
        <w:ind w:left="1800"/>
      </w:pPr>
      <w:r>
        <w:t xml:space="preserve">This board has received or disposed of the following Petitions for Declaratory Statement (if any): </w:t>
      </w:r>
      <w:r w:rsidR="009E2A70">
        <w:t>None</w:t>
      </w:r>
      <w:r w:rsidR="002558FB">
        <w:t xml:space="preserve"> noticed</w:t>
      </w:r>
      <w:r w:rsidR="009E2A70">
        <w:t>.</w:t>
      </w:r>
    </w:p>
    <w:p w:rsidR="004E142A" w:rsidRDefault="004E142A" w:rsidP="004E142A">
      <w:pPr>
        <w:pStyle w:val="ListParagraph"/>
      </w:pPr>
    </w:p>
    <w:p w:rsidR="004E142A" w:rsidRDefault="004E142A" w:rsidP="00F21C36">
      <w:pPr>
        <w:pStyle w:val="BlockText"/>
        <w:numPr>
          <w:ilvl w:val="0"/>
          <w:numId w:val="19"/>
        </w:numPr>
        <w:ind w:left="1710" w:hanging="270"/>
      </w:pPr>
      <w:r>
        <w:t>This board has received or disposed of the following Petitions f</w:t>
      </w:r>
      <w:r w:rsidR="00273404">
        <w:t>or Variance or Waiver (if any):</w:t>
      </w:r>
      <w:r w:rsidR="00AC4FD0">
        <w:t xml:space="preserve"> None noticed.</w:t>
      </w:r>
    </w:p>
    <w:p w:rsidR="004E2A5D" w:rsidRDefault="004E2A5D" w:rsidP="00AC4FD0">
      <w:pPr>
        <w:pStyle w:val="BlockText"/>
      </w:pPr>
    </w:p>
    <w:p w:rsidR="004E142A" w:rsidRDefault="004E142A" w:rsidP="007B2FC8">
      <w:pPr>
        <w:pStyle w:val="BlockText"/>
        <w:numPr>
          <w:ilvl w:val="0"/>
          <w:numId w:val="11"/>
        </w:numPr>
      </w:pPr>
      <w:r w:rsidRPr="00EF1953">
        <w:rPr>
          <w:u w:val="single"/>
        </w:rPr>
        <w:t>Board of Landscape Architecture</w:t>
      </w:r>
      <w:r>
        <w:t xml:space="preserve"> – Chapter 481, Part II, FS and 61G10 FAC: </w:t>
      </w:r>
    </w:p>
    <w:p w:rsidR="00B52A30" w:rsidRDefault="00B52A30" w:rsidP="00B52A30">
      <w:pPr>
        <w:pStyle w:val="BlockText"/>
        <w:ind w:left="1080"/>
      </w:pPr>
    </w:p>
    <w:p w:rsidR="00D4023D" w:rsidRDefault="00B52A30" w:rsidP="00173BB8">
      <w:pPr>
        <w:pStyle w:val="BlockText"/>
        <w:numPr>
          <w:ilvl w:val="1"/>
          <w:numId w:val="19"/>
        </w:numPr>
        <w:tabs>
          <w:tab w:val="left" w:pos="1440"/>
        </w:tabs>
        <w:ind w:left="1890"/>
      </w:pPr>
      <w:r>
        <w:t>This board has proposed, adopted, repealed or amended the following rules</w:t>
      </w:r>
      <w:r w:rsidR="00CF569B">
        <w:t xml:space="preserve"> (both of which appear to be still pending)</w:t>
      </w:r>
      <w:r>
        <w:t>:</w:t>
      </w:r>
    </w:p>
    <w:p w:rsidR="00271329" w:rsidRDefault="00271329" w:rsidP="00271329">
      <w:pPr>
        <w:pStyle w:val="BlockText"/>
        <w:ind w:left="2520"/>
      </w:pPr>
    </w:p>
    <w:p w:rsidR="00B52A30" w:rsidRDefault="00D4023D" w:rsidP="00173BB8">
      <w:pPr>
        <w:pStyle w:val="BlockText"/>
        <w:numPr>
          <w:ilvl w:val="2"/>
          <w:numId w:val="19"/>
        </w:numPr>
        <w:ind w:left="2340"/>
      </w:pPr>
      <w:r>
        <w:t xml:space="preserve">Rule 61G10-11.010 regarding seals is being amended to remove the requirement for “impression type metal seals.” </w:t>
      </w:r>
    </w:p>
    <w:p w:rsidR="00D4023D" w:rsidRDefault="00D4023D" w:rsidP="00D4023D">
      <w:pPr>
        <w:pStyle w:val="BlockText"/>
        <w:ind w:left="2520"/>
      </w:pPr>
    </w:p>
    <w:p w:rsidR="00D4023D" w:rsidRDefault="00D4023D" w:rsidP="00173BB8">
      <w:pPr>
        <w:pStyle w:val="BlockText"/>
        <w:numPr>
          <w:ilvl w:val="2"/>
          <w:numId w:val="19"/>
        </w:numPr>
        <w:ind w:left="2340"/>
      </w:pPr>
      <w:r>
        <w:t>Rule 61G10-18.002, .003 and .006 regarding continuing education provides and course approvals.</w:t>
      </w:r>
    </w:p>
    <w:p w:rsidR="00E66237" w:rsidRDefault="00E66237" w:rsidP="00E66237">
      <w:pPr>
        <w:pStyle w:val="BlockText"/>
        <w:ind w:left="2520"/>
      </w:pPr>
    </w:p>
    <w:p w:rsidR="00B52A30" w:rsidRDefault="00B52A30" w:rsidP="00173BB8">
      <w:pPr>
        <w:pStyle w:val="BlockText"/>
        <w:numPr>
          <w:ilvl w:val="1"/>
          <w:numId w:val="19"/>
        </w:numPr>
        <w:ind w:left="1800"/>
      </w:pPr>
      <w:r>
        <w:t>This board has received or disposed of the following Petitions for Declaratory Statement (if any): None noticed.</w:t>
      </w:r>
    </w:p>
    <w:p w:rsidR="00B52A30" w:rsidRDefault="00B52A30" w:rsidP="00B52A30">
      <w:pPr>
        <w:pStyle w:val="ListParagraph"/>
      </w:pPr>
    </w:p>
    <w:p w:rsidR="009855ED" w:rsidRDefault="00B52A30" w:rsidP="009855ED">
      <w:pPr>
        <w:pStyle w:val="BlockText"/>
        <w:numPr>
          <w:ilvl w:val="1"/>
          <w:numId w:val="19"/>
        </w:numPr>
        <w:ind w:left="1800"/>
      </w:pPr>
      <w:r>
        <w:t>This board has received or disposed of the following Petitions for Variance o</w:t>
      </w:r>
      <w:r w:rsidR="00D4023D">
        <w:t xml:space="preserve">r Waiver (if any): </w:t>
      </w:r>
      <w:r w:rsidR="009855ED">
        <w:t>None noticed.</w:t>
      </w:r>
    </w:p>
    <w:p w:rsidR="009855ED" w:rsidRDefault="009855ED" w:rsidP="009855ED">
      <w:pPr>
        <w:pStyle w:val="ListParagraph"/>
        <w:rPr>
          <w:u w:val="single"/>
        </w:rPr>
      </w:pPr>
    </w:p>
    <w:p w:rsidR="004E142A" w:rsidRDefault="004E142A" w:rsidP="009855ED">
      <w:pPr>
        <w:pStyle w:val="BlockText"/>
        <w:numPr>
          <w:ilvl w:val="0"/>
          <w:numId w:val="11"/>
        </w:numPr>
      </w:pPr>
      <w:r w:rsidRPr="00D42313">
        <w:rPr>
          <w:u w:val="single"/>
        </w:rPr>
        <w:t>Board of Professional Engineers</w:t>
      </w:r>
      <w:r>
        <w:t xml:space="preserve"> – Chapter 471, FS and 61G15 FAC: </w:t>
      </w:r>
    </w:p>
    <w:p w:rsidR="004E142A" w:rsidRDefault="004E142A" w:rsidP="004E142A">
      <w:pPr>
        <w:pStyle w:val="BlockText"/>
      </w:pPr>
    </w:p>
    <w:p w:rsidR="00B73DBD" w:rsidRDefault="00E1125C" w:rsidP="007B2FC8">
      <w:pPr>
        <w:pStyle w:val="BlockText"/>
        <w:numPr>
          <w:ilvl w:val="0"/>
          <w:numId w:val="20"/>
        </w:numPr>
      </w:pPr>
      <w:r>
        <w:t xml:space="preserve">This board has </w:t>
      </w:r>
      <w:r w:rsidR="004204AE">
        <w:t>proposed</w:t>
      </w:r>
      <w:r>
        <w:t xml:space="preserve"> adopted, repealed or amended</w:t>
      </w:r>
      <w:r w:rsidR="00B73DBD">
        <w:t xml:space="preserve"> the followin</w:t>
      </w:r>
      <w:r w:rsidR="00434B55">
        <w:t>g rules (if any):</w:t>
      </w:r>
    </w:p>
    <w:p w:rsidR="00434B55" w:rsidRDefault="00434B55" w:rsidP="00434B55">
      <w:pPr>
        <w:pStyle w:val="BlockText"/>
        <w:ind w:left="1440"/>
      </w:pPr>
    </w:p>
    <w:p w:rsidR="00434B55" w:rsidRDefault="00434B55" w:rsidP="00DD1B53">
      <w:pPr>
        <w:pStyle w:val="BlockText"/>
        <w:numPr>
          <w:ilvl w:val="2"/>
          <w:numId w:val="20"/>
        </w:numPr>
        <w:ind w:left="2340"/>
      </w:pPr>
      <w:r>
        <w:t>Rule 61G15-20.0010 regarding licensure by examination is being review for possible updating.</w:t>
      </w:r>
    </w:p>
    <w:p w:rsidR="00434B55" w:rsidRDefault="00434B55" w:rsidP="00434B55">
      <w:pPr>
        <w:pStyle w:val="BlockText"/>
        <w:ind w:left="3240"/>
      </w:pPr>
    </w:p>
    <w:p w:rsidR="00434B55" w:rsidRDefault="00434B55" w:rsidP="00DD1B53">
      <w:pPr>
        <w:pStyle w:val="BlockText"/>
        <w:numPr>
          <w:ilvl w:val="2"/>
          <w:numId w:val="20"/>
        </w:numPr>
        <w:ind w:left="2340"/>
      </w:pPr>
      <w:r>
        <w:t>Rule 61G15-20.0015 regarding licensure by endorsement is being reviewed for possible updating and to add an active practice requirement for 3 of the past 5 years.</w:t>
      </w:r>
    </w:p>
    <w:p w:rsidR="00434B55" w:rsidRDefault="00434B55" w:rsidP="00434B55">
      <w:pPr>
        <w:pStyle w:val="ListParagraph"/>
      </w:pPr>
    </w:p>
    <w:p w:rsidR="00434B55" w:rsidRDefault="00434B55" w:rsidP="00DD1B53">
      <w:pPr>
        <w:pStyle w:val="BlockText"/>
        <w:numPr>
          <w:ilvl w:val="2"/>
          <w:numId w:val="20"/>
        </w:numPr>
        <w:ind w:left="2340"/>
      </w:pPr>
      <w:r>
        <w:t>Rule 61G15-31.006 regarding design of structural systems utilizing open web steel joints and joist girders is being amended to delete unnecessary language to add new language to clarify the requirements for such designs by reference to Section 2206 of the Florida Building Code.</w:t>
      </w:r>
    </w:p>
    <w:p w:rsidR="00434B55" w:rsidRDefault="00434B55" w:rsidP="00434B55">
      <w:pPr>
        <w:pStyle w:val="ListParagraph"/>
      </w:pPr>
    </w:p>
    <w:p w:rsidR="00434B55" w:rsidRDefault="00434B55" w:rsidP="00DD1B53">
      <w:pPr>
        <w:pStyle w:val="BlockText"/>
        <w:numPr>
          <w:ilvl w:val="2"/>
          <w:numId w:val="20"/>
        </w:numPr>
        <w:ind w:left="2340"/>
      </w:pPr>
      <w:r>
        <w:t>Rule 61G15-32.004 regarding design of water based fire protection systems was proposed for change, but has since been withdrawn.</w:t>
      </w:r>
    </w:p>
    <w:p w:rsidR="00434B55" w:rsidRDefault="00434B55" w:rsidP="00434B55">
      <w:pPr>
        <w:pStyle w:val="ListParagraph"/>
      </w:pPr>
    </w:p>
    <w:p w:rsidR="00434B55" w:rsidRDefault="00434B55" w:rsidP="00CF3D80">
      <w:pPr>
        <w:pStyle w:val="BlockText"/>
        <w:numPr>
          <w:ilvl w:val="2"/>
          <w:numId w:val="20"/>
        </w:numPr>
        <w:ind w:left="2340" w:hanging="270"/>
      </w:pPr>
      <w:r>
        <w:t>Rule 61G15-35.003 regarding the qualification program for special inspectors of threshold buildings had been noticed for change, but has since been withdrawn.</w:t>
      </w:r>
    </w:p>
    <w:p w:rsidR="00B73DBD" w:rsidRDefault="00B73DBD" w:rsidP="00B73DBD">
      <w:pPr>
        <w:pStyle w:val="BlockText"/>
        <w:ind w:left="1800"/>
      </w:pPr>
    </w:p>
    <w:p w:rsidR="00E3126D" w:rsidRDefault="009E2A70" w:rsidP="007B2FC8">
      <w:pPr>
        <w:pStyle w:val="BlockText"/>
        <w:numPr>
          <w:ilvl w:val="0"/>
          <w:numId w:val="20"/>
        </w:numPr>
      </w:pPr>
      <w:r>
        <w:t xml:space="preserve">This board has received or disposed of the following Petitions for </w:t>
      </w:r>
      <w:r w:rsidR="00052694">
        <w:t>Declaratory Statement</w:t>
      </w:r>
      <w:r w:rsidR="00003119">
        <w:t xml:space="preserve"> (if any</w:t>
      </w:r>
      <w:r w:rsidR="000B0D3F">
        <w:t>): None noticed</w:t>
      </w:r>
      <w:r w:rsidR="00E66237">
        <w:t>.</w:t>
      </w:r>
    </w:p>
    <w:p w:rsidR="000B0D3F" w:rsidRDefault="000B0D3F" w:rsidP="000B0D3F">
      <w:pPr>
        <w:pStyle w:val="BlockText"/>
        <w:ind w:left="1800"/>
      </w:pPr>
    </w:p>
    <w:p w:rsidR="00CC1B0F" w:rsidRDefault="000B0D3F" w:rsidP="007B2FC8">
      <w:pPr>
        <w:pStyle w:val="BlockText"/>
        <w:numPr>
          <w:ilvl w:val="0"/>
          <w:numId w:val="20"/>
        </w:numPr>
      </w:pPr>
      <w:r>
        <w:t>This board has received or disposed of the following Petitions for Variance or Waiver (i</w:t>
      </w:r>
      <w:r w:rsidR="00B73DBD">
        <w:t>f any):</w:t>
      </w:r>
      <w:r w:rsidR="00034306">
        <w:t xml:space="preserve"> </w:t>
      </w:r>
    </w:p>
    <w:p w:rsidR="00CC1B0F" w:rsidRDefault="00CC1B0F" w:rsidP="00CC1B0F">
      <w:pPr>
        <w:pStyle w:val="ListParagraph"/>
        <w:rPr>
          <w:b/>
        </w:rPr>
      </w:pPr>
    </w:p>
    <w:p w:rsidR="000B0D3F" w:rsidRDefault="00CC1B0F" w:rsidP="00CF3D80">
      <w:pPr>
        <w:pStyle w:val="BlockText"/>
        <w:numPr>
          <w:ilvl w:val="2"/>
          <w:numId w:val="20"/>
        </w:numPr>
        <w:ind w:left="2430" w:hanging="360"/>
      </w:pPr>
      <w:r>
        <w:rPr>
          <w:b/>
        </w:rPr>
        <w:t>Louis Kneip</w:t>
      </w:r>
      <w:r>
        <w:t>– Petition filed on December 7, 2014</w:t>
      </w:r>
      <w:r w:rsidR="00B73DBD">
        <w:t>,</w:t>
      </w:r>
      <w:r w:rsidR="00034306">
        <w:t xml:space="preserve"> </w:t>
      </w:r>
      <w:r w:rsidR="00A9229C">
        <w:t>which appears to regard</w:t>
      </w:r>
      <w:r w:rsidR="00034306">
        <w:t xml:space="preserve"> the appl</w:t>
      </w:r>
      <w:r w:rsidR="00A9229C">
        <w:t>ication of Rule 61G15-20.0015</w:t>
      </w:r>
      <w:r>
        <w:t>(5)</w:t>
      </w:r>
      <w:r w:rsidR="00034306">
        <w:t xml:space="preserve"> with respect to </w:t>
      </w:r>
      <w:r w:rsidR="00A9229C">
        <w:t xml:space="preserve">the </w:t>
      </w:r>
      <w:r w:rsidR="00034306">
        <w:t xml:space="preserve">licensing </w:t>
      </w:r>
      <w:r w:rsidR="00A9229C">
        <w:t xml:space="preserve">requirements that </w:t>
      </w:r>
      <w:r w:rsidR="00034306">
        <w:t>an applicant has held a valid license in another state for 15 years and has 20 years of continuous professional-level engineering experience</w:t>
      </w:r>
      <w:r>
        <w:t>, was denied by order entered on March 13, 2015, based on the statutory requirements for same</w:t>
      </w:r>
      <w:r w:rsidR="00B73DBD">
        <w:t>.</w:t>
      </w:r>
    </w:p>
    <w:p w:rsidR="00CC1B0F" w:rsidRDefault="00CC1B0F" w:rsidP="00CC1B0F">
      <w:pPr>
        <w:pStyle w:val="BlockText"/>
        <w:ind w:left="2520"/>
      </w:pPr>
    </w:p>
    <w:p w:rsidR="00CC1B0F" w:rsidRDefault="00CC1B0F" w:rsidP="00CF3D80">
      <w:pPr>
        <w:pStyle w:val="BlockText"/>
        <w:numPr>
          <w:ilvl w:val="2"/>
          <w:numId w:val="20"/>
        </w:numPr>
        <w:ind w:left="2430" w:hanging="360"/>
      </w:pPr>
      <w:r>
        <w:rPr>
          <w:b/>
        </w:rPr>
        <w:t>Sivakumar Munuswamy, PhD</w:t>
      </w:r>
      <w:r w:rsidRPr="00CC1B0F">
        <w:t>.</w:t>
      </w:r>
      <w:r>
        <w:t xml:space="preserve"> – Petition filed on February 27, 2015, seeking relief from Rule 61G15-20.007 with respect to the requirement that each applicant must demonstrate substantial equivalency for general education courses.</w:t>
      </w:r>
    </w:p>
    <w:p w:rsidR="00CC1B0F" w:rsidRDefault="00CC1B0F" w:rsidP="00CC1B0F">
      <w:pPr>
        <w:pStyle w:val="ListParagraph"/>
      </w:pPr>
    </w:p>
    <w:p w:rsidR="00CC1B0F" w:rsidRDefault="00CC1B0F" w:rsidP="00CF3D80">
      <w:pPr>
        <w:pStyle w:val="BlockText"/>
        <w:numPr>
          <w:ilvl w:val="2"/>
          <w:numId w:val="20"/>
        </w:numPr>
        <w:ind w:left="2430" w:hanging="360"/>
      </w:pPr>
      <w:r w:rsidRPr="00CC1B0F">
        <w:rPr>
          <w:b/>
        </w:rPr>
        <w:t>Daniel Joita</w:t>
      </w:r>
      <w:r>
        <w:t xml:space="preserve"> – Petition filed on March 3, 2014, seeking relief from Rule 61G15-20.007(1) with respect to the requirement that each applicant must demonstrate completion of 16 college semester credit hours in Humanities and Social Sciences was granted by order entered on February 10, 2015.</w:t>
      </w:r>
    </w:p>
    <w:p w:rsidR="00CC1B0F" w:rsidRDefault="00CC1B0F" w:rsidP="00CF3D80">
      <w:pPr>
        <w:pStyle w:val="BlockText"/>
        <w:ind w:left="2430"/>
      </w:pPr>
      <w:r w:rsidRPr="00CC1B0F">
        <w:rPr>
          <w:rFonts w:eastAsiaTheme="minorHAnsi"/>
          <w:b/>
          <w:iCs w:val="0"/>
          <w:u w:val="single"/>
        </w:rPr>
        <w:t>Editor’s Note</w:t>
      </w:r>
      <w:r w:rsidRPr="00CC1B0F">
        <w:rPr>
          <w:b/>
          <w:u w:val="single"/>
        </w:rPr>
        <w:t>:</w:t>
      </w:r>
      <w:r>
        <w:t xml:space="preserve"> Almost a YEAR to get an order seems unusually harsh.</w:t>
      </w:r>
    </w:p>
    <w:p w:rsidR="000B0D3F" w:rsidRDefault="000B0D3F" w:rsidP="000B0D3F">
      <w:pPr>
        <w:pStyle w:val="BlockText"/>
      </w:pPr>
    </w:p>
    <w:p w:rsidR="004E142A" w:rsidRDefault="004E142A" w:rsidP="007B2FC8">
      <w:pPr>
        <w:pStyle w:val="BlockText"/>
        <w:numPr>
          <w:ilvl w:val="0"/>
          <w:numId w:val="11"/>
        </w:numPr>
      </w:pPr>
      <w:r w:rsidRPr="009A1012">
        <w:rPr>
          <w:u w:val="single"/>
        </w:rPr>
        <w:t>Building Code Administrators and Inspectors</w:t>
      </w:r>
      <w:r>
        <w:t xml:space="preserve"> Board – Chapt</w:t>
      </w:r>
      <w:r w:rsidR="00E3126D">
        <w:t>er 468, Part XII and 61G19 FAC:</w:t>
      </w:r>
    </w:p>
    <w:p w:rsidR="004E142A" w:rsidRDefault="004E142A" w:rsidP="004E142A">
      <w:pPr>
        <w:pStyle w:val="BlockText"/>
        <w:ind w:left="1440"/>
      </w:pPr>
    </w:p>
    <w:p w:rsidR="004E142A" w:rsidRDefault="00C80E12" w:rsidP="00C80E12">
      <w:pPr>
        <w:pStyle w:val="BlockText"/>
        <w:tabs>
          <w:tab w:val="left" w:pos="1710"/>
        </w:tabs>
        <w:ind w:left="1710" w:hanging="270"/>
      </w:pPr>
      <w:r>
        <w:t xml:space="preserve">a. </w:t>
      </w:r>
      <w:r w:rsidR="00E1125C">
        <w:t>This board has proposed, adopted, repealed or amended the following rules (if any):</w:t>
      </w:r>
      <w:r w:rsidR="00E3126D">
        <w:t xml:space="preserve"> None noticed</w:t>
      </w:r>
    </w:p>
    <w:p w:rsidR="004E142A" w:rsidRDefault="004E142A" w:rsidP="004E142A">
      <w:pPr>
        <w:pStyle w:val="BlockText"/>
      </w:pPr>
    </w:p>
    <w:p w:rsidR="00034306" w:rsidRDefault="00C80E12" w:rsidP="00C80E12">
      <w:pPr>
        <w:pStyle w:val="BlockText"/>
        <w:numPr>
          <w:ilvl w:val="1"/>
          <w:numId w:val="20"/>
        </w:numPr>
        <w:tabs>
          <w:tab w:val="left" w:pos="1710"/>
        </w:tabs>
        <w:ind w:left="1620" w:hanging="180"/>
      </w:pPr>
      <w:r>
        <w:t xml:space="preserve"> </w:t>
      </w:r>
      <w:r w:rsidR="004E142A">
        <w:t xml:space="preserve">This board has received or disposed of the following Petitions for Declaratory </w:t>
      </w:r>
      <w:r>
        <w:t xml:space="preserve">     </w:t>
      </w:r>
      <w:r w:rsidR="004E142A">
        <w:t>Statement (if any</w:t>
      </w:r>
      <w:r w:rsidR="00B73DBD">
        <w:t xml:space="preserve">): </w:t>
      </w:r>
      <w:r w:rsidR="00A9229C">
        <w:t>None noticed.</w:t>
      </w:r>
    </w:p>
    <w:p w:rsidR="00A9229C" w:rsidRDefault="00A9229C" w:rsidP="00A9229C">
      <w:pPr>
        <w:pStyle w:val="BlockText"/>
      </w:pPr>
    </w:p>
    <w:p w:rsidR="004E142A" w:rsidRDefault="004E142A" w:rsidP="00C80E12">
      <w:pPr>
        <w:pStyle w:val="BlockText"/>
        <w:numPr>
          <w:ilvl w:val="1"/>
          <w:numId w:val="20"/>
        </w:numPr>
        <w:tabs>
          <w:tab w:val="left" w:pos="1710"/>
        </w:tabs>
        <w:ind w:left="1620" w:hanging="180"/>
      </w:pPr>
      <w:r>
        <w:t xml:space="preserve">This board has received or disposed of the following Petitions for Variance or Waiver (if any): </w:t>
      </w:r>
      <w:r w:rsidR="004204AE">
        <w:t>None</w:t>
      </w:r>
      <w:r w:rsidR="00920535">
        <w:t xml:space="preserve"> noticed</w:t>
      </w:r>
      <w:r w:rsidR="004204AE">
        <w:t>.</w:t>
      </w:r>
    </w:p>
    <w:p w:rsidR="004E142A" w:rsidRPr="003134D3" w:rsidRDefault="004E142A" w:rsidP="004E142A">
      <w:pPr>
        <w:pStyle w:val="BlockText"/>
      </w:pPr>
    </w:p>
    <w:p w:rsidR="00F73B56" w:rsidRDefault="004E142A" w:rsidP="007B2FC8">
      <w:pPr>
        <w:pStyle w:val="BlockText"/>
        <w:numPr>
          <w:ilvl w:val="0"/>
          <w:numId w:val="11"/>
        </w:numPr>
      </w:pPr>
      <w:r w:rsidRPr="00A82F6F">
        <w:rPr>
          <w:u w:val="single"/>
        </w:rPr>
        <w:t>Florida Building Commission</w:t>
      </w:r>
      <w:r>
        <w:rPr>
          <w:rStyle w:val="FootnoteReference"/>
          <w:u w:val="single"/>
        </w:rPr>
        <w:footnoteReference w:id="3"/>
      </w:r>
      <w:r>
        <w:t xml:space="preserve"> – Chapter 553, Part IV and Chapter 61G20, FAC): </w:t>
      </w:r>
    </w:p>
    <w:p w:rsidR="00F73B56" w:rsidRDefault="00F73B56" w:rsidP="00F73B56">
      <w:pPr>
        <w:pStyle w:val="BlockText"/>
        <w:ind w:left="720"/>
        <w:rPr>
          <w:u w:val="single"/>
        </w:rPr>
      </w:pPr>
    </w:p>
    <w:p w:rsidR="00920535" w:rsidRPr="007A5E81" w:rsidRDefault="00F73B56" w:rsidP="006E0D5B">
      <w:pPr>
        <w:pStyle w:val="BlockText"/>
        <w:ind w:left="720"/>
      </w:pPr>
      <w:r>
        <w:rPr>
          <w:b/>
          <w:u w:val="single"/>
        </w:rPr>
        <w:t xml:space="preserve">CODE </w:t>
      </w:r>
      <w:r w:rsidRPr="00D255AC">
        <w:rPr>
          <w:b/>
          <w:u w:val="single"/>
        </w:rPr>
        <w:t>NOTE</w:t>
      </w:r>
      <w:r w:rsidRPr="00D255AC">
        <w:rPr>
          <w:b/>
        </w:rPr>
        <w:t xml:space="preserve">: </w:t>
      </w:r>
      <w:r w:rsidR="006E0D5B">
        <w:rPr>
          <w:b/>
        </w:rPr>
        <w:t>T</w:t>
      </w:r>
      <w:r w:rsidRPr="00571120">
        <w:rPr>
          <w:b/>
        </w:rPr>
        <w:t>he effective date of the next Florida Bu</w:t>
      </w:r>
      <w:r w:rsidR="006E0D5B">
        <w:rPr>
          <w:b/>
        </w:rPr>
        <w:t xml:space="preserve">ilding Code, which </w:t>
      </w:r>
      <w:r>
        <w:rPr>
          <w:b/>
        </w:rPr>
        <w:t>will be entitled "Florida Building Code 5</w:t>
      </w:r>
      <w:r w:rsidRPr="00571120">
        <w:rPr>
          <w:b/>
          <w:vertAlign w:val="superscript"/>
        </w:rPr>
        <w:t>th</w:t>
      </w:r>
      <w:r w:rsidR="006E0D5B">
        <w:rPr>
          <w:b/>
        </w:rPr>
        <w:t xml:space="preserve"> Edition (2014),</w:t>
      </w:r>
      <w:r>
        <w:rPr>
          <w:b/>
        </w:rPr>
        <w:t>"</w:t>
      </w:r>
      <w:r w:rsidR="000B0D3F">
        <w:rPr>
          <w:b/>
        </w:rPr>
        <w:t xml:space="preserve"> </w:t>
      </w:r>
      <w:r w:rsidR="006E0D5B">
        <w:rPr>
          <w:b/>
        </w:rPr>
        <w:t>is June 30, 2015.</w:t>
      </w:r>
      <w:r w:rsidR="007A5E81">
        <w:rPr>
          <w:b/>
        </w:rPr>
        <w:t xml:space="preserve"> See</w:t>
      </w:r>
      <w:r w:rsidR="007A5E81" w:rsidRPr="007A5E81">
        <w:t>: Rule 61G20-1.001</w:t>
      </w:r>
    </w:p>
    <w:p w:rsidR="00B0622F" w:rsidRPr="00E3126D" w:rsidRDefault="00B0622F" w:rsidP="00E3126D">
      <w:pPr>
        <w:pStyle w:val="BlockText"/>
        <w:rPr>
          <w:b/>
        </w:rPr>
      </w:pPr>
    </w:p>
    <w:p w:rsidR="00C60ABB" w:rsidRDefault="00E1125C" w:rsidP="00086D79">
      <w:pPr>
        <w:pStyle w:val="BlockText"/>
        <w:numPr>
          <w:ilvl w:val="0"/>
          <w:numId w:val="21"/>
        </w:numPr>
      </w:pPr>
      <w:r>
        <w:t>This board has proposed, adopted, repealed or amended the following rules (if any):</w:t>
      </w:r>
    </w:p>
    <w:p w:rsidR="00AE4140" w:rsidRDefault="00AE4140" w:rsidP="00AE4140">
      <w:pPr>
        <w:pStyle w:val="BlockText"/>
        <w:ind w:left="1800"/>
      </w:pPr>
    </w:p>
    <w:p w:rsidR="00C80E12" w:rsidRDefault="00C80E12" w:rsidP="00AE4140">
      <w:pPr>
        <w:pStyle w:val="BlockText"/>
        <w:numPr>
          <w:ilvl w:val="2"/>
          <w:numId w:val="21"/>
        </w:numPr>
        <w:ind w:left="2340"/>
      </w:pPr>
      <w:r>
        <w:t>Rule 69A-20.112 setting the insurance coverages required for fir</w:t>
      </w:r>
      <w:r w:rsidR="00AE4140">
        <w:t>e</w:t>
      </w:r>
      <w:r>
        <w:t xml:space="preserve"> equipment dealers.</w:t>
      </w:r>
    </w:p>
    <w:p w:rsidR="00AE4140" w:rsidRDefault="00AE4140" w:rsidP="00AE4140">
      <w:pPr>
        <w:pStyle w:val="BlockText"/>
        <w:ind w:left="2340"/>
      </w:pPr>
    </w:p>
    <w:p w:rsidR="00C80E12" w:rsidRDefault="00C80E12" w:rsidP="00AE4140">
      <w:pPr>
        <w:pStyle w:val="BlockText"/>
        <w:numPr>
          <w:ilvl w:val="2"/>
          <w:numId w:val="21"/>
        </w:numPr>
        <w:ind w:left="2340"/>
      </w:pPr>
      <w:r>
        <w:t>Rules 69A-37.0054-.065 and .404 setting training and educational requirements for out of state firefighters.</w:t>
      </w:r>
    </w:p>
    <w:p w:rsidR="00C80E12" w:rsidRDefault="00C80E12" w:rsidP="00C80E12">
      <w:pPr>
        <w:pStyle w:val="BlockText"/>
        <w:ind w:left="3240"/>
      </w:pPr>
    </w:p>
    <w:p w:rsidR="00C80E12" w:rsidRDefault="00C80E12" w:rsidP="00AE4140">
      <w:pPr>
        <w:pStyle w:val="BlockText"/>
        <w:numPr>
          <w:ilvl w:val="2"/>
          <w:numId w:val="21"/>
        </w:numPr>
        <w:ind w:left="2340"/>
      </w:pPr>
      <w:r>
        <w:t>Rule 69A-66.08 adopting the form required for FDID numbers assigned to fire protection agencies.</w:t>
      </w:r>
    </w:p>
    <w:p w:rsidR="007A5E81" w:rsidRDefault="007A5E81" w:rsidP="007A5E81">
      <w:pPr>
        <w:pStyle w:val="BlockText"/>
        <w:ind w:left="1800"/>
      </w:pPr>
    </w:p>
    <w:p w:rsidR="00ED68AB" w:rsidRDefault="00E1125C" w:rsidP="007B2FC8">
      <w:pPr>
        <w:pStyle w:val="BlockText"/>
        <w:numPr>
          <w:ilvl w:val="0"/>
          <w:numId w:val="21"/>
        </w:numPr>
      </w:pPr>
      <w:r>
        <w:t>This board has received or disposed of the following Petition</w:t>
      </w:r>
      <w:r w:rsidR="00C05096">
        <w:t>(</w:t>
      </w:r>
      <w:r>
        <w:t>s</w:t>
      </w:r>
      <w:r w:rsidR="00C05096">
        <w:t>)</w:t>
      </w:r>
      <w:r>
        <w:t xml:space="preserve"> for </w:t>
      </w:r>
      <w:r w:rsidR="003747B5">
        <w:t xml:space="preserve">Declaratory Statement: </w:t>
      </w:r>
    </w:p>
    <w:p w:rsidR="00C05096" w:rsidRDefault="00C05096" w:rsidP="00C05096">
      <w:pPr>
        <w:pStyle w:val="ListParagraph"/>
      </w:pPr>
    </w:p>
    <w:p w:rsidR="00C05096" w:rsidRDefault="00CC1B0F" w:rsidP="00173BB8">
      <w:pPr>
        <w:pStyle w:val="BlockText"/>
        <w:numPr>
          <w:ilvl w:val="2"/>
          <w:numId w:val="21"/>
        </w:numPr>
        <w:ind w:left="2340"/>
      </w:pPr>
      <w:r>
        <w:rPr>
          <w:b/>
        </w:rPr>
        <w:t>Novum Structures, LLC</w:t>
      </w:r>
      <w:r w:rsidR="00C05096">
        <w:t xml:space="preserve"> – seeking a determination of whether </w:t>
      </w:r>
      <w:r>
        <w:t>Rule 61G20-3.001 requires product</w:t>
      </w:r>
      <w:r w:rsidR="008750C1">
        <w:t xml:space="preserve"> approval for skylight products (which petitioner alleges is not part of the building envelope).</w:t>
      </w:r>
      <w:r w:rsidR="00C05096">
        <w:t xml:space="preserve"> </w:t>
      </w:r>
    </w:p>
    <w:p w:rsidR="00ED68AB" w:rsidRDefault="00ED68AB" w:rsidP="007A5E81"/>
    <w:p w:rsidR="00584934" w:rsidRDefault="008750C1" w:rsidP="00173BB8">
      <w:pPr>
        <w:pStyle w:val="BlockText"/>
        <w:numPr>
          <w:ilvl w:val="2"/>
          <w:numId w:val="21"/>
        </w:numPr>
        <w:ind w:left="2340"/>
      </w:pPr>
      <w:r>
        <w:rPr>
          <w:b/>
        </w:rPr>
        <w:t>PRH-2600 Hallendale Beach, LLC.</w:t>
      </w:r>
      <w:r w:rsidR="00584934">
        <w:rPr>
          <w:b/>
        </w:rPr>
        <w:t xml:space="preserve"> </w:t>
      </w:r>
      <w:r w:rsidR="00584934">
        <w:t>– seeking a determination</w:t>
      </w:r>
      <w:r w:rsidR="008035A4">
        <w:t xml:space="preserve"> of the a</w:t>
      </w:r>
      <w:r>
        <w:t xml:space="preserve">pplicability of Sections 224 and 806, Florida Accessibility Code, </w:t>
      </w:r>
      <w:r w:rsidR="008035A4">
        <w:t xml:space="preserve">as to </w:t>
      </w:r>
      <w:r>
        <w:t>whether lock-off units in a condominium-hotel development should be included in the determination of the required minimum number of accessible guest rooms and types of showers and communication facilities.</w:t>
      </w:r>
    </w:p>
    <w:p w:rsidR="0002257F" w:rsidRDefault="0002257F" w:rsidP="0002257F">
      <w:pPr>
        <w:pStyle w:val="ListParagraph"/>
      </w:pPr>
    </w:p>
    <w:p w:rsidR="0002257F" w:rsidRDefault="0002257F" w:rsidP="00173BB8">
      <w:pPr>
        <w:pStyle w:val="BlockText"/>
        <w:numPr>
          <w:ilvl w:val="2"/>
          <w:numId w:val="21"/>
        </w:numPr>
        <w:ind w:left="2340"/>
      </w:pPr>
      <w:r w:rsidRPr="0002257F">
        <w:rPr>
          <w:b/>
        </w:rPr>
        <w:t>All Contractors, LLC.</w:t>
      </w:r>
      <w:r>
        <w:t xml:space="preserve"> – seeking the agency’s opinion as to the applicability of Section R402, FBC Energy Code to air exchanges by a blower door testing of all homes is required and who is qualified as a third-party tester under R402.4.1.2.</w:t>
      </w:r>
    </w:p>
    <w:p w:rsidR="000B0D3F" w:rsidRPr="000B0D3F" w:rsidRDefault="000B0D3F" w:rsidP="000B0D3F">
      <w:pPr>
        <w:pStyle w:val="BlockText"/>
      </w:pPr>
    </w:p>
    <w:p w:rsidR="00681534" w:rsidRDefault="000B0D3F" w:rsidP="00681534">
      <w:pPr>
        <w:pStyle w:val="BlockText"/>
        <w:numPr>
          <w:ilvl w:val="0"/>
          <w:numId w:val="21"/>
        </w:numPr>
      </w:pPr>
      <w:r>
        <w:t>This board has received or disposed of the following Petitions for Variance or Waiver (if any</w:t>
      </w:r>
      <w:r w:rsidR="006E0D5B">
        <w:t>): None noticed.</w:t>
      </w:r>
    </w:p>
    <w:p w:rsidR="00681534" w:rsidRDefault="00681534" w:rsidP="00681534">
      <w:pPr>
        <w:pStyle w:val="BlockText"/>
        <w:ind w:left="1800"/>
      </w:pPr>
    </w:p>
    <w:p w:rsidR="00681534" w:rsidRDefault="008F17A7" w:rsidP="00681534">
      <w:pPr>
        <w:pStyle w:val="BlockText"/>
        <w:numPr>
          <w:ilvl w:val="0"/>
          <w:numId w:val="21"/>
        </w:numPr>
      </w:pPr>
      <w:r w:rsidRPr="00681534">
        <w:t>Th</w:t>
      </w:r>
      <w:r>
        <w:t xml:space="preserve">is </w:t>
      </w:r>
      <w:r w:rsidR="00452CC3">
        <w:t>board has received a petition for</w:t>
      </w:r>
      <w:r>
        <w:t xml:space="preserve"> </w:t>
      </w:r>
      <w:r w:rsidR="00452CC3">
        <w:t>interpretation</w:t>
      </w:r>
      <w:r>
        <w:t xml:space="preserve"> of building code as follows (If any):</w:t>
      </w:r>
      <w:r w:rsidR="00452CC3">
        <w:t xml:space="preserve"> </w:t>
      </w:r>
      <w:r w:rsidR="00681534">
        <w:t>None noticed.</w:t>
      </w:r>
    </w:p>
    <w:p w:rsidR="00996855" w:rsidRPr="00996855" w:rsidRDefault="00996855" w:rsidP="00681534">
      <w:pPr>
        <w:pStyle w:val="BlockText"/>
        <w:rPr>
          <w:b/>
        </w:rPr>
      </w:pPr>
    </w:p>
    <w:p w:rsidR="000340FB" w:rsidRDefault="00941C32" w:rsidP="0017187B">
      <w:pPr>
        <w:pStyle w:val="BlockText"/>
        <w:ind w:firstLine="720"/>
      </w:pPr>
      <w:r>
        <w:t xml:space="preserve">8. </w:t>
      </w:r>
      <w:r w:rsidRPr="00941C32">
        <w:rPr>
          <w:u w:val="single"/>
        </w:rPr>
        <w:t>DBPR/Home Inspectors:</w:t>
      </w:r>
      <w:r>
        <w:t xml:space="preserve"> </w:t>
      </w:r>
      <w:r w:rsidR="00681534">
        <w:t>Nothing new to report.</w:t>
      </w:r>
    </w:p>
    <w:p w:rsidR="0041534C" w:rsidRDefault="0041534C" w:rsidP="0041534C">
      <w:pPr>
        <w:pStyle w:val="BlockText"/>
      </w:pPr>
    </w:p>
    <w:p w:rsidR="008035A4" w:rsidRDefault="00C01BBA" w:rsidP="00C01BBA">
      <w:pPr>
        <w:pStyle w:val="BlockText"/>
        <w:ind w:left="720"/>
      </w:pPr>
      <w:r w:rsidRPr="00F26D19">
        <w:t>9</w:t>
      </w:r>
      <w:r w:rsidR="007B1B79" w:rsidRPr="00F26D19">
        <w:t xml:space="preserve">. </w:t>
      </w:r>
      <w:r w:rsidR="000340FB" w:rsidRPr="000340FB">
        <w:rPr>
          <w:u w:val="single"/>
        </w:rPr>
        <w:t>Board of Professional Geologists:</w:t>
      </w:r>
      <w:r w:rsidR="000340FB">
        <w:t xml:space="preserve"> Chapter 492, Florida Statutes, and Rule Chapter 61G16, F.A</w:t>
      </w:r>
      <w:r w:rsidR="008035A4">
        <w:t>.C.:</w:t>
      </w:r>
    </w:p>
    <w:p w:rsidR="008035A4" w:rsidRDefault="008035A4" w:rsidP="008035A4">
      <w:pPr>
        <w:pStyle w:val="BlockText"/>
        <w:ind w:left="1080"/>
      </w:pPr>
    </w:p>
    <w:p w:rsidR="000340FB" w:rsidRDefault="008035A4" w:rsidP="00AA0190">
      <w:pPr>
        <w:pStyle w:val="BlockText"/>
        <w:numPr>
          <w:ilvl w:val="0"/>
          <w:numId w:val="23"/>
        </w:numPr>
      </w:pPr>
      <w:r>
        <w:t xml:space="preserve">This board has proposed, adopted, repealed or amended the following rules (if any): </w:t>
      </w:r>
      <w:r w:rsidR="00143919">
        <w:t xml:space="preserve"> None noticed.</w:t>
      </w:r>
    </w:p>
    <w:p w:rsidR="008035A4" w:rsidRDefault="008035A4" w:rsidP="00143919">
      <w:pPr>
        <w:pStyle w:val="BlockText"/>
      </w:pPr>
    </w:p>
    <w:p w:rsidR="00AF448F" w:rsidRDefault="008035A4" w:rsidP="00AA0190">
      <w:pPr>
        <w:pStyle w:val="BlockText"/>
        <w:numPr>
          <w:ilvl w:val="0"/>
          <w:numId w:val="23"/>
        </w:numPr>
      </w:pPr>
      <w:r>
        <w:t>This board has received or disposed of the following Petitions for Declaratory St</w:t>
      </w:r>
      <w:r w:rsidR="00663C9D">
        <w:t xml:space="preserve">atement (if any): </w:t>
      </w:r>
      <w:r w:rsidR="00143919">
        <w:t xml:space="preserve"> None noticed</w:t>
      </w:r>
      <w:r w:rsidR="00AF448F">
        <w:t xml:space="preserve"> </w:t>
      </w:r>
    </w:p>
    <w:p w:rsidR="008035A4" w:rsidRDefault="008035A4" w:rsidP="008035A4">
      <w:pPr>
        <w:pStyle w:val="BlockText"/>
      </w:pPr>
    </w:p>
    <w:p w:rsidR="008035A4" w:rsidRDefault="008035A4" w:rsidP="00AA0190">
      <w:pPr>
        <w:pStyle w:val="BlockText"/>
        <w:numPr>
          <w:ilvl w:val="0"/>
          <w:numId w:val="23"/>
        </w:numPr>
      </w:pPr>
      <w:r>
        <w:t>This board has received or disposed of the following Petitions for Variance or Waiver (if any): None noticed.</w:t>
      </w:r>
    </w:p>
    <w:p w:rsidR="0094577A" w:rsidRDefault="0094577A" w:rsidP="0094577A">
      <w:pPr>
        <w:pStyle w:val="BlockText"/>
      </w:pPr>
    </w:p>
    <w:p w:rsidR="004B10A3" w:rsidRDefault="0094577A" w:rsidP="00781A63">
      <w:pPr>
        <w:pStyle w:val="BlockText"/>
        <w:ind w:left="720"/>
      </w:pPr>
      <w:r>
        <w:t>10</w:t>
      </w:r>
      <w:r w:rsidRPr="00427E2F">
        <w:rPr>
          <w:u w:val="single"/>
        </w:rPr>
        <w:t>. Division of Hotels and Restaurants: Elevator Safety</w:t>
      </w:r>
      <w:r>
        <w:t xml:space="preserve"> - Chapter 399, Florida Statutes</w:t>
      </w:r>
      <w:r w:rsidR="00E64091">
        <w:t xml:space="preserve"> (which excludes private residential elevators)</w:t>
      </w:r>
      <w:r>
        <w:t xml:space="preserve">, and Chapter </w:t>
      </w:r>
      <w:r w:rsidR="00427E2F">
        <w:t>61C-5, F.A.C.</w:t>
      </w:r>
      <w:r w:rsidR="004E2A5D">
        <w:t xml:space="preserve"> Nothing </w:t>
      </w:r>
      <w:r w:rsidR="003B59EA">
        <w:t xml:space="preserve">new </w:t>
      </w:r>
      <w:r w:rsidR="004E2A5D">
        <w:t>to report.</w:t>
      </w:r>
    </w:p>
    <w:p w:rsidR="00317330" w:rsidRDefault="00317330" w:rsidP="00781A63">
      <w:pPr>
        <w:pStyle w:val="BlockText"/>
        <w:ind w:left="720"/>
      </w:pPr>
    </w:p>
    <w:p w:rsidR="00427E2F" w:rsidRDefault="004B10A3" w:rsidP="00876A95">
      <w:pPr>
        <w:pStyle w:val="BlockText"/>
        <w:ind w:left="810" w:hanging="90"/>
      </w:pPr>
      <w:r>
        <w:t xml:space="preserve">11. </w:t>
      </w:r>
      <w:r w:rsidRPr="00C906E0">
        <w:rPr>
          <w:u w:val="single"/>
        </w:rPr>
        <w:t>Asbestos Consultants</w:t>
      </w:r>
      <w:r>
        <w:t xml:space="preserve"> – Chapter </w:t>
      </w:r>
      <w:r w:rsidR="00C906E0">
        <w:t>469</w:t>
      </w:r>
      <w:r>
        <w:t>, Florida Statutes, and Chapter</w:t>
      </w:r>
      <w:r w:rsidR="009D71A1">
        <w:t xml:space="preserve"> 61</w:t>
      </w:r>
      <w:r w:rsidR="00C60ABB">
        <w:t>E1</w:t>
      </w:r>
      <w:r w:rsidR="00452CC3">
        <w:t xml:space="preserve">, F.A.C.:  </w:t>
      </w:r>
      <w:r w:rsidR="0027648B">
        <w:t xml:space="preserve">A petition for Declaratory Statement was filed by </w:t>
      </w:r>
      <w:r w:rsidR="0027648B" w:rsidRPr="0027648B">
        <w:rPr>
          <w:b/>
        </w:rPr>
        <w:t>Cassandra Spradlin</w:t>
      </w:r>
      <w:r w:rsidR="0027648B">
        <w:t xml:space="preserve"> on January 29, 2015, seeking the agency’s opinion regarding the applicability of s. 469.002(1) whether the asbestos licensing exemptions apply to asbestos-related activities performed at the Kennedy Space Center</w:t>
      </w:r>
      <w:r w:rsidR="004077C2">
        <w:t>.</w:t>
      </w:r>
    </w:p>
    <w:p w:rsidR="007D12C5" w:rsidRPr="0094577A" w:rsidRDefault="007D12C5" w:rsidP="00414D9E">
      <w:pPr>
        <w:pStyle w:val="BlockText"/>
      </w:pPr>
    </w:p>
    <w:p w:rsidR="005F51C9" w:rsidRDefault="005F51C9" w:rsidP="00DE52F2">
      <w:pPr>
        <w:pStyle w:val="BlockText"/>
        <w:rPr>
          <w:b/>
        </w:rPr>
      </w:pPr>
    </w:p>
    <w:p w:rsidR="005F51C9" w:rsidRDefault="005F51C9" w:rsidP="00DE52F2">
      <w:pPr>
        <w:pStyle w:val="BlockText"/>
        <w:rPr>
          <w:b/>
        </w:rPr>
      </w:pPr>
    </w:p>
    <w:p w:rsidR="005F51C9" w:rsidRDefault="005F51C9" w:rsidP="00DE52F2">
      <w:pPr>
        <w:pStyle w:val="BlockText"/>
        <w:rPr>
          <w:b/>
        </w:rPr>
      </w:pPr>
    </w:p>
    <w:p w:rsidR="004E142A" w:rsidRDefault="00DE52F2" w:rsidP="00DE52F2">
      <w:pPr>
        <w:pStyle w:val="BlockText"/>
        <w:rPr>
          <w:b/>
        </w:rPr>
      </w:pPr>
      <w:r>
        <w:rPr>
          <w:b/>
        </w:rPr>
        <w:t xml:space="preserve">B. Department of </w:t>
      </w:r>
      <w:r w:rsidR="004E142A" w:rsidRPr="0094577A">
        <w:rPr>
          <w:b/>
        </w:rPr>
        <w:t>Environmental Protection</w:t>
      </w:r>
      <w:r>
        <w:rPr>
          <w:b/>
        </w:rPr>
        <w:t xml:space="preserve">: </w:t>
      </w:r>
    </w:p>
    <w:p w:rsidR="00DE52F2" w:rsidRDefault="00DE52F2" w:rsidP="00DE52F2">
      <w:pPr>
        <w:pStyle w:val="BlockText"/>
        <w:rPr>
          <w:b/>
        </w:rPr>
      </w:pPr>
    </w:p>
    <w:p w:rsidR="00DE52F2" w:rsidRDefault="00DE52F2" w:rsidP="00E64091">
      <w:pPr>
        <w:pStyle w:val="BlockText"/>
        <w:ind w:left="720"/>
      </w:pPr>
      <w:r>
        <w:t>1. Water Well Contractors: Chapter 373, Par</w:t>
      </w:r>
      <w:r w:rsidR="00E64091">
        <w:t xml:space="preserve">t II (licensing and regulation): </w:t>
      </w:r>
      <w:r w:rsidR="00317330">
        <w:t>Nothing new to report.</w:t>
      </w:r>
    </w:p>
    <w:p w:rsidR="00DE52F2" w:rsidRDefault="00DE52F2" w:rsidP="00DE52F2">
      <w:pPr>
        <w:pStyle w:val="BlockText"/>
      </w:pPr>
    </w:p>
    <w:p w:rsidR="00DE52F2" w:rsidRPr="00DE52F2" w:rsidRDefault="00DE52F2" w:rsidP="00DE52F2">
      <w:pPr>
        <w:pStyle w:val="BlockText"/>
      </w:pPr>
      <w:r>
        <w:tab/>
        <w:t xml:space="preserve">2. Consumptive Use Permits: </w:t>
      </w:r>
      <w:r w:rsidR="00E64091">
        <w:t>Chapter 373, Part II: Not</w:t>
      </w:r>
      <w:r w:rsidR="007D12C5">
        <w:t>h</w:t>
      </w:r>
      <w:r w:rsidR="00E64091">
        <w:t xml:space="preserve">ing </w:t>
      </w:r>
      <w:r w:rsidR="00317330">
        <w:t xml:space="preserve">new </w:t>
      </w:r>
      <w:r w:rsidR="00E64091">
        <w:t>to report.</w:t>
      </w:r>
    </w:p>
    <w:p w:rsidR="004E142A" w:rsidRPr="002E2A6D" w:rsidRDefault="004E142A" w:rsidP="004E142A">
      <w:pPr>
        <w:pStyle w:val="BlockText"/>
        <w:ind w:left="720"/>
      </w:pPr>
    </w:p>
    <w:p w:rsidR="00CA5EE6" w:rsidRDefault="00DE52F2" w:rsidP="00CA5EE6">
      <w:pPr>
        <w:pStyle w:val="BlockText"/>
      </w:pPr>
      <w:r>
        <w:rPr>
          <w:b/>
        </w:rPr>
        <w:t xml:space="preserve">C. Department of </w:t>
      </w:r>
      <w:r w:rsidR="004E142A" w:rsidRPr="006577D7">
        <w:rPr>
          <w:b/>
        </w:rPr>
        <w:t>Health</w:t>
      </w:r>
      <w:r w:rsidR="004E142A">
        <w:t xml:space="preserve">: </w:t>
      </w:r>
      <w:r w:rsidR="004E142A" w:rsidRPr="00922A6D">
        <w:rPr>
          <w:b/>
        </w:rPr>
        <w:t xml:space="preserve">Water Quality/Septic Tanks – Chapter 381 and 64E FAC: </w:t>
      </w:r>
    </w:p>
    <w:p w:rsidR="00BE34DD" w:rsidRDefault="00BE34DD" w:rsidP="00BE34DD">
      <w:pPr>
        <w:pStyle w:val="BlockText"/>
      </w:pPr>
    </w:p>
    <w:p w:rsidR="00CA5EE6" w:rsidRDefault="00CA5EE6" w:rsidP="0008109E">
      <w:pPr>
        <w:pStyle w:val="BlockText"/>
        <w:numPr>
          <w:ilvl w:val="0"/>
          <w:numId w:val="15"/>
        </w:numPr>
      </w:pPr>
      <w:r>
        <w:t>Division of Environmental Health:</w:t>
      </w:r>
      <w:r w:rsidR="003C3E7C">
        <w:t xml:space="preserve"> </w:t>
      </w:r>
      <w:r w:rsidR="00BE34DD">
        <w:t xml:space="preserve"> </w:t>
      </w:r>
    </w:p>
    <w:p w:rsidR="00BE34DD" w:rsidRDefault="00BE34DD" w:rsidP="00BE34DD">
      <w:pPr>
        <w:pStyle w:val="BlockText"/>
        <w:ind w:left="1080"/>
      </w:pPr>
    </w:p>
    <w:p w:rsidR="00BE34DD" w:rsidRDefault="00431C88" w:rsidP="00BE34DD">
      <w:pPr>
        <w:pStyle w:val="BlockText"/>
        <w:ind w:left="720"/>
        <w:rPr>
          <w:rFonts w:eastAsiaTheme="minorHAnsi"/>
          <w:iCs w:val="0"/>
        </w:rPr>
      </w:pPr>
      <w:r>
        <w:rPr>
          <w:rFonts w:eastAsiaTheme="minorHAnsi"/>
          <w:b/>
          <w:iCs w:val="0"/>
          <w:u w:val="single"/>
        </w:rPr>
        <w:t>Meeting Notification</w:t>
      </w:r>
      <w:r w:rsidR="00BE34DD" w:rsidRPr="003C3E7C">
        <w:rPr>
          <w:rFonts w:eastAsiaTheme="minorHAnsi"/>
          <w:b/>
          <w:iCs w:val="0"/>
          <w:u w:val="single"/>
        </w:rPr>
        <w:t>:</w:t>
      </w:r>
      <w:r w:rsidR="00BE34DD">
        <w:rPr>
          <w:rFonts w:eastAsiaTheme="minorHAnsi"/>
          <w:iCs w:val="0"/>
        </w:rPr>
        <w:t xml:space="preserve"> The Variance Review and Advisory Committee on the standards for onsite sewage treatment and disposal systems, has announced a series of monthly meetings around the state during 2015.</w:t>
      </w:r>
    </w:p>
    <w:p w:rsidR="003C3E7C" w:rsidRDefault="003C3E7C" w:rsidP="00746128"/>
    <w:p w:rsidR="003C3E7C" w:rsidRDefault="003C3E7C" w:rsidP="003C3E7C">
      <w:pPr>
        <w:pStyle w:val="BlockText"/>
        <w:ind w:left="720"/>
      </w:pPr>
      <w:r w:rsidRPr="001D35CA">
        <w:rPr>
          <w:b/>
          <w:u w:val="single"/>
        </w:rPr>
        <w:t>Editor’s Note:</w:t>
      </w:r>
      <w:r>
        <w:t xml:space="preserve"> The 2012 repeal of the Department of Health’s authority for plan review and approval of swimming pools and bathing pools appears to have been REINSTATED effective July 1, 2014 by House Bill 7147, which prohibits a building department from accepting an application for a permit to construct a “public” pool (such as at a condominium complex) without proof that an application for an OPERATING permit has been filed with the Department of Health, and prohibits a building department from issuing a Certificate of Completion for a public pool without proof that the DOH has issued the OPERATING permit. This appears to be a compromise that reinstates the role of DO</w:t>
      </w:r>
      <w:r w:rsidR="00746128">
        <w:t>H.</w:t>
      </w:r>
    </w:p>
    <w:p w:rsidR="003B388E" w:rsidRDefault="003B388E" w:rsidP="003C3E7C">
      <w:pPr>
        <w:pStyle w:val="BlockText"/>
        <w:ind w:left="720"/>
      </w:pPr>
    </w:p>
    <w:p w:rsidR="003C3E7C" w:rsidRDefault="003B388E" w:rsidP="00173BB8">
      <w:pPr>
        <w:pStyle w:val="BlockText"/>
        <w:numPr>
          <w:ilvl w:val="1"/>
          <w:numId w:val="15"/>
        </w:numPr>
        <w:ind w:left="1800"/>
      </w:pPr>
      <w:r>
        <w:t>The following Petition(s) for Declaratory Statement have been filed or disposed of (if any):</w:t>
      </w:r>
      <w:r w:rsidR="00200AF1">
        <w:t xml:space="preserve"> </w:t>
      </w:r>
      <w:r w:rsidR="000C5FBA">
        <w:t>None to report.</w:t>
      </w:r>
    </w:p>
    <w:p w:rsidR="000C5FBA" w:rsidRDefault="000C5FBA" w:rsidP="000C5FBA">
      <w:pPr>
        <w:pStyle w:val="BlockText"/>
        <w:ind w:left="1890"/>
      </w:pPr>
    </w:p>
    <w:p w:rsidR="00B36726" w:rsidRDefault="00CA5EE6" w:rsidP="006338C0">
      <w:pPr>
        <w:pStyle w:val="BlockText"/>
        <w:numPr>
          <w:ilvl w:val="1"/>
          <w:numId w:val="15"/>
        </w:numPr>
        <w:ind w:left="1800"/>
      </w:pPr>
      <w:r>
        <w:t>The following Petitions for Variance or Wavier have been received or disposed of</w:t>
      </w:r>
      <w:r w:rsidR="002630FF">
        <w:t xml:space="preserve"> (if any</w:t>
      </w:r>
      <w:r w:rsidR="00746128">
        <w:t>): None noticed.</w:t>
      </w:r>
    </w:p>
    <w:p w:rsidR="00746128" w:rsidRDefault="00746128" w:rsidP="00746128">
      <w:pPr>
        <w:pStyle w:val="BlockText"/>
      </w:pPr>
    </w:p>
    <w:p w:rsidR="008F58B8" w:rsidRDefault="00746128" w:rsidP="00DE52F2">
      <w:pPr>
        <w:pStyle w:val="BlockText"/>
      </w:pPr>
      <w:r w:rsidRPr="00746128">
        <w:rPr>
          <w:b/>
        </w:rPr>
        <w:t>D.</w:t>
      </w:r>
      <w:r>
        <w:t xml:space="preserve"> </w:t>
      </w:r>
      <w:r w:rsidR="00C428D0">
        <w:t xml:space="preserve"> </w:t>
      </w:r>
      <w:r w:rsidR="00DE52F2">
        <w:rPr>
          <w:b/>
        </w:rPr>
        <w:t xml:space="preserve">Department of </w:t>
      </w:r>
      <w:r w:rsidR="004E142A" w:rsidRPr="00251EB1">
        <w:rPr>
          <w:b/>
        </w:rPr>
        <w:t>Financial Services</w:t>
      </w:r>
      <w:r w:rsidR="004E142A">
        <w:t xml:space="preserve">: </w:t>
      </w:r>
    </w:p>
    <w:p w:rsidR="00436BA2" w:rsidRDefault="00436BA2" w:rsidP="00436BA2">
      <w:pPr>
        <w:pStyle w:val="BlockText"/>
        <w:ind w:left="720"/>
      </w:pPr>
    </w:p>
    <w:p w:rsidR="0074409F" w:rsidRDefault="00DE52F2" w:rsidP="0074409F">
      <w:pPr>
        <w:pStyle w:val="BlockText"/>
        <w:ind w:left="720"/>
      </w:pPr>
      <w:r>
        <w:t xml:space="preserve">1. </w:t>
      </w:r>
      <w:r w:rsidR="003B59EA">
        <w:t xml:space="preserve"> </w:t>
      </w:r>
      <w:r w:rsidR="00436BA2">
        <w:t>Boiler Safety Act - Chapter 554, F. S., and Chapter 69A-51, F.A.C.</w:t>
      </w:r>
      <w:r w:rsidR="0074409F">
        <w:t xml:space="preserve">: </w:t>
      </w:r>
    </w:p>
    <w:p w:rsidR="002630FF" w:rsidRDefault="002630FF" w:rsidP="0074409F">
      <w:pPr>
        <w:pStyle w:val="BlockText"/>
        <w:ind w:left="720"/>
      </w:pPr>
    </w:p>
    <w:p w:rsidR="002630FF" w:rsidRDefault="0074409F" w:rsidP="00173BB8">
      <w:pPr>
        <w:pStyle w:val="BlockText"/>
        <w:ind w:left="1710" w:hanging="270"/>
      </w:pPr>
      <w:r>
        <w:t xml:space="preserve">a. </w:t>
      </w:r>
      <w:r w:rsidR="002630FF">
        <w:t xml:space="preserve">The following rules have been proposed for adoption or amendment (if any): </w:t>
      </w:r>
      <w:r w:rsidR="00746128">
        <w:t>Nothing new to report.</w:t>
      </w:r>
    </w:p>
    <w:p w:rsidR="002630FF" w:rsidRDefault="002630FF" w:rsidP="002630FF">
      <w:pPr>
        <w:pStyle w:val="BlockText"/>
        <w:ind w:left="1436"/>
      </w:pPr>
    </w:p>
    <w:p w:rsidR="002630FF" w:rsidRDefault="0074409F" w:rsidP="002630FF">
      <w:pPr>
        <w:pStyle w:val="BlockText"/>
        <w:numPr>
          <w:ilvl w:val="0"/>
          <w:numId w:val="27"/>
        </w:numPr>
      </w:pPr>
      <w:r>
        <w:t>The agency has received the following petitions</w:t>
      </w:r>
      <w:r w:rsidR="002630FF">
        <w:t xml:space="preserve"> for Declaratory Statement or Variance/Waiver (if any):</w:t>
      </w:r>
      <w:r w:rsidR="000C5FBA">
        <w:t xml:space="preserve"> None to report</w:t>
      </w:r>
      <w:r w:rsidR="002630FF">
        <w:t>.</w:t>
      </w:r>
    </w:p>
    <w:p w:rsidR="008F58B8" w:rsidRDefault="008F58B8" w:rsidP="002630FF">
      <w:pPr>
        <w:pStyle w:val="BlockText"/>
        <w:ind w:left="1800"/>
      </w:pPr>
    </w:p>
    <w:p w:rsidR="000C5FBA" w:rsidRDefault="003C2DE3" w:rsidP="009D3EF7">
      <w:pPr>
        <w:pStyle w:val="BlockText"/>
        <w:numPr>
          <w:ilvl w:val="0"/>
          <w:numId w:val="15"/>
        </w:numPr>
      </w:pPr>
      <w:r>
        <w:t>Division of Workers’ Compensation</w:t>
      </w:r>
      <w:r w:rsidR="004E142A">
        <w:t xml:space="preserve"> – Chapter 440 and 6</w:t>
      </w:r>
      <w:r w:rsidR="00BD42D8">
        <w:t>9L FAC:</w:t>
      </w:r>
      <w:r w:rsidR="0032124B">
        <w:t xml:space="preserve"> The following rules have been proposed for adoption or amendment (if any):</w:t>
      </w:r>
      <w:r w:rsidR="009D3EF7">
        <w:t xml:space="preserve"> </w:t>
      </w:r>
    </w:p>
    <w:p w:rsidR="000C5FBA" w:rsidRDefault="000C5FBA" w:rsidP="000C5FBA">
      <w:pPr>
        <w:pStyle w:val="BlockText"/>
        <w:ind w:left="1080"/>
      </w:pPr>
    </w:p>
    <w:p w:rsidR="00C428D0" w:rsidRDefault="0032124B" w:rsidP="000C5FBA">
      <w:pPr>
        <w:pStyle w:val="BlockText"/>
        <w:numPr>
          <w:ilvl w:val="1"/>
          <w:numId w:val="15"/>
        </w:numPr>
      </w:pPr>
      <w:r>
        <w:t>Rules 69L-6.027, l027, .028 and .035 regarding penalty calculation worksheets.</w:t>
      </w:r>
      <w:r w:rsidR="000C5FBA">
        <w:t xml:space="preserve"> Pending results.</w:t>
      </w:r>
    </w:p>
    <w:p w:rsidR="000C5FBA" w:rsidRDefault="000C5FBA" w:rsidP="000C5FBA">
      <w:pPr>
        <w:pStyle w:val="BlockText"/>
        <w:ind w:left="1890"/>
      </w:pPr>
    </w:p>
    <w:p w:rsidR="000C5FBA" w:rsidRDefault="000C5FBA" w:rsidP="000C5FBA">
      <w:pPr>
        <w:pStyle w:val="BlockText"/>
        <w:numPr>
          <w:ilvl w:val="1"/>
          <w:numId w:val="15"/>
        </w:numPr>
      </w:pPr>
      <w:r>
        <w:t>Proposed rule to adopt rate manual has been WITHDRAWN.</w:t>
      </w:r>
    </w:p>
    <w:p w:rsidR="0032124B" w:rsidRDefault="0032124B" w:rsidP="0032124B">
      <w:pPr>
        <w:pStyle w:val="BlockText"/>
      </w:pPr>
    </w:p>
    <w:p w:rsidR="0032124B" w:rsidRDefault="0032124B" w:rsidP="000C5FBA">
      <w:pPr>
        <w:pStyle w:val="BlockText"/>
        <w:ind w:left="720" w:firstLine="4"/>
      </w:pPr>
      <w:r w:rsidRPr="0032124B">
        <w:rPr>
          <w:b/>
        </w:rPr>
        <w:t>Editor’s Note:</w:t>
      </w:r>
      <w:r>
        <w:t xml:space="preserve"> These changes appear to be in response to recent statutory changes, and not necessarily as a result of the DOAH litigation described </w:t>
      </w:r>
      <w:r w:rsidR="00746128">
        <w:t>in the February</w:t>
      </w:r>
      <w:r w:rsidR="000C5FBA">
        <w:t xml:space="preserve"> report.</w:t>
      </w:r>
    </w:p>
    <w:p w:rsidR="000C5FBA" w:rsidRDefault="000C5FBA" w:rsidP="000C5FBA">
      <w:pPr>
        <w:pStyle w:val="BlockText"/>
        <w:ind w:left="720" w:firstLine="4"/>
      </w:pPr>
    </w:p>
    <w:p w:rsidR="00C428D0" w:rsidRDefault="00C428D0" w:rsidP="00C428D0">
      <w:pPr>
        <w:pStyle w:val="BlockText"/>
        <w:ind w:left="72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01260C" w:rsidRDefault="0001260C" w:rsidP="0074409F">
      <w:pPr>
        <w:pStyle w:val="BlockText"/>
      </w:pPr>
    </w:p>
    <w:p w:rsidR="00876A95" w:rsidRDefault="0001260C" w:rsidP="002630FF">
      <w:pPr>
        <w:pStyle w:val="BlockText"/>
        <w:numPr>
          <w:ilvl w:val="0"/>
          <w:numId w:val="15"/>
        </w:numPr>
      </w:pPr>
      <w:r>
        <w:t xml:space="preserve">Office of State Fire Marshal - Chapter 633, Florida Statutes and Chapter 69A, F.C.A.: </w:t>
      </w:r>
    </w:p>
    <w:p w:rsidR="00876A95" w:rsidRDefault="00876A95" w:rsidP="00876A95">
      <w:pPr>
        <w:pStyle w:val="BlockText"/>
        <w:ind w:left="1080"/>
      </w:pPr>
    </w:p>
    <w:p w:rsidR="00BE7267" w:rsidRDefault="000E282A" w:rsidP="00086D79">
      <w:pPr>
        <w:pStyle w:val="BlockText"/>
        <w:numPr>
          <w:ilvl w:val="1"/>
          <w:numId w:val="15"/>
        </w:numPr>
        <w:ind w:left="1800"/>
      </w:pPr>
      <w:r>
        <w:t>The following rules are being proposed or amended</w:t>
      </w:r>
      <w:r w:rsidR="001D2330">
        <w:t xml:space="preserve"> (if any)</w:t>
      </w:r>
      <w:r>
        <w:t>:</w:t>
      </w:r>
      <w:r w:rsidR="00DF2996">
        <w:t xml:space="preserve"> </w:t>
      </w:r>
      <w:r w:rsidR="00FC4FC5">
        <w:t>Proposed changes to Rule 69A-62,024 regarding firefighter living and sleeping quarters and the prevention of contaminated equipment being carried in crew passenger areas have been changed.</w:t>
      </w:r>
    </w:p>
    <w:p w:rsidR="006531D6" w:rsidRDefault="006531D6" w:rsidP="006531D6">
      <w:pPr>
        <w:pStyle w:val="BlockText"/>
        <w:ind w:left="2340"/>
      </w:pPr>
    </w:p>
    <w:p w:rsidR="005C76EE" w:rsidRDefault="000E282A" w:rsidP="002630FF">
      <w:pPr>
        <w:pStyle w:val="BlockText"/>
        <w:numPr>
          <w:ilvl w:val="1"/>
          <w:numId w:val="15"/>
        </w:numPr>
      </w:pPr>
      <w:r>
        <w:t xml:space="preserve">The following petitions for Declaratory Statement </w:t>
      </w:r>
      <w:r w:rsidR="0017420F">
        <w:t xml:space="preserve">and petitions for Variance or Waiver </w:t>
      </w:r>
      <w:r>
        <w:t>have been received or disposed of:</w:t>
      </w:r>
    </w:p>
    <w:p w:rsidR="000C5FBA" w:rsidRDefault="000C5FBA" w:rsidP="000C5FBA">
      <w:pPr>
        <w:pStyle w:val="ListParagraph"/>
      </w:pPr>
    </w:p>
    <w:p w:rsidR="000C5FBA" w:rsidRDefault="000C5FBA" w:rsidP="00173BB8">
      <w:pPr>
        <w:pStyle w:val="BlockText"/>
        <w:numPr>
          <w:ilvl w:val="2"/>
          <w:numId w:val="15"/>
        </w:numPr>
        <w:ind w:left="2340"/>
      </w:pPr>
      <w:r w:rsidRPr="00200AF1">
        <w:rPr>
          <w:b/>
        </w:rPr>
        <w:t xml:space="preserve">Robert Dewar – </w:t>
      </w:r>
      <w:r>
        <w:t>Petition filed on January 16, 2015, seeking a determination of the applicability of NFPA 13 and 13R as to whether certain structures are balconies for purposes of required sprinklers</w:t>
      </w:r>
      <w:r w:rsidR="00F04FE7">
        <w:t>, has been withdrawn by the petitioner</w:t>
      </w:r>
      <w:r>
        <w:t>.</w:t>
      </w:r>
    </w:p>
    <w:p w:rsidR="000C5FBA" w:rsidRDefault="000C5FBA" w:rsidP="000C5FBA">
      <w:pPr>
        <w:pStyle w:val="BlockText"/>
        <w:ind w:left="2520"/>
      </w:pPr>
    </w:p>
    <w:p w:rsidR="000C5FBA" w:rsidRDefault="000C5FBA" w:rsidP="00173BB8">
      <w:pPr>
        <w:pStyle w:val="BlockText"/>
        <w:numPr>
          <w:ilvl w:val="2"/>
          <w:numId w:val="15"/>
        </w:numPr>
        <w:ind w:left="2340"/>
      </w:pPr>
      <w:r>
        <w:rPr>
          <w:b/>
        </w:rPr>
        <w:t>Florida Department of Corrections –</w:t>
      </w:r>
      <w:r>
        <w:t xml:space="preserve"> Petition filed January 30, 2015, seeking waiver from Rule 69A-56.006, which codifies type of mattresses to be used at correctional facilities</w:t>
      </w:r>
      <w:r w:rsidR="00F04FE7">
        <w:t xml:space="preserve"> is still pending</w:t>
      </w:r>
      <w:r>
        <w:t xml:space="preserve">. </w:t>
      </w:r>
    </w:p>
    <w:p w:rsidR="00640C66" w:rsidRDefault="00640C66" w:rsidP="000C5FBA">
      <w:pPr>
        <w:pStyle w:val="BlockText"/>
      </w:pPr>
    </w:p>
    <w:p w:rsidR="00640C66" w:rsidRDefault="00640C66" w:rsidP="00640C66">
      <w:pPr>
        <w:pStyle w:val="BlockText"/>
        <w:ind w:left="720"/>
      </w:pPr>
      <w:r w:rsidRPr="00640C66">
        <w:rPr>
          <w:b/>
        </w:rPr>
        <w:t>Editor’s Note:</w:t>
      </w:r>
      <w:r>
        <w:t xml:space="preserve"> There are dozens of such petitions filed each month, primarily seeking interpretation of the Fire Code. Due to the specialized nature of these requests, we have discontinued reporting </w:t>
      </w:r>
      <w:r w:rsidR="000C5FBA">
        <w:t xml:space="preserve">all of </w:t>
      </w:r>
      <w:r>
        <w:t xml:space="preserve">them; however, if anyone is interested in the department’s interpretation of a particular code section, these statements can be found on the division website. </w:t>
      </w:r>
    </w:p>
    <w:p w:rsidR="00DD6729" w:rsidRDefault="00DD6729" w:rsidP="00997BD1">
      <w:pPr>
        <w:pStyle w:val="BlockText"/>
      </w:pPr>
    </w:p>
    <w:p w:rsidR="00C416D8" w:rsidRDefault="008476AE" w:rsidP="00997BD1">
      <w:pPr>
        <w:pStyle w:val="BlockText"/>
        <w:rPr>
          <w:b/>
          <w:i/>
          <w:u w:val="single"/>
        </w:rPr>
      </w:pPr>
      <w:r w:rsidRPr="003C2DE3">
        <w:rPr>
          <w:b/>
          <w:u w:val="single"/>
        </w:rPr>
        <w:t>Reminder:</w:t>
      </w:r>
      <w:r>
        <w:t xml:space="preserve"> </w:t>
      </w:r>
      <w:r w:rsidR="0001260C">
        <w:t>Rule 69A-60.003, amended ef</w:t>
      </w:r>
      <w:r w:rsidR="00B40FA6">
        <w:t xml:space="preserve">fective May 1, 2013, </w:t>
      </w:r>
      <w:r w:rsidR="00997BD1">
        <w:t>and adopted</w:t>
      </w:r>
      <w:r w:rsidR="00B40FA6">
        <w:t xml:space="preserve"> </w:t>
      </w:r>
      <w:r w:rsidR="0001260C">
        <w:t>NPR 1, the Fire Code, Florida 2009 edition (as amended 3/2013 to add Section 18.4.1.3 to Section 18.4 - Fire Flow Requirements for Buildings).</w:t>
      </w:r>
      <w:r w:rsidR="003C2DE3">
        <w:t xml:space="preserve"> </w:t>
      </w:r>
      <w:r w:rsidR="00997BD1">
        <w:t>S</w:t>
      </w:r>
      <w:r w:rsidR="00757661">
        <w:t>ection 633.0215(6)(b)</w:t>
      </w:r>
      <w:r w:rsidR="00997BD1">
        <w:t>, effective July 1, 2013,</w:t>
      </w:r>
      <w:r w:rsidR="00757661">
        <w:t xml:space="preserve"> EXMEPTS certain structures from application of the Florida Fire Prevention Code.</w:t>
      </w:r>
      <w:r w:rsidR="00997BD1" w:rsidRPr="00997BD1">
        <w:rPr>
          <w:b/>
        </w:rPr>
        <w:t xml:space="preserve"> </w:t>
      </w:r>
    </w:p>
    <w:p w:rsidR="004271D8" w:rsidRDefault="004271D8" w:rsidP="005C76EE">
      <w:pPr>
        <w:pStyle w:val="BlockText"/>
        <w:rPr>
          <w:b/>
          <w:u w:val="single"/>
        </w:rPr>
      </w:pPr>
    </w:p>
    <w:p w:rsidR="00431C88" w:rsidRDefault="00CF37B7" w:rsidP="005C76EE">
      <w:pPr>
        <w:pStyle w:val="BlockText"/>
      </w:pPr>
      <w:r w:rsidRPr="00CD02EB">
        <w:rPr>
          <w:b/>
          <w:u w:val="single"/>
        </w:rPr>
        <w:t>Legislative Action:</w:t>
      </w:r>
      <w:r w:rsidR="00156092">
        <w:t xml:space="preserve"> </w:t>
      </w:r>
      <w:r w:rsidR="00431C88">
        <w:t xml:space="preserve"> The 2015 Regular Legislative Session begins March 3, 2015, and is scheduled to continue for sixty (60) consecutive</w:t>
      </w:r>
      <w:r w:rsidR="00997BB1">
        <w:t xml:space="preserve"> calendar day. As of April 9</w:t>
      </w:r>
      <w:r w:rsidR="00431C88">
        <w:t xml:space="preserve">, 2015, the following </w:t>
      </w:r>
      <w:r w:rsidR="00997BB1">
        <w:t xml:space="preserve">MAJOR </w:t>
      </w:r>
      <w:r w:rsidR="00431C88">
        <w:t>bills affecting the const</w:t>
      </w:r>
      <w:r w:rsidR="00997BB1">
        <w:t>ruction industry are situated</w:t>
      </w:r>
      <w:r w:rsidR="000C722C">
        <w:t xml:space="preserve"> for final passage:</w:t>
      </w:r>
    </w:p>
    <w:p w:rsidR="00D555B1" w:rsidRPr="00D555B1" w:rsidRDefault="00D555B1" w:rsidP="00D555B1">
      <w:pPr>
        <w:pBdr>
          <w:top w:val="single" w:sz="6" w:space="1" w:color="auto"/>
        </w:pBdr>
        <w:jc w:val="center"/>
        <w:rPr>
          <w:rFonts w:ascii="Arial" w:eastAsia="Times New Roman" w:hAnsi="Arial" w:cs="Arial"/>
          <w:vanish/>
          <w:sz w:val="16"/>
          <w:szCs w:val="16"/>
        </w:rPr>
      </w:pPr>
      <w:r w:rsidRPr="00D555B1">
        <w:rPr>
          <w:rFonts w:ascii="Arial" w:eastAsia="Times New Roman" w:hAnsi="Arial" w:cs="Arial"/>
          <w:vanish/>
          <w:sz w:val="16"/>
          <w:szCs w:val="16"/>
        </w:rPr>
        <w:t>Bottom of Form</w:t>
      </w:r>
    </w:p>
    <w:tbl>
      <w:tblPr>
        <w:tblW w:w="0" w:type="auto"/>
        <w:tblCellSpacing w:w="15" w:type="dxa"/>
        <w:tblCellMar>
          <w:top w:w="15" w:type="dxa"/>
          <w:left w:w="15" w:type="dxa"/>
          <w:bottom w:w="15" w:type="dxa"/>
          <w:right w:w="15" w:type="dxa"/>
        </w:tblCellMar>
        <w:tblLook w:val="04A0" w:firstRow="1" w:lastRow="0" w:firstColumn="1" w:lastColumn="0" w:noHBand="0" w:noVBand="1"/>
        <w:tblCaption w:val="Bills"/>
      </w:tblPr>
      <w:tblGrid>
        <w:gridCol w:w="929"/>
        <w:gridCol w:w="2292"/>
        <w:gridCol w:w="128"/>
        <w:gridCol w:w="6218"/>
        <w:gridCol w:w="81"/>
      </w:tblGrid>
      <w:tr w:rsidR="00146574" w:rsidRPr="00D555B1" w:rsidTr="00086D79">
        <w:trPr>
          <w:tblHeader/>
          <w:tblCellSpacing w:w="15" w:type="dxa"/>
        </w:trPr>
        <w:tc>
          <w:tcPr>
            <w:tcW w:w="0" w:type="auto"/>
            <w:vAlign w:val="center"/>
            <w:hideMark/>
          </w:tcPr>
          <w:p w:rsidR="0087018F" w:rsidRDefault="0087018F" w:rsidP="00D555B1">
            <w:pPr>
              <w:jc w:val="center"/>
              <w:rPr>
                <w:rFonts w:eastAsia="Times New Roman" w:cs="Times New Roman"/>
                <w:b/>
                <w:bCs/>
                <w:u w:val="single"/>
              </w:rPr>
            </w:pPr>
          </w:p>
          <w:p w:rsidR="00D555B1" w:rsidRPr="00466EB9" w:rsidRDefault="0087018F" w:rsidP="00D555B1">
            <w:pPr>
              <w:jc w:val="center"/>
              <w:rPr>
                <w:rFonts w:eastAsia="Times New Roman" w:cs="Times New Roman"/>
                <w:b/>
                <w:bCs/>
                <w:u w:val="single"/>
              </w:rPr>
            </w:pPr>
            <w:r>
              <w:rPr>
                <w:rFonts w:eastAsia="Times New Roman" w:cs="Times New Roman"/>
                <w:b/>
                <w:bCs/>
                <w:u w:val="single"/>
              </w:rPr>
              <w:t xml:space="preserve">Number </w:t>
            </w:r>
          </w:p>
        </w:tc>
        <w:tc>
          <w:tcPr>
            <w:tcW w:w="0" w:type="auto"/>
            <w:vAlign w:val="center"/>
            <w:hideMark/>
          </w:tcPr>
          <w:p w:rsidR="0087018F" w:rsidRDefault="0087018F" w:rsidP="00D555B1">
            <w:pPr>
              <w:jc w:val="center"/>
              <w:rPr>
                <w:rFonts w:eastAsia="Times New Roman" w:cs="Times New Roman"/>
                <w:b/>
                <w:bCs/>
                <w:u w:val="single"/>
              </w:rPr>
            </w:pPr>
          </w:p>
          <w:p w:rsidR="00D555B1" w:rsidRPr="00466EB9" w:rsidRDefault="00D555B1" w:rsidP="00D555B1">
            <w:pPr>
              <w:jc w:val="center"/>
              <w:rPr>
                <w:rFonts w:eastAsia="Times New Roman" w:cs="Times New Roman"/>
                <w:b/>
                <w:bCs/>
                <w:u w:val="single"/>
              </w:rPr>
            </w:pPr>
            <w:r w:rsidRPr="00466EB9">
              <w:rPr>
                <w:rFonts w:eastAsia="Times New Roman" w:cs="Times New Roman"/>
                <w:b/>
                <w:bCs/>
                <w:u w:val="single"/>
              </w:rPr>
              <w:t>Title</w:t>
            </w:r>
          </w:p>
        </w:tc>
        <w:tc>
          <w:tcPr>
            <w:tcW w:w="0" w:type="auto"/>
            <w:vAlign w:val="center"/>
            <w:hideMark/>
          </w:tcPr>
          <w:p w:rsidR="0087018F" w:rsidRDefault="0087018F" w:rsidP="00D555B1">
            <w:pPr>
              <w:jc w:val="center"/>
              <w:rPr>
                <w:rFonts w:eastAsia="Times New Roman" w:cs="Times New Roman"/>
                <w:b/>
                <w:bCs/>
                <w:u w:val="single"/>
              </w:rPr>
            </w:pPr>
          </w:p>
          <w:p w:rsidR="00D555B1" w:rsidRPr="00466EB9" w:rsidRDefault="00D555B1" w:rsidP="0087018F">
            <w:pPr>
              <w:rPr>
                <w:rFonts w:eastAsia="Times New Roman" w:cs="Times New Roman"/>
                <w:b/>
                <w:bCs/>
                <w:u w:val="single"/>
              </w:rPr>
            </w:pPr>
          </w:p>
        </w:tc>
        <w:tc>
          <w:tcPr>
            <w:tcW w:w="0" w:type="auto"/>
            <w:vAlign w:val="center"/>
            <w:hideMark/>
          </w:tcPr>
          <w:p w:rsidR="0087018F" w:rsidRDefault="0087018F" w:rsidP="0087018F">
            <w:pPr>
              <w:rPr>
                <w:rFonts w:eastAsia="Times New Roman" w:cs="Times New Roman"/>
                <w:b/>
                <w:bCs/>
                <w:u w:val="single"/>
              </w:rPr>
            </w:pPr>
          </w:p>
          <w:p w:rsidR="00D555B1" w:rsidRPr="00466EB9" w:rsidRDefault="00D555B1" w:rsidP="0087018F">
            <w:pPr>
              <w:ind w:left="2"/>
              <w:rPr>
                <w:rFonts w:eastAsia="Times New Roman" w:cs="Times New Roman"/>
                <w:b/>
                <w:bCs/>
                <w:u w:val="single"/>
              </w:rPr>
            </w:pPr>
            <w:r w:rsidRPr="00466EB9">
              <w:rPr>
                <w:rFonts w:eastAsia="Times New Roman" w:cs="Times New Roman"/>
                <w:b/>
                <w:bCs/>
                <w:u w:val="single"/>
              </w:rPr>
              <w:t>Last Action</w:t>
            </w:r>
          </w:p>
        </w:tc>
        <w:tc>
          <w:tcPr>
            <w:tcW w:w="0" w:type="auto"/>
            <w:vAlign w:val="center"/>
          </w:tcPr>
          <w:p w:rsidR="00D555B1" w:rsidRPr="00D555B1" w:rsidRDefault="00D555B1" w:rsidP="00D555B1">
            <w:pPr>
              <w:jc w:val="center"/>
              <w:rPr>
                <w:rFonts w:eastAsia="Times New Roman" w:cs="Times New Roman"/>
                <w:b/>
                <w:bCs/>
              </w:rPr>
            </w:pPr>
          </w:p>
        </w:tc>
      </w:tr>
      <w:tr w:rsidR="00146574" w:rsidRPr="00D555B1" w:rsidTr="0087018F">
        <w:trPr>
          <w:tblCellSpacing w:w="15" w:type="dxa"/>
        </w:trPr>
        <w:tc>
          <w:tcPr>
            <w:tcW w:w="0" w:type="auto"/>
            <w:vAlign w:val="center"/>
            <w:hideMark/>
          </w:tcPr>
          <w:p w:rsidR="00D555B1" w:rsidRDefault="00FF5097" w:rsidP="00D555B1">
            <w:pPr>
              <w:jc w:val="center"/>
              <w:rPr>
                <w:rFonts w:eastAsia="Times New Roman" w:cs="Times New Roman"/>
                <w:b/>
                <w:bCs/>
                <w:color w:val="0000FF"/>
                <w:u w:val="single"/>
              </w:rPr>
            </w:pPr>
            <w:hyperlink r:id="rId9" w:history="1">
              <w:r w:rsidR="0087018F">
                <w:rPr>
                  <w:rFonts w:eastAsia="Times New Roman" w:cs="Times New Roman"/>
                  <w:b/>
                  <w:bCs/>
                  <w:color w:val="0000FF"/>
                  <w:u w:val="single"/>
                </w:rPr>
                <w:t xml:space="preserve">HB </w:t>
              </w:r>
              <w:r w:rsidR="00D555B1" w:rsidRPr="00D555B1">
                <w:rPr>
                  <w:rFonts w:eastAsia="Times New Roman" w:cs="Times New Roman"/>
                  <w:b/>
                  <w:bCs/>
                  <w:color w:val="0000FF"/>
                  <w:u w:val="single"/>
                </w:rPr>
                <w:t>87</w:t>
              </w:r>
            </w:hyperlink>
          </w:p>
          <w:p w:rsidR="0087018F" w:rsidRPr="00D555B1" w:rsidRDefault="0087018F" w:rsidP="00D555B1">
            <w:pPr>
              <w:jc w:val="center"/>
              <w:rPr>
                <w:rFonts w:eastAsia="Times New Roman" w:cs="Times New Roman"/>
                <w:b/>
                <w:bCs/>
              </w:rPr>
            </w:pPr>
            <w:r>
              <w:rPr>
                <w:rFonts w:eastAsia="Times New Roman" w:cs="Times New Roman"/>
                <w:b/>
                <w:bCs/>
                <w:color w:val="0000FF"/>
                <w:u w:val="single"/>
              </w:rPr>
              <w:t>SB 418</w:t>
            </w:r>
          </w:p>
        </w:tc>
        <w:tc>
          <w:tcPr>
            <w:tcW w:w="0" w:type="auto"/>
            <w:vAlign w:val="center"/>
            <w:hideMark/>
          </w:tcPr>
          <w:p w:rsidR="00D555B1" w:rsidRPr="00D555B1" w:rsidRDefault="00D555B1" w:rsidP="00D555B1">
            <w:pPr>
              <w:rPr>
                <w:rFonts w:eastAsia="Times New Roman" w:cs="Times New Roman"/>
              </w:rPr>
            </w:pPr>
            <w:r w:rsidRPr="00D555B1">
              <w:rPr>
                <w:rFonts w:eastAsia="Times New Roman" w:cs="Times New Roman"/>
              </w:rPr>
              <w:t>Construction Defect Claims</w:t>
            </w:r>
            <w:r w:rsidR="0087018F">
              <w:rPr>
                <w:rFonts w:eastAsia="Times New Roman" w:cs="Times New Roman"/>
              </w:rPr>
              <w:t xml:space="preserve"> (Chapter 558)</w:t>
            </w:r>
          </w:p>
        </w:tc>
        <w:tc>
          <w:tcPr>
            <w:tcW w:w="0" w:type="auto"/>
            <w:vAlign w:val="center"/>
          </w:tcPr>
          <w:p w:rsidR="00D555B1" w:rsidRPr="00D555B1" w:rsidRDefault="00D555B1" w:rsidP="00D555B1">
            <w:pPr>
              <w:rPr>
                <w:rFonts w:eastAsia="Times New Roman" w:cs="Times New Roman"/>
              </w:rPr>
            </w:pPr>
          </w:p>
        </w:tc>
        <w:tc>
          <w:tcPr>
            <w:tcW w:w="0" w:type="auto"/>
            <w:vAlign w:val="center"/>
            <w:hideMark/>
          </w:tcPr>
          <w:p w:rsidR="00D555B1" w:rsidRPr="0087018F" w:rsidRDefault="00D555B1" w:rsidP="00D555B1">
            <w:pPr>
              <w:rPr>
                <w:rFonts w:eastAsia="Times New Roman" w:cs="Times New Roman"/>
              </w:rPr>
            </w:pPr>
          </w:p>
          <w:p w:rsidR="00D555B1" w:rsidRDefault="00146574" w:rsidP="00D555B1">
            <w:pPr>
              <w:rPr>
                <w:rFonts w:eastAsia="Times New Roman" w:cs="Times New Roman"/>
              </w:rPr>
            </w:pPr>
            <w:r>
              <w:rPr>
                <w:rFonts w:eastAsia="Times New Roman" w:cs="Times New Roman"/>
              </w:rPr>
              <w:t xml:space="preserve">Both bills have been </w:t>
            </w:r>
            <w:r w:rsidR="0087018F">
              <w:rPr>
                <w:rFonts w:eastAsia="Times New Roman" w:cs="Times New Roman"/>
              </w:rPr>
              <w:t>amended several times</w:t>
            </w:r>
            <w:r>
              <w:rPr>
                <w:rFonts w:eastAsia="Times New Roman" w:cs="Times New Roman"/>
              </w:rPr>
              <w:t xml:space="preserve"> in significant ways; the house bill is on the Calendar and the Senate Bill is set for its final committee hearing this coming week.</w:t>
            </w:r>
          </w:p>
          <w:p w:rsidR="0087018F" w:rsidRPr="00D555B1" w:rsidRDefault="0087018F" w:rsidP="00D555B1">
            <w:pPr>
              <w:rPr>
                <w:rFonts w:eastAsia="Times New Roman" w:cs="Times New Roman"/>
              </w:rPr>
            </w:pPr>
          </w:p>
        </w:tc>
        <w:tc>
          <w:tcPr>
            <w:tcW w:w="0" w:type="auto"/>
            <w:vAlign w:val="center"/>
          </w:tcPr>
          <w:p w:rsidR="00D555B1" w:rsidRPr="00D555B1" w:rsidRDefault="00D555B1" w:rsidP="00D555B1">
            <w:pPr>
              <w:rPr>
                <w:rFonts w:eastAsia="Times New Roman" w:cs="Times New Roman"/>
              </w:rPr>
            </w:pPr>
          </w:p>
        </w:tc>
      </w:tr>
      <w:tr w:rsidR="00146574" w:rsidRPr="00D555B1" w:rsidTr="0087018F">
        <w:trPr>
          <w:tblCellSpacing w:w="15" w:type="dxa"/>
        </w:trPr>
        <w:tc>
          <w:tcPr>
            <w:tcW w:w="0" w:type="auto"/>
            <w:vAlign w:val="center"/>
            <w:hideMark/>
          </w:tcPr>
          <w:p w:rsidR="00D555B1" w:rsidRDefault="00FF5097" w:rsidP="00D555B1">
            <w:pPr>
              <w:jc w:val="center"/>
              <w:rPr>
                <w:rFonts w:eastAsia="Times New Roman" w:cs="Times New Roman"/>
                <w:b/>
                <w:bCs/>
                <w:color w:val="0000FF"/>
                <w:u w:val="single"/>
              </w:rPr>
            </w:pPr>
            <w:hyperlink r:id="rId10" w:history="1">
              <w:r w:rsidR="00146574">
                <w:rPr>
                  <w:rFonts w:eastAsia="Times New Roman" w:cs="Times New Roman"/>
                  <w:b/>
                  <w:bCs/>
                  <w:color w:val="0000FF"/>
                  <w:u w:val="single"/>
                </w:rPr>
                <w:t xml:space="preserve">HB </w:t>
              </w:r>
              <w:r w:rsidR="00D555B1" w:rsidRPr="00D555B1">
                <w:rPr>
                  <w:rFonts w:eastAsia="Times New Roman" w:cs="Times New Roman"/>
                  <w:b/>
                  <w:bCs/>
                  <w:color w:val="0000FF"/>
                  <w:u w:val="single"/>
                </w:rPr>
                <w:t>113</w:t>
              </w:r>
            </w:hyperlink>
          </w:p>
          <w:p w:rsidR="00146574" w:rsidRPr="00D555B1" w:rsidRDefault="00146574" w:rsidP="00D555B1">
            <w:pPr>
              <w:jc w:val="center"/>
              <w:rPr>
                <w:rFonts w:eastAsia="Times New Roman" w:cs="Times New Roman"/>
                <w:b/>
                <w:bCs/>
              </w:rPr>
            </w:pPr>
            <w:r>
              <w:rPr>
                <w:rFonts w:eastAsia="Times New Roman" w:cs="Times New Roman"/>
                <w:b/>
                <w:bCs/>
                <w:color w:val="0000FF"/>
                <w:u w:val="single"/>
              </w:rPr>
              <w:t>SB 778</w:t>
            </w:r>
          </w:p>
        </w:tc>
        <w:tc>
          <w:tcPr>
            <w:tcW w:w="0" w:type="auto"/>
            <w:vAlign w:val="center"/>
            <w:hideMark/>
          </w:tcPr>
          <w:p w:rsidR="00146574" w:rsidRPr="00D555B1" w:rsidRDefault="00D555B1" w:rsidP="00D555B1">
            <w:pPr>
              <w:rPr>
                <w:rFonts w:eastAsia="Times New Roman" w:cs="Times New Roman"/>
              </w:rPr>
            </w:pPr>
            <w:r w:rsidRPr="00D555B1">
              <w:rPr>
                <w:rFonts w:eastAsia="Times New Roman" w:cs="Times New Roman"/>
              </w:rPr>
              <w:t>Local Gov</w:t>
            </w:r>
            <w:r w:rsidR="00146574">
              <w:rPr>
                <w:rFonts w:eastAsia="Times New Roman" w:cs="Times New Roman"/>
              </w:rPr>
              <w:t>ernment Construction Preference</w:t>
            </w:r>
          </w:p>
        </w:tc>
        <w:tc>
          <w:tcPr>
            <w:tcW w:w="0" w:type="auto"/>
            <w:vAlign w:val="center"/>
          </w:tcPr>
          <w:p w:rsidR="00D555B1" w:rsidRDefault="00D555B1" w:rsidP="00D555B1">
            <w:pPr>
              <w:rPr>
                <w:rFonts w:eastAsia="Times New Roman" w:cs="Times New Roman"/>
              </w:rPr>
            </w:pPr>
          </w:p>
          <w:p w:rsidR="0087018F" w:rsidRPr="00D555B1" w:rsidRDefault="0087018F" w:rsidP="00D555B1">
            <w:pPr>
              <w:rPr>
                <w:rFonts w:eastAsia="Times New Roman" w:cs="Times New Roman"/>
              </w:rPr>
            </w:pPr>
          </w:p>
        </w:tc>
        <w:tc>
          <w:tcPr>
            <w:tcW w:w="0" w:type="auto"/>
            <w:vAlign w:val="center"/>
            <w:hideMark/>
          </w:tcPr>
          <w:p w:rsidR="00D555B1" w:rsidRDefault="00146574" w:rsidP="00D555B1">
            <w:pPr>
              <w:rPr>
                <w:rFonts w:eastAsia="Times New Roman" w:cs="Times New Roman"/>
              </w:rPr>
            </w:pPr>
            <w:r>
              <w:rPr>
                <w:rFonts w:eastAsia="Times New Roman" w:cs="Times New Roman"/>
              </w:rPr>
              <w:t>Both bills have been heard by all committees of reference and are on the calendar for final passage.</w:t>
            </w:r>
          </w:p>
          <w:p w:rsidR="00D555B1" w:rsidRPr="00D555B1" w:rsidRDefault="00D555B1" w:rsidP="00D555B1">
            <w:pPr>
              <w:rPr>
                <w:rFonts w:eastAsia="Times New Roman" w:cs="Times New Roman"/>
              </w:rPr>
            </w:pPr>
          </w:p>
        </w:tc>
        <w:tc>
          <w:tcPr>
            <w:tcW w:w="0" w:type="auto"/>
            <w:vAlign w:val="center"/>
          </w:tcPr>
          <w:p w:rsidR="00D555B1" w:rsidRPr="00D555B1" w:rsidRDefault="00D555B1" w:rsidP="00D555B1">
            <w:pPr>
              <w:rPr>
                <w:rFonts w:eastAsia="Times New Roman" w:cs="Times New Roman"/>
              </w:rPr>
            </w:pPr>
          </w:p>
        </w:tc>
      </w:tr>
      <w:tr w:rsidR="00146574" w:rsidRPr="00D555B1" w:rsidTr="00146574">
        <w:trPr>
          <w:tblCellSpacing w:w="15" w:type="dxa"/>
        </w:trPr>
        <w:tc>
          <w:tcPr>
            <w:tcW w:w="0" w:type="auto"/>
            <w:vAlign w:val="center"/>
            <w:hideMark/>
          </w:tcPr>
          <w:p w:rsidR="00146574" w:rsidRDefault="00146574" w:rsidP="00D555B1">
            <w:pPr>
              <w:jc w:val="center"/>
            </w:pPr>
          </w:p>
          <w:p w:rsidR="00D555B1" w:rsidRDefault="00FF5097" w:rsidP="00D555B1">
            <w:pPr>
              <w:jc w:val="center"/>
              <w:rPr>
                <w:rFonts w:eastAsia="Times New Roman" w:cs="Times New Roman"/>
                <w:b/>
                <w:bCs/>
                <w:color w:val="0000FF"/>
                <w:u w:val="single"/>
              </w:rPr>
            </w:pPr>
            <w:hyperlink r:id="rId11" w:history="1">
              <w:r w:rsidR="00146574">
                <w:rPr>
                  <w:rFonts w:eastAsia="Times New Roman" w:cs="Times New Roman"/>
                  <w:b/>
                  <w:bCs/>
                  <w:color w:val="0000FF"/>
                  <w:u w:val="single"/>
                </w:rPr>
                <w:t xml:space="preserve">HB </w:t>
              </w:r>
              <w:r w:rsidR="00D555B1" w:rsidRPr="00D555B1">
                <w:rPr>
                  <w:rFonts w:eastAsia="Times New Roman" w:cs="Times New Roman"/>
                  <w:b/>
                  <w:bCs/>
                  <w:color w:val="0000FF"/>
                  <w:u w:val="single"/>
                </w:rPr>
                <w:t>163</w:t>
              </w:r>
            </w:hyperlink>
          </w:p>
          <w:p w:rsidR="00146574" w:rsidRPr="00D555B1" w:rsidRDefault="00146574" w:rsidP="00D555B1">
            <w:pPr>
              <w:jc w:val="center"/>
              <w:rPr>
                <w:rFonts w:eastAsia="Times New Roman" w:cs="Times New Roman"/>
                <w:b/>
                <w:bCs/>
              </w:rPr>
            </w:pPr>
            <w:r>
              <w:rPr>
                <w:rFonts w:eastAsia="Times New Roman" w:cs="Times New Roman"/>
                <w:b/>
                <w:bCs/>
                <w:color w:val="0000FF"/>
                <w:u w:val="single"/>
              </w:rPr>
              <w:t>SB 224</w:t>
            </w:r>
          </w:p>
        </w:tc>
        <w:tc>
          <w:tcPr>
            <w:tcW w:w="0" w:type="auto"/>
            <w:vAlign w:val="center"/>
            <w:hideMark/>
          </w:tcPr>
          <w:p w:rsidR="00146574" w:rsidRDefault="00146574" w:rsidP="00D555B1">
            <w:pPr>
              <w:rPr>
                <w:rFonts w:eastAsia="Times New Roman" w:cs="Times New Roman"/>
              </w:rPr>
            </w:pPr>
          </w:p>
          <w:p w:rsidR="00D555B1" w:rsidRPr="00D555B1" w:rsidRDefault="00146574" w:rsidP="00D555B1">
            <w:pPr>
              <w:rPr>
                <w:rFonts w:eastAsia="Times New Roman" w:cs="Times New Roman"/>
              </w:rPr>
            </w:pPr>
            <w:r>
              <w:rPr>
                <w:rFonts w:eastAsia="Times New Roman" w:cs="Times New Roman"/>
              </w:rPr>
              <w:t>Public Records (</w:t>
            </w:r>
            <w:r w:rsidR="00D555B1" w:rsidRPr="00D555B1">
              <w:rPr>
                <w:rFonts w:eastAsia="Times New Roman" w:cs="Times New Roman"/>
              </w:rPr>
              <w:t>Contractors</w:t>
            </w:r>
            <w:r>
              <w:rPr>
                <w:rFonts w:eastAsia="Times New Roman" w:cs="Times New Roman"/>
              </w:rPr>
              <w:t>)</w:t>
            </w:r>
          </w:p>
        </w:tc>
        <w:tc>
          <w:tcPr>
            <w:tcW w:w="0" w:type="auto"/>
            <w:vAlign w:val="center"/>
          </w:tcPr>
          <w:p w:rsidR="00D555B1" w:rsidRPr="00D555B1" w:rsidRDefault="00D555B1" w:rsidP="00D555B1">
            <w:pPr>
              <w:rPr>
                <w:rFonts w:eastAsia="Times New Roman" w:cs="Times New Roman"/>
              </w:rPr>
            </w:pPr>
          </w:p>
        </w:tc>
        <w:tc>
          <w:tcPr>
            <w:tcW w:w="0" w:type="auto"/>
            <w:vAlign w:val="center"/>
          </w:tcPr>
          <w:p w:rsidR="00D555B1" w:rsidRPr="00D555B1" w:rsidRDefault="00146574" w:rsidP="00D555B1">
            <w:pPr>
              <w:rPr>
                <w:rFonts w:eastAsia="Times New Roman" w:cs="Times New Roman"/>
              </w:rPr>
            </w:pPr>
            <w:r>
              <w:rPr>
                <w:rFonts w:eastAsia="Times New Roman" w:cs="Times New Roman"/>
              </w:rPr>
              <w:t>Each bill is progressing towards final passage.</w:t>
            </w:r>
          </w:p>
        </w:tc>
        <w:tc>
          <w:tcPr>
            <w:tcW w:w="0" w:type="auto"/>
            <w:vAlign w:val="center"/>
          </w:tcPr>
          <w:p w:rsidR="00D555B1" w:rsidRPr="00D555B1" w:rsidRDefault="00D555B1" w:rsidP="00D555B1">
            <w:pPr>
              <w:rPr>
                <w:rFonts w:eastAsia="Times New Roman" w:cs="Times New Roman"/>
              </w:rPr>
            </w:pPr>
          </w:p>
        </w:tc>
      </w:tr>
      <w:tr w:rsidR="00146574" w:rsidRPr="00D555B1" w:rsidTr="00146574">
        <w:trPr>
          <w:trHeight w:val="141"/>
          <w:tblCellSpacing w:w="15" w:type="dxa"/>
        </w:trPr>
        <w:tc>
          <w:tcPr>
            <w:tcW w:w="0" w:type="auto"/>
            <w:vAlign w:val="center"/>
          </w:tcPr>
          <w:p w:rsidR="00D555B1" w:rsidRPr="00D555B1" w:rsidRDefault="00D555B1" w:rsidP="00D555B1">
            <w:pPr>
              <w:jc w:val="center"/>
              <w:rPr>
                <w:rFonts w:eastAsia="Times New Roman" w:cs="Times New Roman"/>
                <w:b/>
                <w:bCs/>
              </w:rPr>
            </w:pPr>
          </w:p>
        </w:tc>
        <w:tc>
          <w:tcPr>
            <w:tcW w:w="0" w:type="auto"/>
            <w:vAlign w:val="center"/>
          </w:tcPr>
          <w:p w:rsidR="00D555B1" w:rsidRPr="00D555B1" w:rsidRDefault="00D555B1" w:rsidP="00D555B1">
            <w:pPr>
              <w:rPr>
                <w:rFonts w:eastAsia="Times New Roman" w:cs="Times New Roman"/>
              </w:rPr>
            </w:pPr>
          </w:p>
        </w:tc>
        <w:tc>
          <w:tcPr>
            <w:tcW w:w="0" w:type="auto"/>
            <w:vAlign w:val="center"/>
          </w:tcPr>
          <w:p w:rsidR="00D555B1" w:rsidRPr="00D555B1" w:rsidRDefault="00D555B1" w:rsidP="00D555B1">
            <w:pPr>
              <w:rPr>
                <w:rFonts w:eastAsia="Times New Roman" w:cs="Times New Roman"/>
              </w:rPr>
            </w:pPr>
          </w:p>
        </w:tc>
        <w:tc>
          <w:tcPr>
            <w:tcW w:w="0" w:type="auto"/>
            <w:vAlign w:val="center"/>
          </w:tcPr>
          <w:p w:rsidR="00146574" w:rsidRPr="00D555B1" w:rsidRDefault="00146574" w:rsidP="00D555B1">
            <w:pPr>
              <w:rPr>
                <w:rFonts w:eastAsia="Times New Roman" w:cs="Times New Roman"/>
              </w:rPr>
            </w:pPr>
          </w:p>
        </w:tc>
        <w:tc>
          <w:tcPr>
            <w:tcW w:w="0" w:type="auto"/>
            <w:vAlign w:val="center"/>
          </w:tcPr>
          <w:p w:rsidR="00D555B1" w:rsidRPr="00D555B1" w:rsidRDefault="00D555B1" w:rsidP="00D555B1">
            <w:pPr>
              <w:rPr>
                <w:rFonts w:eastAsia="Times New Roman" w:cs="Times New Roman"/>
              </w:rPr>
            </w:pPr>
          </w:p>
        </w:tc>
      </w:tr>
      <w:tr w:rsidR="00146574" w:rsidRPr="00D555B1" w:rsidTr="00146574">
        <w:trPr>
          <w:tblCellSpacing w:w="15" w:type="dxa"/>
        </w:trPr>
        <w:tc>
          <w:tcPr>
            <w:tcW w:w="0" w:type="auto"/>
            <w:vAlign w:val="center"/>
            <w:hideMark/>
          </w:tcPr>
          <w:p w:rsidR="00D555B1" w:rsidRDefault="00FF5097" w:rsidP="0079148C">
            <w:pPr>
              <w:rPr>
                <w:rFonts w:eastAsia="Times New Roman" w:cs="Times New Roman"/>
                <w:b/>
                <w:bCs/>
                <w:color w:val="0000FF"/>
                <w:u w:val="single"/>
              </w:rPr>
            </w:pPr>
            <w:hyperlink r:id="rId12" w:history="1">
              <w:r w:rsidR="00146574">
                <w:rPr>
                  <w:rFonts w:eastAsia="Times New Roman" w:cs="Times New Roman"/>
                  <w:b/>
                  <w:bCs/>
                  <w:color w:val="0000FF"/>
                  <w:u w:val="single"/>
                </w:rPr>
                <w:t xml:space="preserve">HB </w:t>
              </w:r>
              <w:r w:rsidR="00D555B1" w:rsidRPr="00D555B1">
                <w:rPr>
                  <w:rFonts w:eastAsia="Times New Roman" w:cs="Times New Roman"/>
                  <w:b/>
                  <w:bCs/>
                  <w:color w:val="0000FF"/>
                  <w:u w:val="single"/>
                </w:rPr>
                <w:t>217</w:t>
              </w:r>
            </w:hyperlink>
          </w:p>
          <w:p w:rsidR="00146574" w:rsidRDefault="00146574" w:rsidP="00D555B1">
            <w:pPr>
              <w:jc w:val="center"/>
              <w:rPr>
                <w:rFonts w:eastAsia="Times New Roman" w:cs="Times New Roman"/>
                <w:b/>
                <w:bCs/>
                <w:color w:val="0000FF"/>
                <w:u w:val="single"/>
              </w:rPr>
            </w:pPr>
            <w:r>
              <w:rPr>
                <w:rFonts w:eastAsia="Times New Roman" w:cs="Times New Roman"/>
                <w:b/>
                <w:bCs/>
                <w:color w:val="0000FF"/>
                <w:u w:val="single"/>
              </w:rPr>
              <w:t>SB 338</w:t>
            </w:r>
          </w:p>
          <w:p w:rsidR="00146574" w:rsidRDefault="00146574" w:rsidP="00D555B1">
            <w:pPr>
              <w:jc w:val="center"/>
              <w:rPr>
                <w:rFonts w:eastAsia="Times New Roman" w:cs="Times New Roman"/>
                <w:b/>
                <w:bCs/>
                <w:color w:val="0000FF"/>
                <w:u w:val="single"/>
              </w:rPr>
            </w:pPr>
          </w:p>
          <w:p w:rsidR="00146574" w:rsidRPr="00D555B1" w:rsidRDefault="00146574" w:rsidP="00D555B1">
            <w:pPr>
              <w:jc w:val="center"/>
              <w:rPr>
                <w:rFonts w:eastAsia="Times New Roman" w:cs="Times New Roman"/>
                <w:b/>
                <w:bCs/>
              </w:rPr>
            </w:pPr>
          </w:p>
        </w:tc>
        <w:tc>
          <w:tcPr>
            <w:tcW w:w="0" w:type="auto"/>
            <w:vAlign w:val="center"/>
            <w:hideMark/>
          </w:tcPr>
          <w:p w:rsidR="0079148C" w:rsidRDefault="0079148C" w:rsidP="00D555B1">
            <w:pPr>
              <w:rPr>
                <w:rFonts w:eastAsia="Times New Roman" w:cs="Times New Roman"/>
              </w:rPr>
            </w:pPr>
          </w:p>
          <w:p w:rsidR="00D555B1" w:rsidRDefault="00D555B1" w:rsidP="00D555B1">
            <w:pPr>
              <w:rPr>
                <w:rFonts w:eastAsia="Times New Roman" w:cs="Times New Roman"/>
              </w:rPr>
            </w:pPr>
            <w:r w:rsidRPr="00D555B1">
              <w:rPr>
                <w:rFonts w:eastAsia="Times New Roman" w:cs="Times New Roman"/>
              </w:rPr>
              <w:t>Engineers</w:t>
            </w:r>
          </w:p>
          <w:p w:rsidR="00146574" w:rsidRDefault="0079148C" w:rsidP="00D555B1">
            <w:pPr>
              <w:rPr>
                <w:rFonts w:eastAsia="Times New Roman" w:cs="Times New Roman"/>
              </w:rPr>
            </w:pPr>
            <w:r>
              <w:rPr>
                <w:rFonts w:eastAsia="Times New Roman" w:cs="Times New Roman"/>
              </w:rPr>
              <w:t>(</w:t>
            </w:r>
            <w:r w:rsidR="005F51C9">
              <w:rPr>
                <w:rFonts w:eastAsia="Times New Roman" w:cs="Times New Roman"/>
              </w:rPr>
              <w:t>Structural</w:t>
            </w:r>
            <w:r>
              <w:rPr>
                <w:rFonts w:eastAsia="Times New Roman" w:cs="Times New Roman"/>
              </w:rPr>
              <w:t>)</w:t>
            </w:r>
          </w:p>
          <w:p w:rsidR="0079148C" w:rsidRDefault="0079148C" w:rsidP="00D555B1">
            <w:pPr>
              <w:rPr>
                <w:rFonts w:eastAsia="Times New Roman" w:cs="Times New Roman"/>
              </w:rPr>
            </w:pPr>
          </w:p>
          <w:p w:rsidR="0079148C" w:rsidRDefault="0079148C" w:rsidP="00D555B1">
            <w:pPr>
              <w:rPr>
                <w:rFonts w:eastAsia="Times New Roman" w:cs="Times New Roman"/>
              </w:rPr>
            </w:pPr>
          </w:p>
          <w:p w:rsidR="00146574" w:rsidRPr="00D555B1" w:rsidRDefault="00146574" w:rsidP="00D555B1">
            <w:pPr>
              <w:rPr>
                <w:rFonts w:eastAsia="Times New Roman" w:cs="Times New Roman"/>
              </w:rPr>
            </w:pPr>
          </w:p>
        </w:tc>
        <w:tc>
          <w:tcPr>
            <w:tcW w:w="0" w:type="auto"/>
            <w:vAlign w:val="center"/>
          </w:tcPr>
          <w:p w:rsidR="00D555B1" w:rsidRPr="00D555B1" w:rsidRDefault="00D555B1" w:rsidP="00D555B1">
            <w:pPr>
              <w:rPr>
                <w:rFonts w:eastAsia="Times New Roman" w:cs="Times New Roman"/>
              </w:rPr>
            </w:pP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98"/>
            </w:tblGrid>
            <w:tr w:rsidR="0079148C" w:rsidRPr="00D555B1" w:rsidTr="00C702B2">
              <w:trPr>
                <w:trHeight w:val="141"/>
                <w:tblCellSpacing w:w="15" w:type="dxa"/>
              </w:trPr>
              <w:tc>
                <w:tcPr>
                  <w:tcW w:w="0" w:type="auto"/>
                  <w:vAlign w:val="center"/>
                </w:tcPr>
                <w:p w:rsidR="0079148C" w:rsidRPr="00D555B1" w:rsidRDefault="0079148C" w:rsidP="0079148C">
                  <w:pPr>
                    <w:rPr>
                      <w:rFonts w:eastAsia="Times New Roman" w:cs="Times New Roman"/>
                    </w:rPr>
                  </w:pPr>
                </w:p>
              </w:tc>
            </w:tr>
            <w:tr w:rsidR="0079148C" w:rsidRPr="00D555B1" w:rsidTr="00C702B2">
              <w:trPr>
                <w:tblCellSpacing w:w="15" w:type="dxa"/>
              </w:trPr>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8"/>
                  </w:tblGrid>
                  <w:tr w:rsidR="0079148C" w:rsidRPr="00D555B1" w:rsidTr="00C702B2">
                    <w:trPr>
                      <w:trHeight w:val="141"/>
                      <w:tblCellSpacing w:w="15" w:type="dxa"/>
                    </w:trPr>
                    <w:tc>
                      <w:tcPr>
                        <w:tcW w:w="0" w:type="auto"/>
                        <w:vAlign w:val="center"/>
                      </w:tcPr>
                      <w:p w:rsidR="0079148C" w:rsidRPr="00D555B1" w:rsidRDefault="0079148C" w:rsidP="0079148C">
                        <w:pPr>
                          <w:rPr>
                            <w:rFonts w:eastAsia="Times New Roman" w:cs="Times New Roman"/>
                          </w:rPr>
                        </w:pPr>
                        <w:r>
                          <w:rPr>
                            <w:rFonts w:eastAsia="Times New Roman" w:cs="Times New Roman"/>
                          </w:rPr>
                          <w:t>Both bills are ready for final passage. Creates new license.</w:t>
                        </w:r>
                      </w:p>
                    </w:tc>
                  </w:tr>
                  <w:tr w:rsidR="0079148C" w:rsidRPr="00D555B1" w:rsidTr="00C702B2">
                    <w:trPr>
                      <w:tblCellSpacing w:w="15" w:type="dxa"/>
                    </w:trPr>
                    <w:tc>
                      <w:tcPr>
                        <w:tcW w:w="0" w:type="auto"/>
                        <w:vAlign w:val="center"/>
                      </w:tcPr>
                      <w:p w:rsidR="0079148C" w:rsidRPr="00D555B1" w:rsidRDefault="0079148C" w:rsidP="0079148C">
                        <w:pPr>
                          <w:rPr>
                            <w:rFonts w:eastAsia="Times New Roman" w:cs="Times New Roman"/>
                          </w:rPr>
                        </w:pPr>
                      </w:p>
                    </w:tc>
                  </w:tr>
                </w:tbl>
                <w:p w:rsidR="0079148C" w:rsidRPr="00D555B1" w:rsidRDefault="0079148C" w:rsidP="0079148C">
                  <w:pPr>
                    <w:rPr>
                      <w:rFonts w:eastAsia="Times New Roman" w:cs="Times New Roman"/>
                    </w:rPr>
                  </w:pPr>
                </w:p>
              </w:tc>
            </w:tr>
          </w:tbl>
          <w:p w:rsidR="00D555B1" w:rsidRPr="00D555B1" w:rsidRDefault="00D555B1" w:rsidP="00D555B1">
            <w:pPr>
              <w:rPr>
                <w:rFonts w:eastAsia="Times New Roman" w:cs="Times New Roman"/>
              </w:rPr>
            </w:pPr>
          </w:p>
        </w:tc>
        <w:tc>
          <w:tcPr>
            <w:tcW w:w="0" w:type="auto"/>
            <w:vAlign w:val="center"/>
          </w:tcPr>
          <w:p w:rsidR="00D555B1" w:rsidRPr="00D555B1" w:rsidRDefault="00D555B1" w:rsidP="00D555B1">
            <w:pPr>
              <w:rPr>
                <w:rFonts w:eastAsia="Times New Roman" w:cs="Times New Roman"/>
              </w:rPr>
            </w:pPr>
          </w:p>
        </w:tc>
      </w:tr>
      <w:tr w:rsidR="00146574" w:rsidRPr="00D555B1" w:rsidTr="0087018F">
        <w:trPr>
          <w:tblCellSpacing w:w="15" w:type="dxa"/>
        </w:trPr>
        <w:tc>
          <w:tcPr>
            <w:tcW w:w="0" w:type="auto"/>
            <w:vAlign w:val="center"/>
            <w:hideMark/>
          </w:tcPr>
          <w:p w:rsidR="00D555B1" w:rsidRDefault="00FF5097" w:rsidP="0087018F">
            <w:pPr>
              <w:rPr>
                <w:rFonts w:eastAsia="Times New Roman" w:cs="Times New Roman"/>
                <w:b/>
                <w:bCs/>
                <w:color w:val="0000FF"/>
                <w:u w:val="single"/>
              </w:rPr>
            </w:pPr>
            <w:hyperlink r:id="rId13" w:history="1">
              <w:r w:rsidR="0087018F">
                <w:rPr>
                  <w:rFonts w:eastAsia="Times New Roman" w:cs="Times New Roman"/>
                  <w:b/>
                  <w:bCs/>
                  <w:color w:val="0000FF"/>
                  <w:u w:val="single"/>
                </w:rPr>
                <w:t xml:space="preserve">SB </w:t>
              </w:r>
              <w:r w:rsidR="00D555B1" w:rsidRPr="00D555B1">
                <w:rPr>
                  <w:rFonts w:eastAsia="Times New Roman" w:cs="Times New Roman"/>
                  <w:b/>
                  <w:bCs/>
                  <w:color w:val="0000FF"/>
                  <w:u w:val="single"/>
                </w:rPr>
                <w:t>466</w:t>
              </w:r>
            </w:hyperlink>
          </w:p>
          <w:p w:rsidR="0087018F" w:rsidRPr="00D555B1" w:rsidRDefault="0087018F" w:rsidP="0087018F">
            <w:pPr>
              <w:rPr>
                <w:rFonts w:eastAsia="Times New Roman" w:cs="Times New Roman"/>
                <w:b/>
                <w:bCs/>
              </w:rPr>
            </w:pPr>
            <w:r>
              <w:rPr>
                <w:rFonts w:eastAsia="Times New Roman" w:cs="Times New Roman"/>
                <w:b/>
                <w:bCs/>
                <w:color w:val="0000FF"/>
                <w:u w:val="single"/>
              </w:rPr>
              <w:t>HB 413</w:t>
            </w:r>
          </w:p>
        </w:tc>
        <w:tc>
          <w:tcPr>
            <w:tcW w:w="0" w:type="auto"/>
            <w:vAlign w:val="center"/>
            <w:hideMark/>
          </w:tcPr>
          <w:p w:rsidR="00D555B1" w:rsidRPr="00D555B1" w:rsidRDefault="00D555B1" w:rsidP="00D555B1">
            <w:pPr>
              <w:rPr>
                <w:rFonts w:eastAsia="Times New Roman" w:cs="Times New Roman"/>
              </w:rPr>
            </w:pPr>
            <w:r w:rsidRPr="00D555B1">
              <w:rPr>
                <w:rFonts w:eastAsia="Times New Roman" w:cs="Times New Roman"/>
              </w:rPr>
              <w:t>Low-voltage Alarm Systems</w:t>
            </w:r>
          </w:p>
        </w:tc>
        <w:tc>
          <w:tcPr>
            <w:tcW w:w="0" w:type="auto"/>
            <w:vAlign w:val="center"/>
          </w:tcPr>
          <w:p w:rsidR="00D555B1" w:rsidRPr="00D555B1" w:rsidRDefault="00D555B1" w:rsidP="00D555B1">
            <w:pPr>
              <w:rPr>
                <w:rFonts w:eastAsia="Times New Roman" w:cs="Times New Roman"/>
              </w:rPr>
            </w:pPr>
          </w:p>
        </w:tc>
        <w:tc>
          <w:tcPr>
            <w:tcW w:w="0" w:type="auto"/>
            <w:vAlign w:val="center"/>
            <w:hideMark/>
          </w:tcPr>
          <w:p w:rsidR="00D555B1" w:rsidRPr="00D555B1" w:rsidRDefault="0087018F" w:rsidP="00D555B1">
            <w:pPr>
              <w:rPr>
                <w:rFonts w:eastAsia="Times New Roman" w:cs="Times New Roman"/>
              </w:rPr>
            </w:pPr>
            <w:r>
              <w:rPr>
                <w:rFonts w:eastAsia="Times New Roman" w:cs="Times New Roman"/>
              </w:rPr>
              <w:t>Both bills are on the calendars in each chamber (ready for final passage).</w:t>
            </w:r>
            <w:r w:rsidR="0079148C">
              <w:rPr>
                <w:rFonts w:eastAsia="Times New Roman" w:cs="Times New Roman"/>
              </w:rPr>
              <w:t xml:space="preserve"> Defines “wireless” alarms and changes fees.</w:t>
            </w:r>
          </w:p>
        </w:tc>
        <w:tc>
          <w:tcPr>
            <w:tcW w:w="0" w:type="auto"/>
            <w:vAlign w:val="center"/>
          </w:tcPr>
          <w:p w:rsidR="00D555B1" w:rsidRPr="00D555B1" w:rsidRDefault="00D555B1" w:rsidP="00D555B1">
            <w:pPr>
              <w:rPr>
                <w:rFonts w:eastAsia="Times New Roman" w:cs="Times New Roman"/>
              </w:rPr>
            </w:pPr>
          </w:p>
        </w:tc>
      </w:tr>
      <w:tr w:rsidR="00146574" w:rsidRPr="00D555B1" w:rsidTr="0087018F">
        <w:trPr>
          <w:tblCellSpacing w:w="15" w:type="dxa"/>
        </w:trPr>
        <w:tc>
          <w:tcPr>
            <w:tcW w:w="0" w:type="auto"/>
            <w:vAlign w:val="center"/>
          </w:tcPr>
          <w:p w:rsidR="00D555B1" w:rsidRPr="00D555B1" w:rsidRDefault="00D555B1" w:rsidP="00D555B1">
            <w:pPr>
              <w:jc w:val="center"/>
              <w:rPr>
                <w:rFonts w:eastAsia="Times New Roman" w:cs="Times New Roman"/>
                <w:b/>
                <w:bCs/>
              </w:rPr>
            </w:pPr>
          </w:p>
        </w:tc>
        <w:tc>
          <w:tcPr>
            <w:tcW w:w="0" w:type="auto"/>
            <w:vAlign w:val="center"/>
          </w:tcPr>
          <w:p w:rsidR="00D555B1" w:rsidRPr="00D555B1" w:rsidRDefault="00D555B1" w:rsidP="00D555B1">
            <w:pPr>
              <w:rPr>
                <w:rFonts w:eastAsia="Times New Roman" w:cs="Times New Roman"/>
              </w:rPr>
            </w:pPr>
          </w:p>
        </w:tc>
        <w:tc>
          <w:tcPr>
            <w:tcW w:w="0" w:type="auto"/>
            <w:vAlign w:val="center"/>
          </w:tcPr>
          <w:p w:rsidR="00D555B1" w:rsidRPr="00D555B1" w:rsidRDefault="00D555B1" w:rsidP="00D555B1">
            <w:pPr>
              <w:rPr>
                <w:rFonts w:eastAsia="Times New Roman" w:cs="Times New Roman"/>
              </w:rPr>
            </w:pPr>
          </w:p>
        </w:tc>
        <w:tc>
          <w:tcPr>
            <w:tcW w:w="0" w:type="auto"/>
            <w:vAlign w:val="center"/>
          </w:tcPr>
          <w:p w:rsidR="00D555B1" w:rsidRPr="00D555B1" w:rsidRDefault="00D555B1" w:rsidP="00D555B1">
            <w:pPr>
              <w:rPr>
                <w:rFonts w:eastAsia="Times New Roman" w:cs="Times New Roman"/>
              </w:rPr>
            </w:pPr>
          </w:p>
        </w:tc>
        <w:tc>
          <w:tcPr>
            <w:tcW w:w="0" w:type="auto"/>
            <w:vAlign w:val="center"/>
          </w:tcPr>
          <w:p w:rsidR="00D555B1" w:rsidRPr="00D555B1" w:rsidRDefault="00D555B1" w:rsidP="00D555B1">
            <w:pPr>
              <w:rPr>
                <w:rFonts w:eastAsia="Times New Roman" w:cs="Times New Roman"/>
              </w:rPr>
            </w:pPr>
          </w:p>
        </w:tc>
      </w:tr>
      <w:tr w:rsidR="00146574" w:rsidRPr="00D555B1" w:rsidTr="0087018F">
        <w:trPr>
          <w:tblCellSpacing w:w="15" w:type="dxa"/>
        </w:trPr>
        <w:tc>
          <w:tcPr>
            <w:tcW w:w="0" w:type="auto"/>
            <w:vAlign w:val="center"/>
            <w:hideMark/>
          </w:tcPr>
          <w:p w:rsidR="0087018F" w:rsidRDefault="00FF5097" w:rsidP="00D555B1">
            <w:pPr>
              <w:jc w:val="center"/>
              <w:rPr>
                <w:rFonts w:eastAsia="Times New Roman" w:cs="Times New Roman"/>
                <w:b/>
                <w:bCs/>
                <w:color w:val="0000FF"/>
                <w:u w:val="single"/>
              </w:rPr>
            </w:pPr>
            <w:hyperlink r:id="rId14" w:history="1">
              <w:r w:rsidR="0087018F">
                <w:rPr>
                  <w:rFonts w:eastAsia="Times New Roman" w:cs="Times New Roman"/>
                  <w:b/>
                  <w:bCs/>
                  <w:color w:val="0000FF"/>
                  <w:u w:val="single"/>
                </w:rPr>
                <w:t xml:space="preserve">HB </w:t>
              </w:r>
              <w:r w:rsidR="00D555B1" w:rsidRPr="00D555B1">
                <w:rPr>
                  <w:rFonts w:eastAsia="Times New Roman" w:cs="Times New Roman"/>
                  <w:b/>
                  <w:bCs/>
                  <w:color w:val="0000FF"/>
                  <w:u w:val="single"/>
                </w:rPr>
                <w:t>501</w:t>
              </w:r>
            </w:hyperlink>
          </w:p>
          <w:p w:rsidR="00D555B1" w:rsidRPr="00D555B1" w:rsidRDefault="0087018F" w:rsidP="00D555B1">
            <w:pPr>
              <w:jc w:val="center"/>
              <w:rPr>
                <w:rFonts w:eastAsia="Times New Roman" w:cs="Times New Roman"/>
                <w:b/>
                <w:bCs/>
              </w:rPr>
            </w:pPr>
            <w:r>
              <w:rPr>
                <w:rFonts w:eastAsia="Times New Roman" w:cs="Times New Roman"/>
                <w:b/>
                <w:bCs/>
                <w:color w:val="0000FF"/>
                <w:u w:val="single"/>
              </w:rPr>
              <w:t>SB 1158</w:t>
            </w:r>
          </w:p>
        </w:tc>
        <w:tc>
          <w:tcPr>
            <w:tcW w:w="0" w:type="auto"/>
            <w:vAlign w:val="center"/>
            <w:hideMark/>
          </w:tcPr>
          <w:p w:rsidR="00D555B1" w:rsidRDefault="00D555B1" w:rsidP="00D555B1">
            <w:pPr>
              <w:rPr>
                <w:rFonts w:eastAsia="Times New Roman" w:cs="Times New Roman"/>
              </w:rPr>
            </w:pPr>
            <w:r w:rsidRPr="00D555B1">
              <w:rPr>
                <w:rFonts w:eastAsia="Times New Roman" w:cs="Times New Roman"/>
              </w:rPr>
              <w:t>Limitation of Actions</w:t>
            </w:r>
          </w:p>
          <w:p w:rsidR="0087018F" w:rsidRPr="00D555B1" w:rsidRDefault="0087018F" w:rsidP="00D555B1">
            <w:pPr>
              <w:rPr>
                <w:rFonts w:eastAsia="Times New Roman" w:cs="Times New Roman"/>
              </w:rPr>
            </w:pPr>
            <w:r>
              <w:rPr>
                <w:rFonts w:eastAsia="Times New Roman" w:cs="Times New Roman"/>
              </w:rPr>
              <w:t>(Statute of Repose)</w:t>
            </w:r>
          </w:p>
        </w:tc>
        <w:tc>
          <w:tcPr>
            <w:tcW w:w="0" w:type="auto"/>
            <w:vAlign w:val="center"/>
          </w:tcPr>
          <w:p w:rsidR="00D555B1" w:rsidRPr="00D555B1" w:rsidRDefault="0087018F" w:rsidP="0087018F">
            <w:pPr>
              <w:ind w:left="67"/>
              <w:rPr>
                <w:rFonts w:eastAsia="Times New Roman" w:cs="Times New Roman"/>
              </w:rPr>
            </w:pPr>
            <w:r>
              <w:rPr>
                <w:rFonts w:eastAsia="Times New Roman" w:cs="Times New Roman"/>
              </w:rPr>
              <w:t xml:space="preserve"> </w:t>
            </w:r>
          </w:p>
        </w:tc>
        <w:tc>
          <w:tcPr>
            <w:tcW w:w="0" w:type="auto"/>
            <w:vAlign w:val="center"/>
            <w:hideMark/>
          </w:tcPr>
          <w:p w:rsidR="00D555B1" w:rsidRPr="00D555B1" w:rsidRDefault="0087018F" w:rsidP="0087018F">
            <w:pPr>
              <w:rPr>
                <w:rFonts w:eastAsia="Times New Roman" w:cs="Times New Roman"/>
              </w:rPr>
            </w:pPr>
            <w:r>
              <w:rPr>
                <w:rFonts w:eastAsia="Times New Roman" w:cs="Times New Roman"/>
              </w:rPr>
              <w:t>House bill has had only one of three hearings, and Senate Bill has not been heard by any Senate committee.</w:t>
            </w:r>
          </w:p>
        </w:tc>
        <w:tc>
          <w:tcPr>
            <w:tcW w:w="0" w:type="auto"/>
            <w:vAlign w:val="center"/>
          </w:tcPr>
          <w:p w:rsidR="00D555B1" w:rsidRPr="00D555B1" w:rsidRDefault="00D555B1" w:rsidP="00D555B1">
            <w:pPr>
              <w:rPr>
                <w:rFonts w:eastAsia="Times New Roman" w:cs="Times New Roman"/>
              </w:rPr>
            </w:pPr>
          </w:p>
        </w:tc>
      </w:tr>
      <w:tr w:rsidR="00146574" w:rsidRPr="00D555B1" w:rsidTr="0087018F">
        <w:trPr>
          <w:tblCellSpacing w:w="15" w:type="dxa"/>
        </w:trPr>
        <w:tc>
          <w:tcPr>
            <w:tcW w:w="0" w:type="auto"/>
            <w:vAlign w:val="center"/>
          </w:tcPr>
          <w:p w:rsidR="00D555B1" w:rsidRPr="00D555B1" w:rsidRDefault="00D555B1" w:rsidP="0087018F">
            <w:pPr>
              <w:rPr>
                <w:rFonts w:eastAsia="Times New Roman" w:cs="Times New Roman"/>
                <w:b/>
                <w:bCs/>
              </w:rPr>
            </w:pPr>
          </w:p>
        </w:tc>
        <w:tc>
          <w:tcPr>
            <w:tcW w:w="0" w:type="auto"/>
            <w:vAlign w:val="center"/>
          </w:tcPr>
          <w:p w:rsidR="00D555B1" w:rsidRPr="00D555B1" w:rsidRDefault="00D555B1" w:rsidP="00D555B1">
            <w:pPr>
              <w:rPr>
                <w:rFonts w:eastAsia="Times New Roman" w:cs="Times New Roman"/>
              </w:rPr>
            </w:pPr>
          </w:p>
        </w:tc>
        <w:tc>
          <w:tcPr>
            <w:tcW w:w="0" w:type="auto"/>
            <w:vAlign w:val="center"/>
          </w:tcPr>
          <w:p w:rsidR="00D555B1" w:rsidRPr="00D555B1" w:rsidRDefault="00D555B1" w:rsidP="00D555B1">
            <w:pPr>
              <w:rPr>
                <w:rFonts w:eastAsia="Times New Roman" w:cs="Times New Roman"/>
              </w:rPr>
            </w:pPr>
          </w:p>
        </w:tc>
        <w:tc>
          <w:tcPr>
            <w:tcW w:w="0" w:type="auto"/>
            <w:vAlign w:val="center"/>
          </w:tcPr>
          <w:p w:rsidR="00D555B1" w:rsidRPr="00D555B1" w:rsidRDefault="00D555B1" w:rsidP="00D555B1">
            <w:pPr>
              <w:rPr>
                <w:rFonts w:eastAsia="Times New Roman" w:cs="Times New Roman"/>
              </w:rPr>
            </w:pPr>
          </w:p>
        </w:tc>
        <w:tc>
          <w:tcPr>
            <w:tcW w:w="0" w:type="auto"/>
            <w:vAlign w:val="center"/>
          </w:tcPr>
          <w:p w:rsidR="00D555B1" w:rsidRPr="00D555B1" w:rsidRDefault="00D555B1" w:rsidP="00D555B1">
            <w:pPr>
              <w:rPr>
                <w:rFonts w:eastAsia="Times New Roman" w:cs="Times New Roman"/>
              </w:rPr>
            </w:pPr>
          </w:p>
        </w:tc>
      </w:tr>
      <w:tr w:rsidR="00146574" w:rsidRPr="00D555B1" w:rsidTr="0079148C">
        <w:trPr>
          <w:tblCellSpacing w:w="15" w:type="dxa"/>
        </w:trPr>
        <w:tc>
          <w:tcPr>
            <w:tcW w:w="0" w:type="auto"/>
            <w:vAlign w:val="center"/>
            <w:hideMark/>
          </w:tcPr>
          <w:p w:rsidR="00D555B1" w:rsidRDefault="0079148C" w:rsidP="0079148C">
            <w:pPr>
              <w:rPr>
                <w:rFonts w:eastAsia="Times New Roman" w:cs="Times New Roman"/>
                <w:b/>
                <w:bCs/>
                <w:color w:val="0000FF"/>
                <w:u w:val="single"/>
              </w:rPr>
            </w:pPr>
            <w:r>
              <w:rPr>
                <w:rFonts w:eastAsia="Times New Roman" w:cs="Times New Roman"/>
                <w:b/>
                <w:bCs/>
                <w:color w:val="0000FF"/>
                <w:u w:val="single"/>
              </w:rPr>
              <w:t>HB 915</w:t>
            </w:r>
          </w:p>
          <w:p w:rsidR="0079148C" w:rsidRPr="00D555B1" w:rsidRDefault="0079148C" w:rsidP="0079148C">
            <w:pPr>
              <w:rPr>
                <w:rFonts w:eastAsia="Times New Roman" w:cs="Times New Roman"/>
                <w:b/>
                <w:bCs/>
              </w:rPr>
            </w:pPr>
            <w:r>
              <w:rPr>
                <w:rFonts w:eastAsia="Times New Roman" w:cs="Times New Roman"/>
                <w:b/>
                <w:bCs/>
                <w:color w:val="0000FF"/>
                <w:u w:val="single"/>
              </w:rPr>
              <w:t>SB 1232</w:t>
            </w:r>
          </w:p>
        </w:tc>
        <w:tc>
          <w:tcPr>
            <w:tcW w:w="0" w:type="auto"/>
            <w:vAlign w:val="center"/>
            <w:hideMark/>
          </w:tcPr>
          <w:p w:rsidR="00D555B1" w:rsidRPr="00D555B1" w:rsidRDefault="00D555B1" w:rsidP="00D555B1">
            <w:pPr>
              <w:rPr>
                <w:rFonts w:eastAsia="Times New Roman" w:cs="Times New Roman"/>
              </w:rPr>
            </w:pPr>
            <w:r w:rsidRPr="00D555B1">
              <w:rPr>
                <w:rFonts w:eastAsia="Times New Roman" w:cs="Times New Roman"/>
              </w:rPr>
              <w:t>Florida Building Code</w:t>
            </w:r>
          </w:p>
        </w:tc>
        <w:tc>
          <w:tcPr>
            <w:tcW w:w="0" w:type="auto"/>
            <w:vAlign w:val="center"/>
          </w:tcPr>
          <w:p w:rsidR="00D555B1" w:rsidRPr="00D555B1" w:rsidRDefault="00D555B1" w:rsidP="00D555B1">
            <w:pPr>
              <w:rPr>
                <w:rFonts w:eastAsia="Times New Roman" w:cs="Times New Roman"/>
              </w:rPr>
            </w:pPr>
          </w:p>
        </w:tc>
        <w:tc>
          <w:tcPr>
            <w:tcW w:w="0" w:type="auto"/>
            <w:vAlign w:val="center"/>
          </w:tcPr>
          <w:p w:rsidR="00D555B1" w:rsidRPr="00D555B1" w:rsidRDefault="0079148C" w:rsidP="00D555B1">
            <w:pPr>
              <w:rPr>
                <w:rFonts w:eastAsia="Times New Roman" w:cs="Times New Roman"/>
              </w:rPr>
            </w:pPr>
            <w:r>
              <w:rPr>
                <w:rFonts w:eastAsia="Times New Roman" w:cs="Times New Roman"/>
              </w:rPr>
              <w:t>This is the annual “train” of bills dealing with the building code and is extensive (pools to permits).</w:t>
            </w:r>
          </w:p>
        </w:tc>
        <w:tc>
          <w:tcPr>
            <w:tcW w:w="0" w:type="auto"/>
            <w:vAlign w:val="center"/>
          </w:tcPr>
          <w:p w:rsidR="00D555B1" w:rsidRPr="00D555B1" w:rsidRDefault="00D555B1" w:rsidP="00D555B1">
            <w:pPr>
              <w:rPr>
                <w:rFonts w:eastAsia="Times New Roman" w:cs="Times New Roman"/>
              </w:rPr>
            </w:pPr>
          </w:p>
        </w:tc>
      </w:tr>
      <w:tr w:rsidR="00146574" w:rsidRPr="00D555B1" w:rsidTr="0079148C">
        <w:trPr>
          <w:tblCellSpacing w:w="15" w:type="dxa"/>
        </w:trPr>
        <w:tc>
          <w:tcPr>
            <w:tcW w:w="0" w:type="auto"/>
            <w:vAlign w:val="center"/>
          </w:tcPr>
          <w:p w:rsidR="00D555B1" w:rsidRPr="00D555B1" w:rsidRDefault="00D555B1" w:rsidP="00D555B1">
            <w:pPr>
              <w:jc w:val="center"/>
              <w:rPr>
                <w:rFonts w:eastAsia="Times New Roman" w:cs="Times New Roman"/>
                <w:b/>
                <w:bCs/>
              </w:rPr>
            </w:pPr>
          </w:p>
        </w:tc>
        <w:tc>
          <w:tcPr>
            <w:tcW w:w="0" w:type="auto"/>
            <w:vAlign w:val="center"/>
          </w:tcPr>
          <w:p w:rsidR="00D555B1" w:rsidRPr="00D555B1" w:rsidRDefault="00D555B1" w:rsidP="00D555B1">
            <w:pPr>
              <w:rPr>
                <w:rFonts w:eastAsia="Times New Roman" w:cs="Times New Roman"/>
              </w:rPr>
            </w:pPr>
          </w:p>
        </w:tc>
        <w:tc>
          <w:tcPr>
            <w:tcW w:w="0" w:type="auto"/>
            <w:vAlign w:val="center"/>
          </w:tcPr>
          <w:p w:rsidR="00D555B1" w:rsidRPr="00D555B1" w:rsidRDefault="00D555B1" w:rsidP="00D555B1">
            <w:pPr>
              <w:rPr>
                <w:rFonts w:eastAsia="Times New Roman" w:cs="Times New Roman"/>
              </w:rPr>
            </w:pPr>
          </w:p>
        </w:tc>
        <w:tc>
          <w:tcPr>
            <w:tcW w:w="0" w:type="auto"/>
            <w:vAlign w:val="center"/>
          </w:tcPr>
          <w:p w:rsidR="00D555B1" w:rsidRPr="00D555B1" w:rsidRDefault="00D555B1" w:rsidP="00D555B1">
            <w:pPr>
              <w:rPr>
                <w:rFonts w:eastAsia="Times New Roman" w:cs="Times New Roman"/>
              </w:rPr>
            </w:pPr>
          </w:p>
        </w:tc>
        <w:tc>
          <w:tcPr>
            <w:tcW w:w="0" w:type="auto"/>
            <w:vAlign w:val="center"/>
          </w:tcPr>
          <w:p w:rsidR="00D555B1" w:rsidRPr="00D555B1" w:rsidRDefault="00D555B1" w:rsidP="00D555B1">
            <w:pPr>
              <w:rPr>
                <w:rFonts w:eastAsia="Times New Roman" w:cs="Times New Roman"/>
              </w:rPr>
            </w:pPr>
          </w:p>
        </w:tc>
      </w:tr>
    </w:tbl>
    <w:p w:rsidR="00D555B1" w:rsidRPr="00D555B1" w:rsidRDefault="00D555B1" w:rsidP="00D555B1">
      <w:pPr>
        <w:spacing w:before="100" w:beforeAutospacing="1" w:after="100" w:afterAutospacing="1"/>
        <w:outlineLvl w:val="2"/>
        <w:rPr>
          <w:rFonts w:eastAsia="Times New Roman" w:cs="Times New Roman"/>
          <w:b/>
          <w:bCs/>
          <w:vanish/>
          <w:sz w:val="27"/>
          <w:szCs w:val="27"/>
        </w:rPr>
      </w:pPr>
      <w:r w:rsidRPr="00D555B1">
        <w:rPr>
          <w:rFonts w:eastAsia="Times New Roman" w:cs="Times New Roman"/>
          <w:b/>
          <w:bCs/>
          <w:vanish/>
          <w:sz w:val="27"/>
          <w:szCs w:val="27"/>
        </w:rPr>
        <w:t>Senators</w:t>
      </w:r>
    </w:p>
    <w:p w:rsidR="00D555B1" w:rsidRPr="00D555B1" w:rsidRDefault="00D555B1" w:rsidP="00D555B1">
      <w:pPr>
        <w:spacing w:before="100" w:beforeAutospacing="1" w:after="100" w:afterAutospacing="1"/>
        <w:rPr>
          <w:rFonts w:eastAsia="Times New Roman" w:cs="Times New Roman"/>
          <w:vanish/>
        </w:rPr>
      </w:pPr>
      <w:r w:rsidRPr="00D555B1">
        <w:rPr>
          <w:rFonts w:eastAsia="Times New Roman" w:cs="Times New Roman"/>
          <w:vanish/>
        </w:rPr>
        <w:t xml:space="preserve">Below are the media and publications posted by your tracked Senators in the past 7 days. You will receive email notifications when media and publications are posted; according to your </w:t>
      </w:r>
      <w:hyperlink r:id="rId15" w:history="1">
        <w:r w:rsidRPr="00D555B1">
          <w:rPr>
            <w:rFonts w:eastAsia="Times New Roman" w:cs="Times New Roman"/>
            <w:vanish/>
            <w:color w:val="0000FF"/>
            <w:u w:val="single"/>
          </w:rPr>
          <w:t>email frequency settings</w:t>
        </w:r>
      </w:hyperlink>
      <w:r w:rsidRPr="00D555B1">
        <w:rPr>
          <w:rFonts w:eastAsia="Times New Roman" w:cs="Times New Roman"/>
          <w:vanish/>
        </w:rPr>
        <w:t>.</w:t>
      </w:r>
    </w:p>
    <w:p w:rsidR="00D555B1" w:rsidRPr="00D555B1" w:rsidRDefault="00D555B1" w:rsidP="00D555B1">
      <w:pPr>
        <w:spacing w:before="100" w:beforeAutospacing="1" w:after="100" w:afterAutospacing="1"/>
        <w:rPr>
          <w:rFonts w:eastAsia="Times New Roman" w:cs="Times New Roman"/>
          <w:vanish/>
        </w:rPr>
      </w:pPr>
      <w:r w:rsidRPr="00D555B1">
        <w:rPr>
          <w:rFonts w:eastAsia="Times New Roman" w:cs="Times New Roman"/>
          <w:vanish/>
        </w:rPr>
        <w:t>You are not tracking any Senators. </w:t>
      </w:r>
    </w:p>
    <w:p w:rsidR="00D555B1" w:rsidRPr="00D555B1" w:rsidRDefault="00D555B1" w:rsidP="00D555B1">
      <w:pPr>
        <w:spacing w:before="100" w:beforeAutospacing="1" w:after="100" w:afterAutospacing="1"/>
        <w:outlineLvl w:val="2"/>
        <w:rPr>
          <w:rFonts w:eastAsia="Times New Roman" w:cs="Times New Roman"/>
          <w:b/>
          <w:bCs/>
          <w:vanish/>
          <w:sz w:val="27"/>
          <w:szCs w:val="27"/>
        </w:rPr>
      </w:pPr>
      <w:r w:rsidRPr="00D555B1">
        <w:rPr>
          <w:rFonts w:eastAsia="Times New Roman" w:cs="Times New Roman"/>
          <w:b/>
          <w:bCs/>
          <w:vanish/>
          <w:sz w:val="27"/>
          <w:szCs w:val="27"/>
        </w:rPr>
        <w:t>Committees</w:t>
      </w:r>
    </w:p>
    <w:p w:rsidR="00D555B1" w:rsidRPr="00D555B1" w:rsidRDefault="00D555B1" w:rsidP="00D555B1">
      <w:pPr>
        <w:spacing w:before="100" w:beforeAutospacing="1" w:after="100" w:afterAutospacing="1"/>
        <w:rPr>
          <w:rFonts w:eastAsia="Times New Roman" w:cs="Times New Roman"/>
          <w:vanish/>
        </w:rPr>
      </w:pPr>
      <w:r w:rsidRPr="00D555B1">
        <w:rPr>
          <w:rFonts w:eastAsia="Times New Roman" w:cs="Times New Roman"/>
          <w:vanish/>
        </w:rPr>
        <w:t xml:space="preserve">Below are the meeting records and publications posted by your tracked committees for the next or previous 8 days. You will receive email notifications when committee meeting records and publications are posted; according to your </w:t>
      </w:r>
      <w:hyperlink r:id="rId16" w:history="1">
        <w:r w:rsidRPr="00D555B1">
          <w:rPr>
            <w:rFonts w:eastAsia="Times New Roman" w:cs="Times New Roman"/>
            <w:vanish/>
            <w:color w:val="0000FF"/>
            <w:u w:val="single"/>
          </w:rPr>
          <w:t>email frequency settings</w:t>
        </w:r>
      </w:hyperlink>
      <w:r w:rsidRPr="00D555B1">
        <w:rPr>
          <w:rFonts w:eastAsia="Times New Roman" w:cs="Times New Roman"/>
          <w:vanish/>
        </w:rPr>
        <w:t>.</w:t>
      </w:r>
    </w:p>
    <w:p w:rsidR="00D555B1" w:rsidRPr="00D555B1" w:rsidRDefault="00D555B1" w:rsidP="00D555B1">
      <w:pPr>
        <w:spacing w:before="100" w:beforeAutospacing="1" w:after="100" w:afterAutospacing="1"/>
        <w:rPr>
          <w:rFonts w:eastAsia="Times New Roman" w:cs="Times New Roman"/>
          <w:vanish/>
        </w:rPr>
      </w:pPr>
      <w:r w:rsidRPr="00D555B1">
        <w:rPr>
          <w:rFonts w:eastAsia="Times New Roman" w:cs="Times New Roman"/>
          <w:vanish/>
        </w:rPr>
        <w:t>You are not tracking any Committees. </w:t>
      </w:r>
    </w:p>
    <w:p w:rsidR="00D555B1" w:rsidRPr="00D555B1" w:rsidRDefault="00D555B1" w:rsidP="00D555B1">
      <w:pPr>
        <w:spacing w:before="100" w:beforeAutospacing="1" w:after="100" w:afterAutospacing="1"/>
        <w:outlineLvl w:val="2"/>
        <w:rPr>
          <w:rFonts w:eastAsia="Times New Roman" w:cs="Times New Roman"/>
          <w:b/>
          <w:bCs/>
          <w:vanish/>
          <w:sz w:val="27"/>
          <w:szCs w:val="27"/>
        </w:rPr>
      </w:pPr>
      <w:r w:rsidRPr="00D555B1">
        <w:rPr>
          <w:rFonts w:eastAsia="Times New Roman" w:cs="Times New Roman"/>
          <w:b/>
          <w:bCs/>
          <w:vanish/>
          <w:sz w:val="27"/>
          <w:szCs w:val="27"/>
        </w:rPr>
        <w:t>Offices</w:t>
      </w:r>
    </w:p>
    <w:p w:rsidR="00D555B1" w:rsidRPr="00D555B1" w:rsidRDefault="00D555B1" w:rsidP="00D555B1">
      <w:pPr>
        <w:spacing w:before="100" w:beforeAutospacing="1" w:after="100" w:afterAutospacing="1"/>
        <w:rPr>
          <w:rFonts w:eastAsia="Times New Roman" w:cs="Times New Roman"/>
          <w:vanish/>
        </w:rPr>
      </w:pPr>
      <w:r w:rsidRPr="00D555B1">
        <w:rPr>
          <w:rFonts w:eastAsia="Times New Roman" w:cs="Times New Roman"/>
          <w:vanish/>
        </w:rPr>
        <w:t xml:space="preserve">Below are the media and publications posted by your tracked Offices in the past 7 days. You will receive email notifications when media and publications are posted; according to your </w:t>
      </w:r>
      <w:hyperlink r:id="rId17" w:history="1">
        <w:r w:rsidRPr="00D555B1">
          <w:rPr>
            <w:rFonts w:eastAsia="Times New Roman" w:cs="Times New Roman"/>
            <w:vanish/>
            <w:color w:val="0000FF"/>
            <w:u w:val="single"/>
          </w:rPr>
          <w:t>email frequency settings</w:t>
        </w:r>
      </w:hyperlink>
      <w:r w:rsidRPr="00D555B1">
        <w:rPr>
          <w:rFonts w:eastAsia="Times New Roman" w:cs="Times New Roman"/>
          <w:vanish/>
        </w:rPr>
        <w:t>.</w:t>
      </w:r>
    </w:p>
    <w:p w:rsidR="00D555B1" w:rsidRPr="00D555B1" w:rsidRDefault="00D555B1" w:rsidP="00D555B1">
      <w:pPr>
        <w:spacing w:before="100" w:beforeAutospacing="1" w:after="100" w:afterAutospacing="1"/>
        <w:rPr>
          <w:rFonts w:eastAsia="Times New Roman" w:cs="Times New Roman"/>
          <w:vanish/>
        </w:rPr>
      </w:pPr>
      <w:r w:rsidRPr="00D555B1">
        <w:rPr>
          <w:rFonts w:eastAsia="Times New Roman" w:cs="Times New Roman"/>
          <w:vanish/>
        </w:rPr>
        <w:t>You are not tracking any Offices. </w:t>
      </w:r>
    </w:p>
    <w:p w:rsidR="00D555B1" w:rsidRPr="00D555B1" w:rsidRDefault="00D555B1" w:rsidP="00D555B1">
      <w:pPr>
        <w:spacing w:before="100" w:beforeAutospacing="1" w:after="100" w:afterAutospacing="1"/>
        <w:outlineLvl w:val="2"/>
        <w:rPr>
          <w:rFonts w:eastAsia="Times New Roman" w:cs="Times New Roman"/>
          <w:b/>
          <w:bCs/>
          <w:vanish/>
          <w:sz w:val="27"/>
          <w:szCs w:val="27"/>
        </w:rPr>
      </w:pPr>
      <w:r w:rsidRPr="00D555B1">
        <w:rPr>
          <w:rFonts w:eastAsia="Times New Roman" w:cs="Times New Roman"/>
          <w:b/>
          <w:bCs/>
          <w:vanish/>
          <w:sz w:val="27"/>
          <w:szCs w:val="27"/>
        </w:rPr>
        <w:t>Media</w:t>
      </w:r>
    </w:p>
    <w:p w:rsidR="00D555B1" w:rsidRPr="00D555B1" w:rsidRDefault="00D555B1" w:rsidP="00D555B1">
      <w:pPr>
        <w:spacing w:before="100" w:beforeAutospacing="1" w:after="100" w:afterAutospacing="1"/>
        <w:rPr>
          <w:rFonts w:eastAsia="Times New Roman" w:cs="Times New Roman"/>
          <w:vanish/>
        </w:rPr>
      </w:pPr>
      <w:r w:rsidRPr="00D555B1">
        <w:rPr>
          <w:rFonts w:eastAsia="Times New Roman" w:cs="Times New Roman"/>
          <w:vanish/>
        </w:rPr>
        <w:t xml:space="preserve">Below are the media and publications posted in the past 7 days. You will receive email notifications when Press Releases, Publications, and Speeches are posted; according to your </w:t>
      </w:r>
      <w:hyperlink r:id="rId18" w:history="1">
        <w:r w:rsidRPr="00D555B1">
          <w:rPr>
            <w:rFonts w:eastAsia="Times New Roman" w:cs="Times New Roman"/>
            <w:vanish/>
            <w:color w:val="0000FF"/>
            <w:u w:val="single"/>
          </w:rPr>
          <w:t>email frequency settings</w:t>
        </w:r>
      </w:hyperlink>
      <w:r w:rsidRPr="00D555B1">
        <w:rPr>
          <w:rFonts w:eastAsia="Times New Roman" w:cs="Times New Roman"/>
          <w:vanish/>
        </w:rPr>
        <w:t>.</w:t>
      </w:r>
    </w:p>
    <w:p w:rsidR="00D555B1" w:rsidRPr="00D555B1" w:rsidRDefault="00D555B1" w:rsidP="00D555B1">
      <w:pPr>
        <w:spacing w:before="100" w:beforeAutospacing="1" w:after="100" w:afterAutospacing="1"/>
        <w:rPr>
          <w:rFonts w:eastAsia="Times New Roman" w:cs="Times New Roman"/>
          <w:vanish/>
        </w:rPr>
      </w:pPr>
      <w:r w:rsidRPr="00D555B1">
        <w:rPr>
          <w:rFonts w:eastAsia="Times New Roman" w:cs="Times New Roman"/>
          <w:vanish/>
        </w:rPr>
        <w:t>You are not tracking any Media. </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by your tracked Senators in the past 7 days. You will receive email notifications when media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Senators.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Committees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meeting records and publications posted by your tracked committees for the next or previous 8 days. You will receive email notifications when committee meeting records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Committees.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Offices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by your tracked Offices in the past 7 days. You will receive email notifications when media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Offices.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Media</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in the past 7 days. You will receive email notifications when Press Releases, Publications, and Speeches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Media. </w:t>
      </w:r>
    </w:p>
    <w:p w:rsidR="00156092" w:rsidRDefault="00156092" w:rsidP="002B78B0">
      <w:pPr>
        <w:pStyle w:val="BlockText"/>
      </w:pPr>
      <w:r>
        <w:t>Respectfully submitted,</w:t>
      </w:r>
    </w:p>
    <w:p w:rsidR="00E8267C" w:rsidRDefault="009F4440" w:rsidP="002B78B0">
      <w:pPr>
        <w:pStyle w:val="BlockText"/>
      </w:pPr>
      <w:r>
        <w:t>Fred R. Dudley, Esq.</w:t>
      </w:r>
    </w:p>
    <w:p w:rsidR="00502614" w:rsidRDefault="00502614" w:rsidP="002B78B0">
      <w:pPr>
        <w:pStyle w:val="BlockText"/>
      </w:pPr>
      <w:r>
        <w:t xml:space="preserve">Seller </w:t>
      </w:r>
      <w:r w:rsidR="00C10E53">
        <w:t xml:space="preserve">E. </w:t>
      </w:r>
      <w:r>
        <w:t>Sellers</w:t>
      </w:r>
      <w:r w:rsidR="001F0D0C">
        <w:t>, Esq.</w:t>
      </w:r>
    </w:p>
    <w:p w:rsidR="00997BD1" w:rsidRDefault="00997BD1" w:rsidP="002B78B0">
      <w:pPr>
        <w:pStyle w:val="BlockText"/>
      </w:pPr>
      <w:r>
        <w:t>Tallahassee, Florida</w:t>
      </w:r>
    </w:p>
    <w:p w:rsidR="00466EB9" w:rsidRDefault="0079148C" w:rsidP="002B78B0">
      <w:pPr>
        <w:pStyle w:val="BlockText"/>
      </w:pPr>
      <w:r>
        <w:t>April 12</w:t>
      </w:r>
      <w:r w:rsidR="0029168D">
        <w:t>, 2</w:t>
      </w:r>
      <w:r w:rsidR="004271D8">
        <w:t>015</w:t>
      </w:r>
    </w:p>
    <w:sectPr w:rsidR="00466EB9" w:rsidSect="009A10B6">
      <w:footerReference w:type="default" r:id="rId19"/>
      <w:footerReference w:type="first" r:id="rId20"/>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7DA" w:rsidRDefault="00EE37DA" w:rsidP="009A2CBA">
      <w:r>
        <w:separator/>
      </w:r>
    </w:p>
  </w:endnote>
  <w:endnote w:type="continuationSeparator" w:id="0">
    <w:p w:rsidR="00EE37DA" w:rsidRDefault="00EE37DA"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97" w:rsidRPr="00B40FA6" w:rsidRDefault="00FF5097" w:rsidP="000421B5">
    <w:pPr>
      <w:pStyle w:val="Footer"/>
      <w:rPr>
        <w:rStyle w:val="DocID"/>
        <w:sz w:val="24"/>
      </w:rPr>
    </w:pPr>
    <w:r>
      <w:tab/>
    </w:r>
    <w:r>
      <w:fldChar w:fldCharType="begin"/>
    </w:r>
    <w:r>
      <w:instrText xml:space="preserve"> PAGE   \* MERGEFORMAT </w:instrText>
    </w:r>
    <w:r>
      <w:fldChar w:fldCharType="separate"/>
    </w:r>
    <w:r w:rsidR="00EA1B99">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97" w:rsidRPr="00911FE4" w:rsidRDefault="00FF5097"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EA1B99">
      <w:rPr>
        <w:noProof/>
        <w:sz w:val="20"/>
      </w:rPr>
      <w:instrText>10</w:instrText>
    </w:r>
    <w:r>
      <w:rPr>
        <w:sz w:val="20"/>
      </w:rPr>
      <w:fldChar w:fldCharType="end"/>
    </w:r>
    <w:r>
      <w:rPr>
        <w:sz w:val="20"/>
      </w:rPr>
      <w:instrText xml:space="preserve"> = 1 </w:instrText>
    </w:r>
    <w:r w:rsidRPr="002438D2">
      <w:rPr>
        <w:rStyle w:val="DocID"/>
      </w:rPr>
      <w:instrText>#12612613_v1</w:instrText>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7DA" w:rsidRDefault="00EE37DA" w:rsidP="009A2CBA">
      <w:r>
        <w:separator/>
      </w:r>
    </w:p>
  </w:footnote>
  <w:footnote w:type="continuationSeparator" w:id="0">
    <w:p w:rsidR="00EE37DA" w:rsidRDefault="00EE37DA" w:rsidP="009A2CBA">
      <w:r>
        <w:continuationSeparator/>
      </w:r>
    </w:p>
  </w:footnote>
  <w:footnote w:id="1">
    <w:p w:rsidR="00FF5097" w:rsidRDefault="00FF5097">
      <w:pPr>
        <w:pStyle w:val="FootnoteText"/>
      </w:pPr>
      <w:r>
        <w:rPr>
          <w:rStyle w:val="FootnoteReference"/>
        </w:rPr>
        <w:footnoteRef/>
      </w:r>
      <w:r>
        <w:t xml:space="preserve"> NOTE: Recommend Orders are subject to the filing of “Exceptions” by the parties, and only the BOARD or AGENCY involved can issue a FINAL ORDER; recommended orders are NOT subject to judicial review under s. 120.60.</w:t>
      </w:r>
    </w:p>
  </w:footnote>
  <w:footnote w:id="2">
    <w:p w:rsidR="00FF5097" w:rsidRDefault="00FF5097">
      <w:pPr>
        <w:pStyle w:val="FootnoteText"/>
      </w:pPr>
      <w:r>
        <w:rPr>
          <w:rStyle w:val="FootnoteReference"/>
        </w:rPr>
        <w:footnoteRef/>
      </w:r>
      <w:r>
        <w:t xml:space="preserve"> Not surprisingly, this rule is ripe for legal challenge if the board fails to define “habitability” and “new” in such a way as to encourage, rather than discourage, license applications.</w:t>
      </w:r>
    </w:p>
  </w:footnote>
  <w:footnote w:id="3">
    <w:p w:rsidR="00FF5097" w:rsidRPr="0038047E" w:rsidRDefault="00FF5097" w:rsidP="00491907">
      <w:pPr>
        <w:pStyle w:val="BlockText"/>
      </w:pPr>
      <w:r>
        <w:rPr>
          <w:rStyle w:val="FootnoteReference"/>
        </w:rPr>
        <w:footnoteRef/>
      </w:r>
      <w:r>
        <w:t xml:space="preserve"> The Florida Building Commission is </w:t>
      </w:r>
      <w:r w:rsidRPr="00F054FC">
        <w:rPr>
          <w:b/>
          <w:u w:val="single"/>
        </w:rPr>
        <w:t>not</w:t>
      </w:r>
      <w:r>
        <w:t xml:space="preserve"> allowed to grant variances or waivers from the Florida Building Code, expect as to handicapped accessibility issues.</w:t>
      </w:r>
    </w:p>
    <w:p w:rsidR="00FF5097" w:rsidRDefault="00FF5097" w:rsidP="004E142A">
      <w:pPr>
        <w:pStyle w:val="BlockText"/>
      </w:pPr>
    </w:p>
    <w:p w:rsidR="00FF5097" w:rsidRDefault="00FF5097" w:rsidP="004E142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BF4149"/>
    <w:multiLevelType w:val="hybridMultilevel"/>
    <w:tmpl w:val="EDDA834A"/>
    <w:lvl w:ilvl="0" w:tplc="4CF4B33A">
      <w:start w:val="1"/>
      <w:numFmt w:val="lowerLetter"/>
      <w:lvlText w:val="%1."/>
      <w:lvlJc w:val="left"/>
      <w:pPr>
        <w:ind w:left="1710" w:hanging="360"/>
      </w:pPr>
      <w:rPr>
        <w:rFonts w:ascii="Times New Roman" w:eastAsiaTheme="minorEastAsia" w:hAnsi="Times New Roman" w:cstheme="minorBidi"/>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06C845F6"/>
    <w:multiLevelType w:val="hybridMultilevel"/>
    <w:tmpl w:val="0520DBCC"/>
    <w:lvl w:ilvl="0" w:tplc="30A0DE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B492D1FC">
      <w:start w:val="1"/>
      <w:numFmt w:val="lowerRoman"/>
      <w:lvlText w:val="%3."/>
      <w:lvlJc w:val="right"/>
      <w:pPr>
        <w:ind w:left="3240" w:hanging="180"/>
      </w:pPr>
      <w:rPr>
        <w:rFonts w:ascii="Times New Roman" w:eastAsiaTheme="minorEastAsia" w:hAnsi="Times New Roman" w:cstheme="minorBidi"/>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A842C8E"/>
    <w:multiLevelType w:val="multilevel"/>
    <w:tmpl w:val="E1B0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D70347"/>
    <w:multiLevelType w:val="hybridMultilevel"/>
    <w:tmpl w:val="83EA3382"/>
    <w:lvl w:ilvl="0" w:tplc="69649F7A">
      <w:start w:val="2"/>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2866245"/>
    <w:multiLevelType w:val="multilevel"/>
    <w:tmpl w:val="6668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947BA5"/>
    <w:multiLevelType w:val="hybridMultilevel"/>
    <w:tmpl w:val="F356D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CE3F3E"/>
    <w:multiLevelType w:val="hybridMultilevel"/>
    <w:tmpl w:val="6000528C"/>
    <w:lvl w:ilvl="0" w:tplc="0B066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71E0D0B"/>
    <w:multiLevelType w:val="hybridMultilevel"/>
    <w:tmpl w:val="9AC62A5C"/>
    <w:lvl w:ilvl="0" w:tplc="07DE16C0">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F0F4A2B"/>
    <w:multiLevelType w:val="multilevel"/>
    <w:tmpl w:val="1B34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B62313"/>
    <w:multiLevelType w:val="multilevel"/>
    <w:tmpl w:val="8A14BB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AC7912"/>
    <w:multiLevelType w:val="multilevel"/>
    <w:tmpl w:val="D474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9036A7"/>
    <w:multiLevelType w:val="multilevel"/>
    <w:tmpl w:val="E52A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B702DC"/>
    <w:multiLevelType w:val="hybridMultilevel"/>
    <w:tmpl w:val="D74AB1A4"/>
    <w:lvl w:ilvl="0" w:tplc="3CA63BF8">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122782"/>
    <w:multiLevelType w:val="multilevel"/>
    <w:tmpl w:val="B052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564140"/>
    <w:multiLevelType w:val="hybridMultilevel"/>
    <w:tmpl w:val="A43ADF78"/>
    <w:lvl w:ilvl="0" w:tplc="A6D83F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50E0A57"/>
    <w:multiLevelType w:val="hybridMultilevel"/>
    <w:tmpl w:val="15469CD4"/>
    <w:lvl w:ilvl="0" w:tplc="7E4CA22E">
      <w:start w:val="1"/>
      <w:numFmt w:val="decimal"/>
      <w:lvlText w:val="%1."/>
      <w:lvlJc w:val="left"/>
      <w:pPr>
        <w:ind w:left="1080" w:hanging="360"/>
      </w:pPr>
      <w:rPr>
        <w:rFonts w:hint="default"/>
      </w:rPr>
    </w:lvl>
    <w:lvl w:ilvl="1" w:tplc="C2C82888">
      <w:start w:val="1"/>
      <w:numFmt w:val="lowerRoman"/>
      <w:lvlText w:val="%2."/>
      <w:lvlJc w:val="left"/>
      <w:pPr>
        <w:ind w:left="1800" w:hanging="360"/>
      </w:pPr>
      <w:rPr>
        <w:rFonts w:ascii="Times New Roman" w:eastAsiaTheme="minorEastAsia" w:hAnsi="Times New Roman" w:cstheme="minorBidi"/>
      </w:r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15665B54">
      <w:start w:val="1"/>
      <w:numFmt w:val="low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787DFB"/>
    <w:multiLevelType w:val="multilevel"/>
    <w:tmpl w:val="B908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F81DD0"/>
    <w:multiLevelType w:val="hybridMultilevel"/>
    <w:tmpl w:val="C1A67A6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EA0B9B0">
      <w:start w:val="9"/>
      <w:numFmt w:val="decimal"/>
      <w:lvlText w:val="%4."/>
      <w:lvlJc w:val="left"/>
      <w:pPr>
        <w:ind w:left="3960" w:hanging="360"/>
      </w:pPr>
      <w:rPr>
        <w:rFonts w:hint="default"/>
        <w:u w:val="single"/>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08162AD"/>
    <w:multiLevelType w:val="hybridMultilevel"/>
    <w:tmpl w:val="63F055DC"/>
    <w:lvl w:ilvl="0" w:tplc="717AC844">
      <w:start w:val="9"/>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5">
    <w:nsid w:val="440002EB"/>
    <w:multiLevelType w:val="multilevel"/>
    <w:tmpl w:val="409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B56C2A"/>
    <w:multiLevelType w:val="hybridMultilevel"/>
    <w:tmpl w:val="9EEEC288"/>
    <w:lvl w:ilvl="0" w:tplc="F2147CD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148088C"/>
    <w:multiLevelType w:val="hybridMultilevel"/>
    <w:tmpl w:val="D8582808"/>
    <w:lvl w:ilvl="0" w:tplc="42AE776C">
      <w:start w:val="2"/>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nsid w:val="57826040"/>
    <w:multiLevelType w:val="hybridMultilevel"/>
    <w:tmpl w:val="FC80830C"/>
    <w:lvl w:ilvl="0" w:tplc="A3C8B76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9A5854"/>
    <w:multiLevelType w:val="multilevel"/>
    <w:tmpl w:val="AE06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CB73C9"/>
    <w:multiLevelType w:val="multilevel"/>
    <w:tmpl w:val="74DE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CE150D"/>
    <w:multiLevelType w:val="hybridMultilevel"/>
    <w:tmpl w:val="869EE4C2"/>
    <w:lvl w:ilvl="0" w:tplc="04090019">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9DF5132"/>
    <w:multiLevelType w:val="multilevel"/>
    <w:tmpl w:val="482E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2AE4765"/>
    <w:multiLevelType w:val="hybridMultilevel"/>
    <w:tmpl w:val="6F64C03A"/>
    <w:lvl w:ilvl="0" w:tplc="04090019">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B15EAF"/>
    <w:multiLevelType w:val="multilevel"/>
    <w:tmpl w:val="7130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675D07"/>
    <w:multiLevelType w:val="multilevel"/>
    <w:tmpl w:val="5F50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DE24A6"/>
    <w:multiLevelType w:val="hybridMultilevel"/>
    <w:tmpl w:val="7F6E23C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9">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4"/>
  </w:num>
  <w:num w:numId="4">
    <w:abstractNumId w:val="39"/>
  </w:num>
  <w:num w:numId="5">
    <w:abstractNumId w:val="29"/>
  </w:num>
  <w:num w:numId="6">
    <w:abstractNumId w:val="40"/>
  </w:num>
  <w:num w:numId="7">
    <w:abstractNumId w:val="10"/>
  </w:num>
  <w:num w:numId="8">
    <w:abstractNumId w:val="15"/>
  </w:num>
  <w:num w:numId="9">
    <w:abstractNumId w:val="3"/>
  </w:num>
  <w:num w:numId="10">
    <w:abstractNumId w:val="1"/>
  </w:num>
  <w:num w:numId="11">
    <w:abstractNumId w:val="21"/>
  </w:num>
  <w:num w:numId="12">
    <w:abstractNumId w:val="4"/>
  </w:num>
  <w:num w:numId="13">
    <w:abstractNumId w:val="24"/>
  </w:num>
  <w:num w:numId="14">
    <w:abstractNumId w:val="11"/>
  </w:num>
  <w:num w:numId="15">
    <w:abstractNumId w:val="18"/>
  </w:num>
  <w:num w:numId="16">
    <w:abstractNumId w:val="20"/>
  </w:num>
  <w:num w:numId="17">
    <w:abstractNumId w:val="38"/>
  </w:num>
  <w:num w:numId="18">
    <w:abstractNumId w:val="12"/>
  </w:num>
  <w:num w:numId="19">
    <w:abstractNumId w:val="26"/>
  </w:num>
  <w:num w:numId="20">
    <w:abstractNumId w:val="23"/>
  </w:num>
  <w:num w:numId="21">
    <w:abstractNumId w:val="5"/>
  </w:num>
  <w:num w:numId="22">
    <w:abstractNumId w:val="9"/>
  </w:num>
  <w:num w:numId="23">
    <w:abstractNumId w:val="28"/>
  </w:num>
  <w:num w:numId="24">
    <w:abstractNumId w:val="35"/>
  </w:num>
  <w:num w:numId="25">
    <w:abstractNumId w:val="7"/>
  </w:num>
  <w:num w:numId="26">
    <w:abstractNumId w:val="32"/>
  </w:num>
  <w:num w:numId="27">
    <w:abstractNumId w:val="27"/>
  </w:num>
  <w:num w:numId="28">
    <w:abstractNumId w:val="14"/>
  </w:num>
  <w:num w:numId="29">
    <w:abstractNumId w:val="33"/>
  </w:num>
  <w:num w:numId="30">
    <w:abstractNumId w:val="16"/>
  </w:num>
  <w:num w:numId="31">
    <w:abstractNumId w:val="37"/>
  </w:num>
  <w:num w:numId="32">
    <w:abstractNumId w:val="25"/>
  </w:num>
  <w:num w:numId="33">
    <w:abstractNumId w:val="13"/>
  </w:num>
  <w:num w:numId="34">
    <w:abstractNumId w:val="31"/>
  </w:num>
  <w:num w:numId="35">
    <w:abstractNumId w:val="36"/>
  </w:num>
  <w:num w:numId="36">
    <w:abstractNumId w:val="30"/>
  </w:num>
  <w:num w:numId="37">
    <w:abstractNumId w:val="8"/>
  </w:num>
  <w:num w:numId="38">
    <w:abstractNumId w:val="22"/>
  </w:num>
  <w:num w:numId="39">
    <w:abstractNumId w:val="6"/>
  </w:num>
  <w:num w:numId="40">
    <w:abstractNumId w:val="19"/>
  </w:num>
  <w:num w:numId="4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03119"/>
    <w:rsid w:val="000031A8"/>
    <w:rsid w:val="00011776"/>
    <w:rsid w:val="0001260C"/>
    <w:rsid w:val="00013164"/>
    <w:rsid w:val="00016A29"/>
    <w:rsid w:val="0002257F"/>
    <w:rsid w:val="00026394"/>
    <w:rsid w:val="00026C6B"/>
    <w:rsid w:val="00027FC3"/>
    <w:rsid w:val="000302BC"/>
    <w:rsid w:val="000324B5"/>
    <w:rsid w:val="000340FB"/>
    <w:rsid w:val="000341ED"/>
    <w:rsid w:val="00034306"/>
    <w:rsid w:val="000421B5"/>
    <w:rsid w:val="0005012E"/>
    <w:rsid w:val="000509E7"/>
    <w:rsid w:val="00052694"/>
    <w:rsid w:val="00054D0D"/>
    <w:rsid w:val="0005515D"/>
    <w:rsid w:val="00055700"/>
    <w:rsid w:val="00061C8E"/>
    <w:rsid w:val="00065B23"/>
    <w:rsid w:val="00066D23"/>
    <w:rsid w:val="00071707"/>
    <w:rsid w:val="00074EDF"/>
    <w:rsid w:val="0008109E"/>
    <w:rsid w:val="00084298"/>
    <w:rsid w:val="00086D79"/>
    <w:rsid w:val="00094361"/>
    <w:rsid w:val="00094EBD"/>
    <w:rsid w:val="000A3246"/>
    <w:rsid w:val="000A4BA4"/>
    <w:rsid w:val="000A66AC"/>
    <w:rsid w:val="000B0D3F"/>
    <w:rsid w:val="000B0E17"/>
    <w:rsid w:val="000B1DDB"/>
    <w:rsid w:val="000B1E71"/>
    <w:rsid w:val="000B2203"/>
    <w:rsid w:val="000B76DD"/>
    <w:rsid w:val="000B78F0"/>
    <w:rsid w:val="000C4772"/>
    <w:rsid w:val="000C4BC7"/>
    <w:rsid w:val="000C5ABA"/>
    <w:rsid w:val="000C5FBA"/>
    <w:rsid w:val="000C722C"/>
    <w:rsid w:val="000D08E7"/>
    <w:rsid w:val="000D2555"/>
    <w:rsid w:val="000D3AAE"/>
    <w:rsid w:val="000D4C0F"/>
    <w:rsid w:val="000D7A4E"/>
    <w:rsid w:val="000E17E8"/>
    <w:rsid w:val="000E282A"/>
    <w:rsid w:val="000E6D1A"/>
    <w:rsid w:val="000F112D"/>
    <w:rsid w:val="000F2EBD"/>
    <w:rsid w:val="000F6911"/>
    <w:rsid w:val="000F69D8"/>
    <w:rsid w:val="00100E22"/>
    <w:rsid w:val="00103A3B"/>
    <w:rsid w:val="00103CDF"/>
    <w:rsid w:val="0010433D"/>
    <w:rsid w:val="00107362"/>
    <w:rsid w:val="00110D3B"/>
    <w:rsid w:val="001114F7"/>
    <w:rsid w:val="001148B5"/>
    <w:rsid w:val="001150F0"/>
    <w:rsid w:val="001156AF"/>
    <w:rsid w:val="00117224"/>
    <w:rsid w:val="00117544"/>
    <w:rsid w:val="00121A5A"/>
    <w:rsid w:val="00126ABD"/>
    <w:rsid w:val="0013367A"/>
    <w:rsid w:val="00135B1C"/>
    <w:rsid w:val="001437FC"/>
    <w:rsid w:val="00143919"/>
    <w:rsid w:val="001462FC"/>
    <w:rsid w:val="00146574"/>
    <w:rsid w:val="00146E4E"/>
    <w:rsid w:val="001476D7"/>
    <w:rsid w:val="00151063"/>
    <w:rsid w:val="00151720"/>
    <w:rsid w:val="00151F43"/>
    <w:rsid w:val="00156092"/>
    <w:rsid w:val="001572A8"/>
    <w:rsid w:val="00162E5A"/>
    <w:rsid w:val="001649EE"/>
    <w:rsid w:val="00165F0B"/>
    <w:rsid w:val="001673C5"/>
    <w:rsid w:val="0017187B"/>
    <w:rsid w:val="00172C04"/>
    <w:rsid w:val="00173BB8"/>
    <w:rsid w:val="0017420F"/>
    <w:rsid w:val="00175923"/>
    <w:rsid w:val="001768AB"/>
    <w:rsid w:val="001776E6"/>
    <w:rsid w:val="00177AA7"/>
    <w:rsid w:val="00182EC5"/>
    <w:rsid w:val="00183D27"/>
    <w:rsid w:val="0019065B"/>
    <w:rsid w:val="001963BC"/>
    <w:rsid w:val="001A3667"/>
    <w:rsid w:val="001B0E80"/>
    <w:rsid w:val="001B11FD"/>
    <w:rsid w:val="001B4226"/>
    <w:rsid w:val="001B5A99"/>
    <w:rsid w:val="001B5DD4"/>
    <w:rsid w:val="001B6195"/>
    <w:rsid w:val="001B73F6"/>
    <w:rsid w:val="001D0121"/>
    <w:rsid w:val="001D1B70"/>
    <w:rsid w:val="001D2330"/>
    <w:rsid w:val="001D25D1"/>
    <w:rsid w:val="001D35CA"/>
    <w:rsid w:val="001D50A8"/>
    <w:rsid w:val="001E327E"/>
    <w:rsid w:val="001E3281"/>
    <w:rsid w:val="001F01B4"/>
    <w:rsid w:val="001F0D0C"/>
    <w:rsid w:val="001F18CD"/>
    <w:rsid w:val="001F7DB9"/>
    <w:rsid w:val="00200951"/>
    <w:rsid w:val="00200AF1"/>
    <w:rsid w:val="002031ED"/>
    <w:rsid w:val="00210263"/>
    <w:rsid w:val="002145F0"/>
    <w:rsid w:val="00217DA2"/>
    <w:rsid w:val="00217EBB"/>
    <w:rsid w:val="00221926"/>
    <w:rsid w:val="00221AAE"/>
    <w:rsid w:val="00222C12"/>
    <w:rsid w:val="002236E8"/>
    <w:rsid w:val="0022445A"/>
    <w:rsid w:val="00227443"/>
    <w:rsid w:val="002321A5"/>
    <w:rsid w:val="002348A5"/>
    <w:rsid w:val="002363CA"/>
    <w:rsid w:val="00236A0B"/>
    <w:rsid w:val="00236AB0"/>
    <w:rsid w:val="00237AEC"/>
    <w:rsid w:val="002438D2"/>
    <w:rsid w:val="00243FF8"/>
    <w:rsid w:val="00246D22"/>
    <w:rsid w:val="00251EB1"/>
    <w:rsid w:val="00252DC4"/>
    <w:rsid w:val="002542DC"/>
    <w:rsid w:val="002558FB"/>
    <w:rsid w:val="00261795"/>
    <w:rsid w:val="00262A25"/>
    <w:rsid w:val="002630F7"/>
    <w:rsid w:val="002630FF"/>
    <w:rsid w:val="00271329"/>
    <w:rsid w:val="00273404"/>
    <w:rsid w:val="00274276"/>
    <w:rsid w:val="0027648B"/>
    <w:rsid w:val="002857BE"/>
    <w:rsid w:val="00286558"/>
    <w:rsid w:val="00286B40"/>
    <w:rsid w:val="00286B5F"/>
    <w:rsid w:val="00290B6F"/>
    <w:rsid w:val="0029168D"/>
    <w:rsid w:val="00292E15"/>
    <w:rsid w:val="00293452"/>
    <w:rsid w:val="002935A9"/>
    <w:rsid w:val="00294F80"/>
    <w:rsid w:val="00297D0C"/>
    <w:rsid w:val="002A4DD8"/>
    <w:rsid w:val="002A5595"/>
    <w:rsid w:val="002A7577"/>
    <w:rsid w:val="002A777F"/>
    <w:rsid w:val="002B09F1"/>
    <w:rsid w:val="002B0DFC"/>
    <w:rsid w:val="002B35C5"/>
    <w:rsid w:val="002B3E98"/>
    <w:rsid w:val="002B78B0"/>
    <w:rsid w:val="002C3294"/>
    <w:rsid w:val="002C378F"/>
    <w:rsid w:val="002C5E1D"/>
    <w:rsid w:val="002D1599"/>
    <w:rsid w:val="002D366C"/>
    <w:rsid w:val="002D4362"/>
    <w:rsid w:val="002E2A6D"/>
    <w:rsid w:val="002E2F5E"/>
    <w:rsid w:val="002F015B"/>
    <w:rsid w:val="002F16B3"/>
    <w:rsid w:val="002F2016"/>
    <w:rsid w:val="002F61E3"/>
    <w:rsid w:val="00305D83"/>
    <w:rsid w:val="00305FDE"/>
    <w:rsid w:val="00311BC1"/>
    <w:rsid w:val="00312FA2"/>
    <w:rsid w:val="003134D3"/>
    <w:rsid w:val="0031487D"/>
    <w:rsid w:val="003154E8"/>
    <w:rsid w:val="00317330"/>
    <w:rsid w:val="0032124B"/>
    <w:rsid w:val="00321E89"/>
    <w:rsid w:val="003239B0"/>
    <w:rsid w:val="0032443B"/>
    <w:rsid w:val="0032598E"/>
    <w:rsid w:val="00325FC1"/>
    <w:rsid w:val="003319A7"/>
    <w:rsid w:val="00332825"/>
    <w:rsid w:val="003376F7"/>
    <w:rsid w:val="00340637"/>
    <w:rsid w:val="00340740"/>
    <w:rsid w:val="00340B4E"/>
    <w:rsid w:val="00342B6A"/>
    <w:rsid w:val="00342DB6"/>
    <w:rsid w:val="00345235"/>
    <w:rsid w:val="0034626F"/>
    <w:rsid w:val="003473F4"/>
    <w:rsid w:val="003508EE"/>
    <w:rsid w:val="00355BF6"/>
    <w:rsid w:val="003563EF"/>
    <w:rsid w:val="00356433"/>
    <w:rsid w:val="00361628"/>
    <w:rsid w:val="0036439B"/>
    <w:rsid w:val="00364771"/>
    <w:rsid w:val="003747B5"/>
    <w:rsid w:val="00376DA1"/>
    <w:rsid w:val="003776B3"/>
    <w:rsid w:val="0038047E"/>
    <w:rsid w:val="00383EFB"/>
    <w:rsid w:val="00384141"/>
    <w:rsid w:val="00385904"/>
    <w:rsid w:val="003A0148"/>
    <w:rsid w:val="003A1E91"/>
    <w:rsid w:val="003A33A5"/>
    <w:rsid w:val="003A4FB0"/>
    <w:rsid w:val="003A7CB2"/>
    <w:rsid w:val="003B388E"/>
    <w:rsid w:val="003B52AB"/>
    <w:rsid w:val="003B59EA"/>
    <w:rsid w:val="003B5B30"/>
    <w:rsid w:val="003C09F0"/>
    <w:rsid w:val="003C265E"/>
    <w:rsid w:val="003C2DE3"/>
    <w:rsid w:val="003C3E7C"/>
    <w:rsid w:val="003C40E8"/>
    <w:rsid w:val="003C4C6F"/>
    <w:rsid w:val="003C50CC"/>
    <w:rsid w:val="003D1D42"/>
    <w:rsid w:val="003D34DF"/>
    <w:rsid w:val="003D6EAC"/>
    <w:rsid w:val="003D7308"/>
    <w:rsid w:val="003E09D4"/>
    <w:rsid w:val="003E13A7"/>
    <w:rsid w:val="003E3843"/>
    <w:rsid w:val="003E6AD8"/>
    <w:rsid w:val="003E6F51"/>
    <w:rsid w:val="003F395F"/>
    <w:rsid w:val="003F4811"/>
    <w:rsid w:val="003F5F1A"/>
    <w:rsid w:val="003F6A5C"/>
    <w:rsid w:val="00401A5C"/>
    <w:rsid w:val="004077C2"/>
    <w:rsid w:val="0041051F"/>
    <w:rsid w:val="00413E91"/>
    <w:rsid w:val="00414D9E"/>
    <w:rsid w:val="0041534C"/>
    <w:rsid w:val="00416C25"/>
    <w:rsid w:val="00416CC9"/>
    <w:rsid w:val="004200FB"/>
    <w:rsid w:val="004204AE"/>
    <w:rsid w:val="00421A4C"/>
    <w:rsid w:val="00425FE8"/>
    <w:rsid w:val="004271D8"/>
    <w:rsid w:val="00427E2F"/>
    <w:rsid w:val="00431C88"/>
    <w:rsid w:val="00434B55"/>
    <w:rsid w:val="00436BA2"/>
    <w:rsid w:val="00437958"/>
    <w:rsid w:val="004406AC"/>
    <w:rsid w:val="00441CD1"/>
    <w:rsid w:val="004517A3"/>
    <w:rsid w:val="00452CC3"/>
    <w:rsid w:val="00454846"/>
    <w:rsid w:val="0045543B"/>
    <w:rsid w:val="0046192D"/>
    <w:rsid w:val="0046330C"/>
    <w:rsid w:val="004634BE"/>
    <w:rsid w:val="00465432"/>
    <w:rsid w:val="00466EB9"/>
    <w:rsid w:val="00467045"/>
    <w:rsid w:val="0047003F"/>
    <w:rsid w:val="0047163D"/>
    <w:rsid w:val="00474D96"/>
    <w:rsid w:val="0047516C"/>
    <w:rsid w:val="00480712"/>
    <w:rsid w:val="00484142"/>
    <w:rsid w:val="00484B9C"/>
    <w:rsid w:val="00491907"/>
    <w:rsid w:val="00491948"/>
    <w:rsid w:val="00491E26"/>
    <w:rsid w:val="00492027"/>
    <w:rsid w:val="004A0671"/>
    <w:rsid w:val="004A451E"/>
    <w:rsid w:val="004A46B4"/>
    <w:rsid w:val="004A5613"/>
    <w:rsid w:val="004A582F"/>
    <w:rsid w:val="004A5DD2"/>
    <w:rsid w:val="004A6E9B"/>
    <w:rsid w:val="004B10A3"/>
    <w:rsid w:val="004B196B"/>
    <w:rsid w:val="004C458B"/>
    <w:rsid w:val="004C5780"/>
    <w:rsid w:val="004C63D8"/>
    <w:rsid w:val="004C7846"/>
    <w:rsid w:val="004E1249"/>
    <w:rsid w:val="004E142A"/>
    <w:rsid w:val="004E2A5D"/>
    <w:rsid w:val="004E35D0"/>
    <w:rsid w:val="004E60B2"/>
    <w:rsid w:val="004E61C2"/>
    <w:rsid w:val="004E7067"/>
    <w:rsid w:val="004F030C"/>
    <w:rsid w:val="004F3D87"/>
    <w:rsid w:val="00500503"/>
    <w:rsid w:val="00502614"/>
    <w:rsid w:val="00504537"/>
    <w:rsid w:val="005063F3"/>
    <w:rsid w:val="0051221A"/>
    <w:rsid w:val="00512724"/>
    <w:rsid w:val="00512A9F"/>
    <w:rsid w:val="00517E4F"/>
    <w:rsid w:val="00520F5E"/>
    <w:rsid w:val="005237C4"/>
    <w:rsid w:val="0052387A"/>
    <w:rsid w:val="0052642A"/>
    <w:rsid w:val="00530892"/>
    <w:rsid w:val="00530CD6"/>
    <w:rsid w:val="00535353"/>
    <w:rsid w:val="00535A2B"/>
    <w:rsid w:val="0053686B"/>
    <w:rsid w:val="00537681"/>
    <w:rsid w:val="00540398"/>
    <w:rsid w:val="005463F4"/>
    <w:rsid w:val="00553CBE"/>
    <w:rsid w:val="00555FBF"/>
    <w:rsid w:val="005665C2"/>
    <w:rsid w:val="00571120"/>
    <w:rsid w:val="00576B27"/>
    <w:rsid w:val="00584934"/>
    <w:rsid w:val="00592867"/>
    <w:rsid w:val="00592B85"/>
    <w:rsid w:val="0059572F"/>
    <w:rsid w:val="005A1AAC"/>
    <w:rsid w:val="005A61CC"/>
    <w:rsid w:val="005A74C3"/>
    <w:rsid w:val="005B212C"/>
    <w:rsid w:val="005B2CCD"/>
    <w:rsid w:val="005B558F"/>
    <w:rsid w:val="005B581D"/>
    <w:rsid w:val="005C08FA"/>
    <w:rsid w:val="005C40F9"/>
    <w:rsid w:val="005C5CFC"/>
    <w:rsid w:val="005C76EE"/>
    <w:rsid w:val="005D217B"/>
    <w:rsid w:val="005D446B"/>
    <w:rsid w:val="005D5F3E"/>
    <w:rsid w:val="005D71D8"/>
    <w:rsid w:val="005E196A"/>
    <w:rsid w:val="005E4539"/>
    <w:rsid w:val="005E73B8"/>
    <w:rsid w:val="005F17D4"/>
    <w:rsid w:val="005F1FB3"/>
    <w:rsid w:val="005F2E38"/>
    <w:rsid w:val="005F4A79"/>
    <w:rsid w:val="005F51C9"/>
    <w:rsid w:val="005F705E"/>
    <w:rsid w:val="005F770C"/>
    <w:rsid w:val="00600D46"/>
    <w:rsid w:val="00604806"/>
    <w:rsid w:val="0060730E"/>
    <w:rsid w:val="00614279"/>
    <w:rsid w:val="00620CC5"/>
    <w:rsid w:val="006221E1"/>
    <w:rsid w:val="0063019F"/>
    <w:rsid w:val="0063059E"/>
    <w:rsid w:val="0063517A"/>
    <w:rsid w:val="00640C66"/>
    <w:rsid w:val="0064116F"/>
    <w:rsid w:val="0064458E"/>
    <w:rsid w:val="00644BDC"/>
    <w:rsid w:val="006450DA"/>
    <w:rsid w:val="0064574F"/>
    <w:rsid w:val="006465C5"/>
    <w:rsid w:val="006531D6"/>
    <w:rsid w:val="00654846"/>
    <w:rsid w:val="006577D7"/>
    <w:rsid w:val="00657E5B"/>
    <w:rsid w:val="00660F73"/>
    <w:rsid w:val="0066317C"/>
    <w:rsid w:val="006639C7"/>
    <w:rsid w:val="00663A8E"/>
    <w:rsid w:val="00663C9D"/>
    <w:rsid w:val="0066697C"/>
    <w:rsid w:val="00667D54"/>
    <w:rsid w:val="00675E10"/>
    <w:rsid w:val="00681534"/>
    <w:rsid w:val="00685808"/>
    <w:rsid w:val="00691E1A"/>
    <w:rsid w:val="00695A6D"/>
    <w:rsid w:val="00697F28"/>
    <w:rsid w:val="006A3547"/>
    <w:rsid w:val="006A3A6B"/>
    <w:rsid w:val="006A3B11"/>
    <w:rsid w:val="006A4458"/>
    <w:rsid w:val="006A50BC"/>
    <w:rsid w:val="006B0145"/>
    <w:rsid w:val="006B1D63"/>
    <w:rsid w:val="006B60DD"/>
    <w:rsid w:val="006C5A7D"/>
    <w:rsid w:val="006C704A"/>
    <w:rsid w:val="006D3AD0"/>
    <w:rsid w:val="006D7744"/>
    <w:rsid w:val="006E0D5B"/>
    <w:rsid w:val="006E3B26"/>
    <w:rsid w:val="006E5368"/>
    <w:rsid w:val="006E5C27"/>
    <w:rsid w:val="006E6103"/>
    <w:rsid w:val="006F336C"/>
    <w:rsid w:val="006F4CE9"/>
    <w:rsid w:val="00700924"/>
    <w:rsid w:val="007011CC"/>
    <w:rsid w:val="007017B0"/>
    <w:rsid w:val="0070218E"/>
    <w:rsid w:val="007065A1"/>
    <w:rsid w:val="007135EE"/>
    <w:rsid w:val="007150E1"/>
    <w:rsid w:val="00720A29"/>
    <w:rsid w:val="00722B80"/>
    <w:rsid w:val="00722DD1"/>
    <w:rsid w:val="0074409F"/>
    <w:rsid w:val="0074468A"/>
    <w:rsid w:val="00746128"/>
    <w:rsid w:val="00756A0C"/>
    <w:rsid w:val="00757661"/>
    <w:rsid w:val="00760E2D"/>
    <w:rsid w:val="00774A2B"/>
    <w:rsid w:val="007755F6"/>
    <w:rsid w:val="007803DA"/>
    <w:rsid w:val="00780CCE"/>
    <w:rsid w:val="00781A63"/>
    <w:rsid w:val="00783765"/>
    <w:rsid w:val="007862BD"/>
    <w:rsid w:val="007870BA"/>
    <w:rsid w:val="007902F3"/>
    <w:rsid w:val="00790ED1"/>
    <w:rsid w:val="0079148C"/>
    <w:rsid w:val="00793514"/>
    <w:rsid w:val="00795394"/>
    <w:rsid w:val="00795F45"/>
    <w:rsid w:val="00797252"/>
    <w:rsid w:val="007977D0"/>
    <w:rsid w:val="007A0040"/>
    <w:rsid w:val="007A040E"/>
    <w:rsid w:val="007A2C34"/>
    <w:rsid w:val="007A5E81"/>
    <w:rsid w:val="007A7335"/>
    <w:rsid w:val="007B1B79"/>
    <w:rsid w:val="007B2FC8"/>
    <w:rsid w:val="007B455D"/>
    <w:rsid w:val="007C06B0"/>
    <w:rsid w:val="007C3596"/>
    <w:rsid w:val="007C479E"/>
    <w:rsid w:val="007C534A"/>
    <w:rsid w:val="007C689D"/>
    <w:rsid w:val="007D12C5"/>
    <w:rsid w:val="007D14A8"/>
    <w:rsid w:val="007E128E"/>
    <w:rsid w:val="007E2299"/>
    <w:rsid w:val="007E2953"/>
    <w:rsid w:val="007E4176"/>
    <w:rsid w:val="007F16BD"/>
    <w:rsid w:val="007F2F12"/>
    <w:rsid w:val="007F63B9"/>
    <w:rsid w:val="007F6E51"/>
    <w:rsid w:val="00801B02"/>
    <w:rsid w:val="008035A4"/>
    <w:rsid w:val="00804A8E"/>
    <w:rsid w:val="00806AA8"/>
    <w:rsid w:val="00812FF0"/>
    <w:rsid w:val="00815043"/>
    <w:rsid w:val="008157CF"/>
    <w:rsid w:val="00820D75"/>
    <w:rsid w:val="00821688"/>
    <w:rsid w:val="008219AB"/>
    <w:rsid w:val="0082467E"/>
    <w:rsid w:val="008271F6"/>
    <w:rsid w:val="00832281"/>
    <w:rsid w:val="00832A42"/>
    <w:rsid w:val="0083319A"/>
    <w:rsid w:val="00833649"/>
    <w:rsid w:val="0084009D"/>
    <w:rsid w:val="008476AE"/>
    <w:rsid w:val="008513F5"/>
    <w:rsid w:val="0086294F"/>
    <w:rsid w:val="008642DB"/>
    <w:rsid w:val="00864F61"/>
    <w:rsid w:val="008667F9"/>
    <w:rsid w:val="0087018F"/>
    <w:rsid w:val="008714D7"/>
    <w:rsid w:val="008750C1"/>
    <w:rsid w:val="00875906"/>
    <w:rsid w:val="00876A95"/>
    <w:rsid w:val="00883771"/>
    <w:rsid w:val="0088673E"/>
    <w:rsid w:val="00886D9E"/>
    <w:rsid w:val="0089089A"/>
    <w:rsid w:val="00894D34"/>
    <w:rsid w:val="008A4467"/>
    <w:rsid w:val="008A7FFE"/>
    <w:rsid w:val="008B06DE"/>
    <w:rsid w:val="008B10F9"/>
    <w:rsid w:val="008B64BE"/>
    <w:rsid w:val="008B6B8E"/>
    <w:rsid w:val="008B6F95"/>
    <w:rsid w:val="008C0D2B"/>
    <w:rsid w:val="008C23E6"/>
    <w:rsid w:val="008C44B6"/>
    <w:rsid w:val="008C4CD7"/>
    <w:rsid w:val="008C57F6"/>
    <w:rsid w:val="008C6567"/>
    <w:rsid w:val="008D5528"/>
    <w:rsid w:val="008D7EAD"/>
    <w:rsid w:val="008E212F"/>
    <w:rsid w:val="008E5BE5"/>
    <w:rsid w:val="008F051F"/>
    <w:rsid w:val="008F17A7"/>
    <w:rsid w:val="008F58B8"/>
    <w:rsid w:val="008F6B36"/>
    <w:rsid w:val="009008DD"/>
    <w:rsid w:val="009024B4"/>
    <w:rsid w:val="0090334E"/>
    <w:rsid w:val="009037AF"/>
    <w:rsid w:val="0090427C"/>
    <w:rsid w:val="00910237"/>
    <w:rsid w:val="0091203A"/>
    <w:rsid w:val="00912B18"/>
    <w:rsid w:val="00913DE9"/>
    <w:rsid w:val="00915698"/>
    <w:rsid w:val="00920535"/>
    <w:rsid w:val="00922A6D"/>
    <w:rsid w:val="009230A5"/>
    <w:rsid w:val="009242EA"/>
    <w:rsid w:val="00925171"/>
    <w:rsid w:val="0092555A"/>
    <w:rsid w:val="009255C2"/>
    <w:rsid w:val="00925E5C"/>
    <w:rsid w:val="00927A0D"/>
    <w:rsid w:val="00927EF0"/>
    <w:rsid w:val="0093251D"/>
    <w:rsid w:val="00933C83"/>
    <w:rsid w:val="009351FC"/>
    <w:rsid w:val="00936542"/>
    <w:rsid w:val="009376EA"/>
    <w:rsid w:val="00937943"/>
    <w:rsid w:val="00940447"/>
    <w:rsid w:val="009408A6"/>
    <w:rsid w:val="00941C32"/>
    <w:rsid w:val="00944330"/>
    <w:rsid w:val="0094446C"/>
    <w:rsid w:val="0094577A"/>
    <w:rsid w:val="009459C3"/>
    <w:rsid w:val="0095190E"/>
    <w:rsid w:val="00952158"/>
    <w:rsid w:val="00952ED0"/>
    <w:rsid w:val="009615F7"/>
    <w:rsid w:val="0096439D"/>
    <w:rsid w:val="00965188"/>
    <w:rsid w:val="009679F7"/>
    <w:rsid w:val="00972224"/>
    <w:rsid w:val="0098369B"/>
    <w:rsid w:val="009855ED"/>
    <w:rsid w:val="00990086"/>
    <w:rsid w:val="009939EF"/>
    <w:rsid w:val="00994DC4"/>
    <w:rsid w:val="00995739"/>
    <w:rsid w:val="00996855"/>
    <w:rsid w:val="00997BB1"/>
    <w:rsid w:val="00997BD1"/>
    <w:rsid w:val="009A1012"/>
    <w:rsid w:val="009A10B6"/>
    <w:rsid w:val="009A2CBA"/>
    <w:rsid w:val="009B2454"/>
    <w:rsid w:val="009B472E"/>
    <w:rsid w:val="009B53D8"/>
    <w:rsid w:val="009B6571"/>
    <w:rsid w:val="009B7504"/>
    <w:rsid w:val="009C4A92"/>
    <w:rsid w:val="009C6254"/>
    <w:rsid w:val="009C6CE8"/>
    <w:rsid w:val="009C6F42"/>
    <w:rsid w:val="009D3EF7"/>
    <w:rsid w:val="009D4AA9"/>
    <w:rsid w:val="009D71A1"/>
    <w:rsid w:val="009E1F25"/>
    <w:rsid w:val="009E2A70"/>
    <w:rsid w:val="009E489B"/>
    <w:rsid w:val="009F3168"/>
    <w:rsid w:val="009F3454"/>
    <w:rsid w:val="009F4440"/>
    <w:rsid w:val="009F7BC1"/>
    <w:rsid w:val="00A0246B"/>
    <w:rsid w:val="00A03908"/>
    <w:rsid w:val="00A04CE4"/>
    <w:rsid w:val="00A05724"/>
    <w:rsid w:val="00A11C23"/>
    <w:rsid w:val="00A17D94"/>
    <w:rsid w:val="00A2092B"/>
    <w:rsid w:val="00A23BA0"/>
    <w:rsid w:val="00A24F93"/>
    <w:rsid w:val="00A25028"/>
    <w:rsid w:val="00A314FA"/>
    <w:rsid w:val="00A3799B"/>
    <w:rsid w:val="00A413D5"/>
    <w:rsid w:val="00A47BAD"/>
    <w:rsid w:val="00A47D5F"/>
    <w:rsid w:val="00A52844"/>
    <w:rsid w:val="00A52BEC"/>
    <w:rsid w:val="00A57777"/>
    <w:rsid w:val="00A57E0F"/>
    <w:rsid w:val="00A65C42"/>
    <w:rsid w:val="00A82F6F"/>
    <w:rsid w:val="00A862A4"/>
    <w:rsid w:val="00A903BC"/>
    <w:rsid w:val="00A9229C"/>
    <w:rsid w:val="00A92BA2"/>
    <w:rsid w:val="00A9360E"/>
    <w:rsid w:val="00A973D9"/>
    <w:rsid w:val="00AA0190"/>
    <w:rsid w:val="00AA1C3B"/>
    <w:rsid w:val="00AA1DC4"/>
    <w:rsid w:val="00AA20DC"/>
    <w:rsid w:val="00AA2435"/>
    <w:rsid w:val="00AA29A7"/>
    <w:rsid w:val="00AA49B9"/>
    <w:rsid w:val="00AB392A"/>
    <w:rsid w:val="00AB6124"/>
    <w:rsid w:val="00AB759F"/>
    <w:rsid w:val="00AB7A77"/>
    <w:rsid w:val="00AC25D8"/>
    <w:rsid w:val="00AC4FD0"/>
    <w:rsid w:val="00AC560D"/>
    <w:rsid w:val="00AC5BA7"/>
    <w:rsid w:val="00AD19E4"/>
    <w:rsid w:val="00AD319B"/>
    <w:rsid w:val="00AD3673"/>
    <w:rsid w:val="00AD4A48"/>
    <w:rsid w:val="00AE082C"/>
    <w:rsid w:val="00AE0C03"/>
    <w:rsid w:val="00AE36D0"/>
    <w:rsid w:val="00AE40E2"/>
    <w:rsid w:val="00AE4140"/>
    <w:rsid w:val="00AE4928"/>
    <w:rsid w:val="00AE4CE1"/>
    <w:rsid w:val="00AE4D48"/>
    <w:rsid w:val="00AF0CA4"/>
    <w:rsid w:val="00AF448F"/>
    <w:rsid w:val="00AF4CC5"/>
    <w:rsid w:val="00B02CB3"/>
    <w:rsid w:val="00B04E9C"/>
    <w:rsid w:val="00B0622F"/>
    <w:rsid w:val="00B06511"/>
    <w:rsid w:val="00B06DF9"/>
    <w:rsid w:val="00B102F7"/>
    <w:rsid w:val="00B11BE8"/>
    <w:rsid w:val="00B1354A"/>
    <w:rsid w:val="00B14506"/>
    <w:rsid w:val="00B22750"/>
    <w:rsid w:val="00B228D4"/>
    <w:rsid w:val="00B231A5"/>
    <w:rsid w:val="00B26EF6"/>
    <w:rsid w:val="00B33726"/>
    <w:rsid w:val="00B34CB8"/>
    <w:rsid w:val="00B36726"/>
    <w:rsid w:val="00B36BD2"/>
    <w:rsid w:val="00B40CCF"/>
    <w:rsid w:val="00B40FA6"/>
    <w:rsid w:val="00B43413"/>
    <w:rsid w:val="00B442F3"/>
    <w:rsid w:val="00B51F07"/>
    <w:rsid w:val="00B52A30"/>
    <w:rsid w:val="00B55AA9"/>
    <w:rsid w:val="00B576FB"/>
    <w:rsid w:val="00B605B3"/>
    <w:rsid w:val="00B607ED"/>
    <w:rsid w:val="00B6409D"/>
    <w:rsid w:val="00B65A78"/>
    <w:rsid w:val="00B665B0"/>
    <w:rsid w:val="00B70EED"/>
    <w:rsid w:val="00B7209C"/>
    <w:rsid w:val="00B73DBD"/>
    <w:rsid w:val="00B754FE"/>
    <w:rsid w:val="00B75D21"/>
    <w:rsid w:val="00B82AFD"/>
    <w:rsid w:val="00B82F44"/>
    <w:rsid w:val="00B854DA"/>
    <w:rsid w:val="00B901A9"/>
    <w:rsid w:val="00B92C29"/>
    <w:rsid w:val="00B94BF6"/>
    <w:rsid w:val="00B94EB0"/>
    <w:rsid w:val="00B96D89"/>
    <w:rsid w:val="00B972A0"/>
    <w:rsid w:val="00BA2CBC"/>
    <w:rsid w:val="00BA363C"/>
    <w:rsid w:val="00BA5910"/>
    <w:rsid w:val="00BA7E0B"/>
    <w:rsid w:val="00BB3CE8"/>
    <w:rsid w:val="00BB43FD"/>
    <w:rsid w:val="00BB6D12"/>
    <w:rsid w:val="00BC3E94"/>
    <w:rsid w:val="00BC3ED9"/>
    <w:rsid w:val="00BC4B4F"/>
    <w:rsid w:val="00BC5032"/>
    <w:rsid w:val="00BC59CC"/>
    <w:rsid w:val="00BD0579"/>
    <w:rsid w:val="00BD1D69"/>
    <w:rsid w:val="00BD42D8"/>
    <w:rsid w:val="00BD45AE"/>
    <w:rsid w:val="00BE34DD"/>
    <w:rsid w:val="00BE7267"/>
    <w:rsid w:val="00BE7523"/>
    <w:rsid w:val="00BE7E71"/>
    <w:rsid w:val="00BF06EC"/>
    <w:rsid w:val="00BF09D3"/>
    <w:rsid w:val="00BF384F"/>
    <w:rsid w:val="00BF5744"/>
    <w:rsid w:val="00BF5944"/>
    <w:rsid w:val="00BF5A88"/>
    <w:rsid w:val="00C00519"/>
    <w:rsid w:val="00C014A9"/>
    <w:rsid w:val="00C01BBA"/>
    <w:rsid w:val="00C02420"/>
    <w:rsid w:val="00C04971"/>
    <w:rsid w:val="00C05096"/>
    <w:rsid w:val="00C0615F"/>
    <w:rsid w:val="00C10CCD"/>
    <w:rsid w:val="00C10E53"/>
    <w:rsid w:val="00C10FB4"/>
    <w:rsid w:val="00C15A97"/>
    <w:rsid w:val="00C16757"/>
    <w:rsid w:val="00C17A11"/>
    <w:rsid w:val="00C20A49"/>
    <w:rsid w:val="00C22965"/>
    <w:rsid w:val="00C22BDC"/>
    <w:rsid w:val="00C25BD9"/>
    <w:rsid w:val="00C41104"/>
    <w:rsid w:val="00C41134"/>
    <w:rsid w:val="00C416D8"/>
    <w:rsid w:val="00C428D0"/>
    <w:rsid w:val="00C42CAD"/>
    <w:rsid w:val="00C4400E"/>
    <w:rsid w:val="00C44575"/>
    <w:rsid w:val="00C45435"/>
    <w:rsid w:val="00C46B9E"/>
    <w:rsid w:val="00C5163E"/>
    <w:rsid w:val="00C527C3"/>
    <w:rsid w:val="00C552DE"/>
    <w:rsid w:val="00C55BAE"/>
    <w:rsid w:val="00C609C2"/>
    <w:rsid w:val="00C60ABB"/>
    <w:rsid w:val="00C613B0"/>
    <w:rsid w:val="00C666BD"/>
    <w:rsid w:val="00C71560"/>
    <w:rsid w:val="00C80E12"/>
    <w:rsid w:val="00C80F74"/>
    <w:rsid w:val="00C84E54"/>
    <w:rsid w:val="00C8621F"/>
    <w:rsid w:val="00C906E0"/>
    <w:rsid w:val="00C959A0"/>
    <w:rsid w:val="00CA1872"/>
    <w:rsid w:val="00CA1D5A"/>
    <w:rsid w:val="00CA5910"/>
    <w:rsid w:val="00CA5EE6"/>
    <w:rsid w:val="00CA6A88"/>
    <w:rsid w:val="00CB0D76"/>
    <w:rsid w:val="00CB169A"/>
    <w:rsid w:val="00CB18D5"/>
    <w:rsid w:val="00CB393B"/>
    <w:rsid w:val="00CC1B0F"/>
    <w:rsid w:val="00CC601F"/>
    <w:rsid w:val="00CD02EB"/>
    <w:rsid w:val="00CD6E9F"/>
    <w:rsid w:val="00CF0F17"/>
    <w:rsid w:val="00CF2384"/>
    <w:rsid w:val="00CF2A48"/>
    <w:rsid w:val="00CF2DBD"/>
    <w:rsid w:val="00CF37B7"/>
    <w:rsid w:val="00CF3D80"/>
    <w:rsid w:val="00CF569B"/>
    <w:rsid w:val="00CF7C33"/>
    <w:rsid w:val="00D025A9"/>
    <w:rsid w:val="00D11596"/>
    <w:rsid w:val="00D15049"/>
    <w:rsid w:val="00D17EF8"/>
    <w:rsid w:val="00D22A20"/>
    <w:rsid w:val="00D255AC"/>
    <w:rsid w:val="00D318BB"/>
    <w:rsid w:val="00D31E05"/>
    <w:rsid w:val="00D35E4B"/>
    <w:rsid w:val="00D4023D"/>
    <w:rsid w:val="00D40DAB"/>
    <w:rsid w:val="00D42313"/>
    <w:rsid w:val="00D45220"/>
    <w:rsid w:val="00D45FC8"/>
    <w:rsid w:val="00D500CC"/>
    <w:rsid w:val="00D51EF8"/>
    <w:rsid w:val="00D532DF"/>
    <w:rsid w:val="00D550EA"/>
    <w:rsid w:val="00D555B1"/>
    <w:rsid w:val="00D5683A"/>
    <w:rsid w:val="00D6075F"/>
    <w:rsid w:val="00D64A8A"/>
    <w:rsid w:val="00D64ACA"/>
    <w:rsid w:val="00D65EE5"/>
    <w:rsid w:val="00D6635B"/>
    <w:rsid w:val="00D72E5C"/>
    <w:rsid w:val="00D74A8F"/>
    <w:rsid w:val="00D76989"/>
    <w:rsid w:val="00D8155F"/>
    <w:rsid w:val="00D83830"/>
    <w:rsid w:val="00D8408A"/>
    <w:rsid w:val="00D85984"/>
    <w:rsid w:val="00D8641A"/>
    <w:rsid w:val="00D92897"/>
    <w:rsid w:val="00D9374F"/>
    <w:rsid w:val="00D96664"/>
    <w:rsid w:val="00D9771C"/>
    <w:rsid w:val="00D97BF8"/>
    <w:rsid w:val="00DA0331"/>
    <w:rsid w:val="00DA04A7"/>
    <w:rsid w:val="00DA30E3"/>
    <w:rsid w:val="00DA399C"/>
    <w:rsid w:val="00DA43F1"/>
    <w:rsid w:val="00DA5E85"/>
    <w:rsid w:val="00DB01F6"/>
    <w:rsid w:val="00DB1B72"/>
    <w:rsid w:val="00DB4628"/>
    <w:rsid w:val="00DD18B8"/>
    <w:rsid w:val="00DD1B53"/>
    <w:rsid w:val="00DD3ECB"/>
    <w:rsid w:val="00DD4201"/>
    <w:rsid w:val="00DD5BF9"/>
    <w:rsid w:val="00DD6729"/>
    <w:rsid w:val="00DD760C"/>
    <w:rsid w:val="00DE0FB7"/>
    <w:rsid w:val="00DE3DD6"/>
    <w:rsid w:val="00DE4100"/>
    <w:rsid w:val="00DE517B"/>
    <w:rsid w:val="00DE52F2"/>
    <w:rsid w:val="00DE5A5D"/>
    <w:rsid w:val="00DF072F"/>
    <w:rsid w:val="00DF0B84"/>
    <w:rsid w:val="00DF1ACD"/>
    <w:rsid w:val="00DF255F"/>
    <w:rsid w:val="00DF2996"/>
    <w:rsid w:val="00DF4C21"/>
    <w:rsid w:val="00E028F5"/>
    <w:rsid w:val="00E05588"/>
    <w:rsid w:val="00E07E81"/>
    <w:rsid w:val="00E10E84"/>
    <w:rsid w:val="00E1125C"/>
    <w:rsid w:val="00E16D83"/>
    <w:rsid w:val="00E17AA2"/>
    <w:rsid w:val="00E253BD"/>
    <w:rsid w:val="00E267AB"/>
    <w:rsid w:val="00E27BF3"/>
    <w:rsid w:val="00E30C2C"/>
    <w:rsid w:val="00E311DC"/>
    <w:rsid w:val="00E3126D"/>
    <w:rsid w:val="00E31752"/>
    <w:rsid w:val="00E3534A"/>
    <w:rsid w:val="00E4082C"/>
    <w:rsid w:val="00E4444A"/>
    <w:rsid w:val="00E44DA1"/>
    <w:rsid w:val="00E46C87"/>
    <w:rsid w:val="00E576B4"/>
    <w:rsid w:val="00E62413"/>
    <w:rsid w:val="00E64091"/>
    <w:rsid w:val="00E66237"/>
    <w:rsid w:val="00E66470"/>
    <w:rsid w:val="00E67C64"/>
    <w:rsid w:val="00E71BDF"/>
    <w:rsid w:val="00E8267C"/>
    <w:rsid w:val="00E86BD7"/>
    <w:rsid w:val="00E901CE"/>
    <w:rsid w:val="00E93A85"/>
    <w:rsid w:val="00E95DE1"/>
    <w:rsid w:val="00E97E26"/>
    <w:rsid w:val="00EA0931"/>
    <w:rsid w:val="00EA1306"/>
    <w:rsid w:val="00EA17D6"/>
    <w:rsid w:val="00EA1B72"/>
    <w:rsid w:val="00EA1B99"/>
    <w:rsid w:val="00EA3A1A"/>
    <w:rsid w:val="00EA49A8"/>
    <w:rsid w:val="00EA4F51"/>
    <w:rsid w:val="00EB0314"/>
    <w:rsid w:val="00EB087C"/>
    <w:rsid w:val="00EB2DD7"/>
    <w:rsid w:val="00EB56F6"/>
    <w:rsid w:val="00EB61E2"/>
    <w:rsid w:val="00EC0471"/>
    <w:rsid w:val="00EC3A1C"/>
    <w:rsid w:val="00EC3C0E"/>
    <w:rsid w:val="00EC539A"/>
    <w:rsid w:val="00EC6DFA"/>
    <w:rsid w:val="00ED39C3"/>
    <w:rsid w:val="00ED66FE"/>
    <w:rsid w:val="00ED68AB"/>
    <w:rsid w:val="00EE37DA"/>
    <w:rsid w:val="00EE3D44"/>
    <w:rsid w:val="00EE41E2"/>
    <w:rsid w:val="00EF1906"/>
    <w:rsid w:val="00EF1953"/>
    <w:rsid w:val="00EF2347"/>
    <w:rsid w:val="00EF2D9E"/>
    <w:rsid w:val="00EF30B1"/>
    <w:rsid w:val="00EF3BC8"/>
    <w:rsid w:val="00EF7F7D"/>
    <w:rsid w:val="00F003DC"/>
    <w:rsid w:val="00F00476"/>
    <w:rsid w:val="00F012AB"/>
    <w:rsid w:val="00F023FE"/>
    <w:rsid w:val="00F04FE7"/>
    <w:rsid w:val="00F054FC"/>
    <w:rsid w:val="00F06E3E"/>
    <w:rsid w:val="00F07308"/>
    <w:rsid w:val="00F0773C"/>
    <w:rsid w:val="00F10ABD"/>
    <w:rsid w:val="00F10E90"/>
    <w:rsid w:val="00F1558B"/>
    <w:rsid w:val="00F15B84"/>
    <w:rsid w:val="00F16CBD"/>
    <w:rsid w:val="00F17078"/>
    <w:rsid w:val="00F21394"/>
    <w:rsid w:val="00F21C36"/>
    <w:rsid w:val="00F2420F"/>
    <w:rsid w:val="00F26D19"/>
    <w:rsid w:val="00F3234E"/>
    <w:rsid w:val="00F33F66"/>
    <w:rsid w:val="00F372CE"/>
    <w:rsid w:val="00F419B2"/>
    <w:rsid w:val="00F4233A"/>
    <w:rsid w:val="00F42B22"/>
    <w:rsid w:val="00F43272"/>
    <w:rsid w:val="00F45EBD"/>
    <w:rsid w:val="00F509FC"/>
    <w:rsid w:val="00F50B67"/>
    <w:rsid w:val="00F52831"/>
    <w:rsid w:val="00F53B73"/>
    <w:rsid w:val="00F53D3E"/>
    <w:rsid w:val="00F56C3E"/>
    <w:rsid w:val="00F60C95"/>
    <w:rsid w:val="00F61714"/>
    <w:rsid w:val="00F6434D"/>
    <w:rsid w:val="00F7015E"/>
    <w:rsid w:val="00F7297C"/>
    <w:rsid w:val="00F73B56"/>
    <w:rsid w:val="00F777FA"/>
    <w:rsid w:val="00F77D99"/>
    <w:rsid w:val="00F820A6"/>
    <w:rsid w:val="00F828AE"/>
    <w:rsid w:val="00F83282"/>
    <w:rsid w:val="00F8540B"/>
    <w:rsid w:val="00F85ED6"/>
    <w:rsid w:val="00F91098"/>
    <w:rsid w:val="00F917FF"/>
    <w:rsid w:val="00F9398C"/>
    <w:rsid w:val="00F9535D"/>
    <w:rsid w:val="00F97BF7"/>
    <w:rsid w:val="00FA0D68"/>
    <w:rsid w:val="00FA2710"/>
    <w:rsid w:val="00FA5090"/>
    <w:rsid w:val="00FA7229"/>
    <w:rsid w:val="00FA7F61"/>
    <w:rsid w:val="00FB554A"/>
    <w:rsid w:val="00FB588A"/>
    <w:rsid w:val="00FC0694"/>
    <w:rsid w:val="00FC470A"/>
    <w:rsid w:val="00FC4FC5"/>
    <w:rsid w:val="00FC6982"/>
    <w:rsid w:val="00FC6F29"/>
    <w:rsid w:val="00FD1341"/>
    <w:rsid w:val="00FD2F47"/>
    <w:rsid w:val="00FE363C"/>
    <w:rsid w:val="00FE3AE2"/>
    <w:rsid w:val="00FE58DA"/>
    <w:rsid w:val="00FF1E9C"/>
    <w:rsid w:val="00FF5097"/>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rsid w:val="009A2CBA"/>
    <w:rPr>
      <w:rFonts w:eastAsiaTheme="majorEastAsia" w:cstheme="majorBidi"/>
      <w:b/>
      <w:bCs/>
      <w:szCs w:val="26"/>
    </w:rPr>
  </w:style>
  <w:style w:type="character" w:customStyle="1" w:styleId="Heading3Char">
    <w:name w:val="Heading 3 Char"/>
    <w:basedOn w:val="DefaultParagraphFont"/>
    <w:link w:val="Heading3"/>
    <w:uiPriority w:val="9"/>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8"/>
      </w:numPr>
      <w:spacing w:after="240"/>
    </w:pPr>
  </w:style>
  <w:style w:type="paragraph" w:customStyle="1" w:styleId="ListalphaB0">
    <w:name w:val="List alpha B"/>
    <w:basedOn w:val="Normal"/>
    <w:rsid w:val="00D45220"/>
    <w:pPr>
      <w:numPr>
        <w:numId w:val="3"/>
      </w:numPr>
      <w:spacing w:after="240"/>
    </w:pPr>
    <w:rPr>
      <w:rFonts w:eastAsia="Times New Roman" w:cs="Times New Roman"/>
    </w:rPr>
  </w:style>
  <w:style w:type="paragraph" w:customStyle="1" w:styleId="Listalpha">
    <w:name w:val="List alpha"/>
    <w:basedOn w:val="Normal"/>
    <w:rsid w:val="00D45220"/>
    <w:pPr>
      <w:numPr>
        <w:numId w:val="4"/>
      </w:numPr>
      <w:spacing w:after="240"/>
    </w:pPr>
    <w:rPr>
      <w:rFonts w:eastAsia="Times New Roman" w:cs="Times New Roman"/>
    </w:rPr>
  </w:style>
  <w:style w:type="paragraph" w:customStyle="1" w:styleId="ListALPHAB">
    <w:name w:val="List ALPHA B"/>
    <w:basedOn w:val="Normal"/>
    <w:rsid w:val="00D45220"/>
    <w:pPr>
      <w:numPr>
        <w:numId w:val="5"/>
      </w:numPr>
      <w:spacing w:after="240"/>
      <w:jc w:val="both"/>
      <w:outlineLvl w:val="0"/>
    </w:pPr>
    <w:rPr>
      <w:rFonts w:eastAsia="Times New Roman" w:cs="Times New Roman"/>
    </w:rPr>
  </w:style>
  <w:style w:type="paragraph" w:customStyle="1" w:styleId="ListALPHA0">
    <w:name w:val="List ALPHA"/>
    <w:basedOn w:val="Normal"/>
    <w:rsid w:val="00D45220"/>
    <w:pPr>
      <w:numPr>
        <w:numId w:val="6"/>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2"/>
      </w:numPr>
      <w:spacing w:line="480" w:lineRule="auto"/>
      <w:contextualSpacing/>
    </w:pPr>
  </w:style>
  <w:style w:type="paragraph" w:customStyle="1" w:styleId="ListNumberB">
    <w:name w:val="List Number B"/>
    <w:basedOn w:val="Normal"/>
    <w:qFormat/>
    <w:rsid w:val="00614279"/>
    <w:pPr>
      <w:numPr>
        <w:numId w:val="7"/>
      </w:numPr>
      <w:spacing w:after="240"/>
    </w:pPr>
  </w:style>
  <w:style w:type="paragraph" w:styleId="ListBullet">
    <w:name w:val="List Bullet"/>
    <w:basedOn w:val="Normal"/>
    <w:rsid w:val="000A4BA4"/>
    <w:pPr>
      <w:numPr>
        <w:numId w:val="9"/>
      </w:numPr>
      <w:contextualSpacing/>
    </w:pPr>
  </w:style>
  <w:style w:type="paragraph" w:styleId="ListBullet2">
    <w:name w:val="List Bullet 2"/>
    <w:basedOn w:val="Normal"/>
    <w:rsid w:val="000A4BA4"/>
    <w:pPr>
      <w:numPr>
        <w:numId w:val="10"/>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 w:type="paragraph" w:customStyle="1" w:styleId="Default">
    <w:name w:val="Default"/>
    <w:rsid w:val="00E46C8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1707"/>
    <w:rPr>
      <w:sz w:val="16"/>
      <w:szCs w:val="16"/>
    </w:rPr>
  </w:style>
  <w:style w:type="paragraph" w:styleId="CommentText">
    <w:name w:val="annotation text"/>
    <w:basedOn w:val="Normal"/>
    <w:link w:val="CommentTextChar"/>
    <w:uiPriority w:val="99"/>
    <w:semiHidden/>
    <w:unhideWhenUsed/>
    <w:rsid w:val="00071707"/>
    <w:rPr>
      <w:sz w:val="20"/>
      <w:szCs w:val="20"/>
    </w:rPr>
  </w:style>
  <w:style w:type="character" w:customStyle="1" w:styleId="CommentTextChar">
    <w:name w:val="Comment Text Char"/>
    <w:basedOn w:val="DefaultParagraphFont"/>
    <w:link w:val="CommentText"/>
    <w:uiPriority w:val="99"/>
    <w:semiHidden/>
    <w:rsid w:val="00071707"/>
    <w:rPr>
      <w:sz w:val="20"/>
      <w:szCs w:val="20"/>
    </w:rPr>
  </w:style>
  <w:style w:type="paragraph" w:styleId="CommentSubject">
    <w:name w:val="annotation subject"/>
    <w:basedOn w:val="CommentText"/>
    <w:next w:val="CommentText"/>
    <w:link w:val="CommentSubjectChar"/>
    <w:uiPriority w:val="99"/>
    <w:semiHidden/>
    <w:unhideWhenUsed/>
    <w:rsid w:val="00071707"/>
    <w:rPr>
      <w:b/>
      <w:bCs/>
    </w:rPr>
  </w:style>
  <w:style w:type="character" w:customStyle="1" w:styleId="CommentSubjectChar">
    <w:name w:val="Comment Subject Char"/>
    <w:basedOn w:val="CommentTextChar"/>
    <w:link w:val="CommentSubject"/>
    <w:uiPriority w:val="99"/>
    <w:semiHidden/>
    <w:rsid w:val="00071707"/>
    <w:rPr>
      <w:b/>
      <w:bCs/>
      <w:sz w:val="20"/>
      <w:szCs w:val="20"/>
    </w:rPr>
  </w:style>
  <w:style w:type="numbering" w:customStyle="1" w:styleId="NoList1">
    <w:name w:val="No List1"/>
    <w:next w:val="NoList"/>
    <w:uiPriority w:val="99"/>
    <w:semiHidden/>
    <w:unhideWhenUsed/>
    <w:rsid w:val="00D555B1"/>
  </w:style>
  <w:style w:type="paragraph" w:customStyle="1" w:styleId="filter">
    <w:name w:val="filter"/>
    <w:basedOn w:val="Normal"/>
    <w:rsid w:val="00D555B1"/>
    <w:pPr>
      <w:spacing w:before="100" w:beforeAutospacing="1" w:after="100" w:afterAutospacing="1"/>
    </w:pPr>
    <w:rPr>
      <w:rFonts w:eastAsia="Times New Roman" w:cs="Times New Roman"/>
    </w:rPr>
  </w:style>
  <w:style w:type="paragraph" w:customStyle="1" w:styleId="grid-50">
    <w:name w:val="grid-50"/>
    <w:basedOn w:val="Normal"/>
    <w:rsid w:val="00D555B1"/>
    <w:pPr>
      <w:spacing w:before="100" w:beforeAutospacing="1" w:after="100" w:afterAutospacing="1"/>
    </w:pPr>
    <w:rPr>
      <w:rFonts w:eastAsia="Times New Roman" w:cs="Times New Roman"/>
    </w:rPr>
  </w:style>
  <w:style w:type="paragraph" w:customStyle="1" w:styleId="grid-100">
    <w:name w:val="grid-100"/>
    <w:basedOn w:val="Normal"/>
    <w:rsid w:val="00D555B1"/>
    <w:pPr>
      <w:spacing w:before="100" w:beforeAutospacing="1" w:after="100" w:afterAutospacing="1"/>
    </w:pPr>
    <w:rPr>
      <w:rFonts w:eastAsia="Times New Roman" w:cs="Times New Roman"/>
    </w:rPr>
  </w:style>
  <w:style w:type="character" w:customStyle="1" w:styleId="Title1">
    <w:name w:val="Title1"/>
    <w:basedOn w:val="DefaultParagraphFont"/>
    <w:rsid w:val="00D555B1"/>
  </w:style>
  <w:style w:type="character" w:customStyle="1" w:styleId="billnumber">
    <w:name w:val="billnumber"/>
    <w:basedOn w:val="DefaultParagraphFont"/>
    <w:rsid w:val="00D555B1"/>
  </w:style>
  <w:style w:type="character" w:customStyle="1" w:styleId="billtitle">
    <w:name w:val="billtitle"/>
    <w:basedOn w:val="DefaultParagraphFont"/>
    <w:rsid w:val="00D555B1"/>
  </w:style>
  <w:style w:type="character" w:customStyle="1" w:styleId="newwindowico16">
    <w:name w:val="newwindowico16"/>
    <w:basedOn w:val="DefaultParagraphFont"/>
    <w:rsid w:val="00D555B1"/>
  </w:style>
  <w:style w:type="paragraph" w:customStyle="1" w:styleId="bold">
    <w:name w:val="bold"/>
    <w:basedOn w:val="Normal"/>
    <w:rsid w:val="00D555B1"/>
    <w:pPr>
      <w:spacing w:before="100" w:beforeAutospacing="1" w:after="100" w:afterAutospacing="1"/>
    </w:pPr>
    <w:rPr>
      <w:rFonts w:eastAsia="Times New Roman" w:cs="Times New Roman"/>
    </w:rPr>
  </w:style>
  <w:style w:type="paragraph" w:customStyle="1" w:styleId="seal">
    <w:name w:val="seal"/>
    <w:basedOn w:val="Normal"/>
    <w:rsid w:val="00D555B1"/>
    <w:pPr>
      <w:spacing w:before="100" w:beforeAutospacing="1" w:after="100" w:afterAutospacing="1"/>
    </w:pPr>
    <w:rPr>
      <w:rFonts w:eastAsia="Times New Roman" w:cs="Times New Roman"/>
    </w:rPr>
  </w:style>
  <w:style w:type="character" w:customStyle="1" w:styleId="newwindowwhiteico16">
    <w:name w:val="newwindowwhiteico16"/>
    <w:basedOn w:val="DefaultParagraphFont"/>
    <w:rsid w:val="00D555B1"/>
  </w:style>
  <w:style w:type="character" w:customStyle="1" w:styleId="noprint">
    <w:name w:val="noprint"/>
    <w:basedOn w:val="DefaultParagraphFont"/>
    <w:rsid w:val="00D5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65394">
      <w:marLeft w:val="0"/>
      <w:marRight w:val="0"/>
      <w:marTop w:val="0"/>
      <w:marBottom w:val="0"/>
      <w:divBdr>
        <w:top w:val="none" w:sz="0" w:space="0" w:color="auto"/>
        <w:left w:val="none" w:sz="0" w:space="0" w:color="auto"/>
        <w:bottom w:val="none" w:sz="0" w:space="0" w:color="auto"/>
        <w:right w:val="none" w:sz="0" w:space="0" w:color="auto"/>
      </w:divBdr>
    </w:div>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96979">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33560924">
      <w:bodyDiv w:val="1"/>
      <w:marLeft w:val="0"/>
      <w:marRight w:val="0"/>
      <w:marTop w:val="0"/>
      <w:marBottom w:val="0"/>
      <w:divBdr>
        <w:top w:val="none" w:sz="0" w:space="0" w:color="auto"/>
        <w:left w:val="none" w:sz="0" w:space="0" w:color="auto"/>
        <w:bottom w:val="none" w:sz="0" w:space="0" w:color="auto"/>
        <w:right w:val="none" w:sz="0" w:space="0" w:color="auto"/>
      </w:divBdr>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683435894">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752626786">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990477611">
      <w:marLeft w:val="0"/>
      <w:marRight w:val="0"/>
      <w:marTop w:val="0"/>
      <w:marBottom w:val="0"/>
      <w:divBdr>
        <w:top w:val="none" w:sz="0" w:space="0" w:color="auto"/>
        <w:left w:val="none" w:sz="0" w:space="0" w:color="auto"/>
        <w:bottom w:val="none" w:sz="0" w:space="0" w:color="auto"/>
        <w:right w:val="none" w:sz="0" w:space="0" w:color="auto"/>
      </w:divBdr>
      <w:divsChild>
        <w:div w:id="254553600">
          <w:marLeft w:val="0"/>
          <w:marRight w:val="0"/>
          <w:marTop w:val="0"/>
          <w:marBottom w:val="0"/>
          <w:divBdr>
            <w:top w:val="none" w:sz="0" w:space="0" w:color="auto"/>
            <w:left w:val="none" w:sz="0" w:space="0" w:color="auto"/>
            <w:bottom w:val="none" w:sz="0" w:space="0" w:color="auto"/>
            <w:right w:val="none" w:sz="0" w:space="0" w:color="auto"/>
          </w:divBdr>
          <w:divsChild>
            <w:div w:id="148599719">
              <w:marLeft w:val="0"/>
              <w:marRight w:val="0"/>
              <w:marTop w:val="0"/>
              <w:marBottom w:val="0"/>
              <w:divBdr>
                <w:top w:val="none" w:sz="0" w:space="0" w:color="auto"/>
                <w:left w:val="none" w:sz="0" w:space="0" w:color="auto"/>
                <w:bottom w:val="none" w:sz="0" w:space="0" w:color="auto"/>
                <w:right w:val="none" w:sz="0" w:space="0" w:color="auto"/>
              </w:divBdr>
              <w:divsChild>
                <w:div w:id="572202357">
                  <w:marLeft w:val="0"/>
                  <w:marRight w:val="0"/>
                  <w:marTop w:val="0"/>
                  <w:marBottom w:val="0"/>
                  <w:divBdr>
                    <w:top w:val="none" w:sz="0" w:space="0" w:color="auto"/>
                    <w:left w:val="none" w:sz="0" w:space="0" w:color="auto"/>
                    <w:bottom w:val="none" w:sz="0" w:space="0" w:color="auto"/>
                    <w:right w:val="none" w:sz="0" w:space="0" w:color="auto"/>
                  </w:divBdr>
                </w:div>
                <w:div w:id="145168136">
                  <w:marLeft w:val="0"/>
                  <w:marRight w:val="0"/>
                  <w:marTop w:val="0"/>
                  <w:marBottom w:val="0"/>
                  <w:divBdr>
                    <w:top w:val="none" w:sz="0" w:space="0" w:color="auto"/>
                    <w:left w:val="none" w:sz="0" w:space="0" w:color="auto"/>
                    <w:bottom w:val="none" w:sz="0" w:space="0" w:color="auto"/>
                    <w:right w:val="none" w:sz="0" w:space="0" w:color="auto"/>
                  </w:divBdr>
                  <w:divsChild>
                    <w:div w:id="1140416273">
                      <w:marLeft w:val="0"/>
                      <w:marRight w:val="0"/>
                      <w:marTop w:val="0"/>
                      <w:marBottom w:val="0"/>
                      <w:divBdr>
                        <w:top w:val="none" w:sz="0" w:space="0" w:color="auto"/>
                        <w:left w:val="none" w:sz="0" w:space="0" w:color="auto"/>
                        <w:bottom w:val="none" w:sz="0" w:space="0" w:color="auto"/>
                        <w:right w:val="none" w:sz="0" w:space="0" w:color="auto"/>
                      </w:divBdr>
                    </w:div>
                    <w:div w:id="1137450860">
                      <w:marLeft w:val="0"/>
                      <w:marRight w:val="0"/>
                      <w:marTop w:val="0"/>
                      <w:marBottom w:val="0"/>
                      <w:divBdr>
                        <w:top w:val="none" w:sz="0" w:space="0" w:color="auto"/>
                        <w:left w:val="none" w:sz="0" w:space="0" w:color="auto"/>
                        <w:bottom w:val="none" w:sz="0" w:space="0" w:color="auto"/>
                        <w:right w:val="none" w:sz="0" w:space="0" w:color="auto"/>
                      </w:divBdr>
                    </w:div>
                    <w:div w:id="2142529405">
                      <w:marLeft w:val="0"/>
                      <w:marRight w:val="0"/>
                      <w:marTop w:val="0"/>
                      <w:marBottom w:val="0"/>
                      <w:divBdr>
                        <w:top w:val="none" w:sz="0" w:space="0" w:color="auto"/>
                        <w:left w:val="none" w:sz="0" w:space="0" w:color="auto"/>
                        <w:bottom w:val="none" w:sz="0" w:space="0" w:color="auto"/>
                        <w:right w:val="none" w:sz="0" w:space="0" w:color="auto"/>
                      </w:divBdr>
                    </w:div>
                    <w:div w:id="1170218747">
                      <w:marLeft w:val="0"/>
                      <w:marRight w:val="0"/>
                      <w:marTop w:val="0"/>
                      <w:marBottom w:val="0"/>
                      <w:divBdr>
                        <w:top w:val="none" w:sz="0" w:space="0" w:color="auto"/>
                        <w:left w:val="none" w:sz="0" w:space="0" w:color="auto"/>
                        <w:bottom w:val="none" w:sz="0" w:space="0" w:color="auto"/>
                        <w:right w:val="none" w:sz="0" w:space="0" w:color="auto"/>
                      </w:divBdr>
                    </w:div>
                  </w:divsChild>
                </w:div>
                <w:div w:id="2030713748">
                  <w:marLeft w:val="0"/>
                  <w:marRight w:val="0"/>
                  <w:marTop w:val="0"/>
                  <w:marBottom w:val="0"/>
                  <w:divBdr>
                    <w:top w:val="none" w:sz="0" w:space="0" w:color="auto"/>
                    <w:left w:val="none" w:sz="0" w:space="0" w:color="auto"/>
                    <w:bottom w:val="none" w:sz="0" w:space="0" w:color="auto"/>
                    <w:right w:val="none" w:sz="0" w:space="0" w:color="auto"/>
                  </w:divBdr>
                  <w:divsChild>
                    <w:div w:id="615065699">
                      <w:marLeft w:val="0"/>
                      <w:marRight w:val="0"/>
                      <w:marTop w:val="0"/>
                      <w:marBottom w:val="0"/>
                      <w:divBdr>
                        <w:top w:val="none" w:sz="0" w:space="0" w:color="auto"/>
                        <w:left w:val="none" w:sz="0" w:space="0" w:color="auto"/>
                        <w:bottom w:val="none" w:sz="0" w:space="0" w:color="auto"/>
                        <w:right w:val="none" w:sz="0" w:space="0" w:color="auto"/>
                      </w:divBdr>
                    </w:div>
                  </w:divsChild>
                </w:div>
                <w:div w:id="1931506365">
                  <w:marLeft w:val="0"/>
                  <w:marRight w:val="0"/>
                  <w:marTop w:val="0"/>
                  <w:marBottom w:val="0"/>
                  <w:divBdr>
                    <w:top w:val="none" w:sz="0" w:space="0" w:color="auto"/>
                    <w:left w:val="none" w:sz="0" w:space="0" w:color="auto"/>
                    <w:bottom w:val="none" w:sz="0" w:space="0" w:color="auto"/>
                    <w:right w:val="none" w:sz="0" w:space="0" w:color="auto"/>
                  </w:divBdr>
                  <w:divsChild>
                    <w:div w:id="635263916">
                      <w:marLeft w:val="0"/>
                      <w:marRight w:val="0"/>
                      <w:marTop w:val="0"/>
                      <w:marBottom w:val="0"/>
                      <w:divBdr>
                        <w:top w:val="none" w:sz="0" w:space="0" w:color="auto"/>
                        <w:left w:val="none" w:sz="0" w:space="0" w:color="auto"/>
                        <w:bottom w:val="none" w:sz="0" w:space="0" w:color="auto"/>
                        <w:right w:val="none" w:sz="0" w:space="0" w:color="auto"/>
                      </w:divBdr>
                    </w:div>
                  </w:divsChild>
                </w:div>
                <w:div w:id="2146315617">
                  <w:marLeft w:val="0"/>
                  <w:marRight w:val="0"/>
                  <w:marTop w:val="0"/>
                  <w:marBottom w:val="0"/>
                  <w:divBdr>
                    <w:top w:val="none" w:sz="0" w:space="0" w:color="auto"/>
                    <w:left w:val="none" w:sz="0" w:space="0" w:color="auto"/>
                    <w:bottom w:val="none" w:sz="0" w:space="0" w:color="auto"/>
                    <w:right w:val="none" w:sz="0" w:space="0" w:color="auto"/>
                  </w:divBdr>
                  <w:divsChild>
                    <w:div w:id="1420523972">
                      <w:marLeft w:val="0"/>
                      <w:marRight w:val="0"/>
                      <w:marTop w:val="0"/>
                      <w:marBottom w:val="0"/>
                      <w:divBdr>
                        <w:top w:val="none" w:sz="0" w:space="0" w:color="auto"/>
                        <w:left w:val="none" w:sz="0" w:space="0" w:color="auto"/>
                        <w:bottom w:val="none" w:sz="0" w:space="0" w:color="auto"/>
                        <w:right w:val="none" w:sz="0" w:space="0" w:color="auto"/>
                      </w:divBdr>
                    </w:div>
                    <w:div w:id="1884056939">
                      <w:marLeft w:val="0"/>
                      <w:marRight w:val="0"/>
                      <w:marTop w:val="0"/>
                      <w:marBottom w:val="0"/>
                      <w:divBdr>
                        <w:top w:val="none" w:sz="0" w:space="0" w:color="auto"/>
                        <w:left w:val="none" w:sz="0" w:space="0" w:color="auto"/>
                        <w:bottom w:val="none" w:sz="0" w:space="0" w:color="auto"/>
                        <w:right w:val="none" w:sz="0" w:space="0" w:color="auto"/>
                      </w:divBdr>
                    </w:div>
                    <w:div w:id="1391539140">
                      <w:marLeft w:val="0"/>
                      <w:marRight w:val="0"/>
                      <w:marTop w:val="0"/>
                      <w:marBottom w:val="0"/>
                      <w:divBdr>
                        <w:top w:val="none" w:sz="0" w:space="0" w:color="auto"/>
                        <w:left w:val="none" w:sz="0" w:space="0" w:color="auto"/>
                        <w:bottom w:val="none" w:sz="0" w:space="0" w:color="auto"/>
                        <w:right w:val="none" w:sz="0" w:space="0" w:color="auto"/>
                      </w:divBdr>
                    </w:div>
                  </w:divsChild>
                </w:div>
                <w:div w:id="1214659879">
                  <w:marLeft w:val="0"/>
                  <w:marRight w:val="0"/>
                  <w:marTop w:val="0"/>
                  <w:marBottom w:val="0"/>
                  <w:divBdr>
                    <w:top w:val="none" w:sz="0" w:space="0" w:color="auto"/>
                    <w:left w:val="none" w:sz="0" w:space="0" w:color="auto"/>
                    <w:bottom w:val="none" w:sz="0" w:space="0" w:color="auto"/>
                    <w:right w:val="none" w:sz="0" w:space="0" w:color="auto"/>
                  </w:divBdr>
                  <w:divsChild>
                    <w:div w:id="1942293951">
                      <w:marLeft w:val="0"/>
                      <w:marRight w:val="0"/>
                      <w:marTop w:val="0"/>
                      <w:marBottom w:val="0"/>
                      <w:divBdr>
                        <w:top w:val="none" w:sz="0" w:space="0" w:color="auto"/>
                        <w:left w:val="none" w:sz="0" w:space="0" w:color="auto"/>
                        <w:bottom w:val="none" w:sz="0" w:space="0" w:color="auto"/>
                        <w:right w:val="none" w:sz="0" w:space="0" w:color="auto"/>
                      </w:divBdr>
                    </w:div>
                    <w:div w:id="1870995070">
                      <w:marLeft w:val="0"/>
                      <w:marRight w:val="0"/>
                      <w:marTop w:val="0"/>
                      <w:marBottom w:val="0"/>
                      <w:divBdr>
                        <w:top w:val="none" w:sz="0" w:space="0" w:color="auto"/>
                        <w:left w:val="none" w:sz="0" w:space="0" w:color="auto"/>
                        <w:bottom w:val="none" w:sz="0" w:space="0" w:color="auto"/>
                        <w:right w:val="none" w:sz="0" w:space="0" w:color="auto"/>
                      </w:divBdr>
                    </w:div>
                  </w:divsChild>
                </w:div>
                <w:div w:id="1066336747">
                  <w:marLeft w:val="0"/>
                  <w:marRight w:val="0"/>
                  <w:marTop w:val="0"/>
                  <w:marBottom w:val="0"/>
                  <w:divBdr>
                    <w:top w:val="none" w:sz="0" w:space="0" w:color="auto"/>
                    <w:left w:val="none" w:sz="0" w:space="0" w:color="auto"/>
                    <w:bottom w:val="none" w:sz="0" w:space="0" w:color="auto"/>
                    <w:right w:val="none" w:sz="0" w:space="0" w:color="auto"/>
                  </w:divBdr>
                  <w:divsChild>
                    <w:div w:id="321860939">
                      <w:marLeft w:val="0"/>
                      <w:marRight w:val="0"/>
                      <w:marTop w:val="0"/>
                      <w:marBottom w:val="0"/>
                      <w:divBdr>
                        <w:top w:val="none" w:sz="0" w:space="0" w:color="auto"/>
                        <w:left w:val="none" w:sz="0" w:space="0" w:color="auto"/>
                        <w:bottom w:val="none" w:sz="0" w:space="0" w:color="auto"/>
                        <w:right w:val="none" w:sz="0" w:space="0" w:color="auto"/>
                      </w:divBdr>
                    </w:div>
                    <w:div w:id="284627797">
                      <w:marLeft w:val="0"/>
                      <w:marRight w:val="0"/>
                      <w:marTop w:val="0"/>
                      <w:marBottom w:val="0"/>
                      <w:divBdr>
                        <w:top w:val="none" w:sz="0" w:space="0" w:color="auto"/>
                        <w:left w:val="none" w:sz="0" w:space="0" w:color="auto"/>
                        <w:bottom w:val="none" w:sz="0" w:space="0" w:color="auto"/>
                        <w:right w:val="none" w:sz="0" w:space="0" w:color="auto"/>
                      </w:divBdr>
                    </w:div>
                  </w:divsChild>
                </w:div>
                <w:div w:id="368382885">
                  <w:marLeft w:val="0"/>
                  <w:marRight w:val="0"/>
                  <w:marTop w:val="0"/>
                  <w:marBottom w:val="0"/>
                  <w:divBdr>
                    <w:top w:val="none" w:sz="0" w:space="0" w:color="auto"/>
                    <w:left w:val="none" w:sz="0" w:space="0" w:color="auto"/>
                    <w:bottom w:val="none" w:sz="0" w:space="0" w:color="auto"/>
                    <w:right w:val="none" w:sz="0" w:space="0" w:color="auto"/>
                  </w:divBdr>
                  <w:divsChild>
                    <w:div w:id="790129392">
                      <w:marLeft w:val="0"/>
                      <w:marRight w:val="0"/>
                      <w:marTop w:val="0"/>
                      <w:marBottom w:val="0"/>
                      <w:divBdr>
                        <w:top w:val="none" w:sz="0" w:space="0" w:color="auto"/>
                        <w:left w:val="none" w:sz="0" w:space="0" w:color="auto"/>
                        <w:bottom w:val="none" w:sz="0" w:space="0" w:color="auto"/>
                        <w:right w:val="none" w:sz="0" w:space="0" w:color="auto"/>
                      </w:divBdr>
                    </w:div>
                    <w:div w:id="319770743">
                      <w:marLeft w:val="0"/>
                      <w:marRight w:val="0"/>
                      <w:marTop w:val="0"/>
                      <w:marBottom w:val="0"/>
                      <w:divBdr>
                        <w:top w:val="none" w:sz="0" w:space="0" w:color="auto"/>
                        <w:left w:val="none" w:sz="0" w:space="0" w:color="auto"/>
                        <w:bottom w:val="none" w:sz="0" w:space="0" w:color="auto"/>
                        <w:right w:val="none" w:sz="0" w:space="0" w:color="auto"/>
                      </w:divBdr>
                    </w:div>
                  </w:divsChild>
                </w:div>
                <w:div w:id="2139451302">
                  <w:marLeft w:val="0"/>
                  <w:marRight w:val="0"/>
                  <w:marTop w:val="0"/>
                  <w:marBottom w:val="0"/>
                  <w:divBdr>
                    <w:top w:val="none" w:sz="0" w:space="0" w:color="auto"/>
                    <w:left w:val="none" w:sz="0" w:space="0" w:color="auto"/>
                    <w:bottom w:val="none" w:sz="0" w:space="0" w:color="auto"/>
                    <w:right w:val="none" w:sz="0" w:space="0" w:color="auto"/>
                  </w:divBdr>
                  <w:divsChild>
                    <w:div w:id="828600889">
                      <w:marLeft w:val="0"/>
                      <w:marRight w:val="0"/>
                      <w:marTop w:val="0"/>
                      <w:marBottom w:val="0"/>
                      <w:divBdr>
                        <w:top w:val="none" w:sz="0" w:space="0" w:color="auto"/>
                        <w:left w:val="none" w:sz="0" w:space="0" w:color="auto"/>
                        <w:bottom w:val="none" w:sz="0" w:space="0" w:color="auto"/>
                        <w:right w:val="none" w:sz="0" w:space="0" w:color="auto"/>
                      </w:divBdr>
                    </w:div>
                    <w:div w:id="403601436">
                      <w:marLeft w:val="0"/>
                      <w:marRight w:val="0"/>
                      <w:marTop w:val="0"/>
                      <w:marBottom w:val="0"/>
                      <w:divBdr>
                        <w:top w:val="none" w:sz="0" w:space="0" w:color="auto"/>
                        <w:left w:val="none" w:sz="0" w:space="0" w:color="auto"/>
                        <w:bottom w:val="none" w:sz="0" w:space="0" w:color="auto"/>
                        <w:right w:val="none" w:sz="0" w:space="0" w:color="auto"/>
                      </w:divBdr>
                    </w:div>
                  </w:divsChild>
                </w:div>
                <w:div w:id="61636478">
                  <w:marLeft w:val="0"/>
                  <w:marRight w:val="0"/>
                  <w:marTop w:val="0"/>
                  <w:marBottom w:val="0"/>
                  <w:divBdr>
                    <w:top w:val="none" w:sz="0" w:space="0" w:color="auto"/>
                    <w:left w:val="none" w:sz="0" w:space="0" w:color="auto"/>
                    <w:bottom w:val="none" w:sz="0" w:space="0" w:color="auto"/>
                    <w:right w:val="none" w:sz="0" w:space="0" w:color="auto"/>
                  </w:divBdr>
                  <w:divsChild>
                    <w:div w:id="1514613674">
                      <w:marLeft w:val="0"/>
                      <w:marRight w:val="0"/>
                      <w:marTop w:val="0"/>
                      <w:marBottom w:val="0"/>
                      <w:divBdr>
                        <w:top w:val="none" w:sz="0" w:space="0" w:color="auto"/>
                        <w:left w:val="none" w:sz="0" w:space="0" w:color="auto"/>
                        <w:bottom w:val="none" w:sz="0" w:space="0" w:color="auto"/>
                        <w:right w:val="none" w:sz="0" w:space="0" w:color="auto"/>
                      </w:divBdr>
                    </w:div>
                    <w:div w:id="694815378">
                      <w:marLeft w:val="0"/>
                      <w:marRight w:val="0"/>
                      <w:marTop w:val="0"/>
                      <w:marBottom w:val="0"/>
                      <w:divBdr>
                        <w:top w:val="none" w:sz="0" w:space="0" w:color="auto"/>
                        <w:left w:val="none" w:sz="0" w:space="0" w:color="auto"/>
                        <w:bottom w:val="none" w:sz="0" w:space="0" w:color="auto"/>
                        <w:right w:val="none" w:sz="0" w:space="0" w:color="auto"/>
                      </w:divBdr>
                    </w:div>
                  </w:divsChild>
                </w:div>
                <w:div w:id="801388074">
                  <w:marLeft w:val="0"/>
                  <w:marRight w:val="0"/>
                  <w:marTop w:val="0"/>
                  <w:marBottom w:val="0"/>
                  <w:divBdr>
                    <w:top w:val="none" w:sz="0" w:space="0" w:color="auto"/>
                    <w:left w:val="none" w:sz="0" w:space="0" w:color="auto"/>
                    <w:bottom w:val="none" w:sz="0" w:space="0" w:color="auto"/>
                    <w:right w:val="none" w:sz="0" w:space="0" w:color="auto"/>
                  </w:divBdr>
                  <w:divsChild>
                    <w:div w:id="9078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83504">
              <w:marLeft w:val="0"/>
              <w:marRight w:val="0"/>
              <w:marTop w:val="0"/>
              <w:marBottom w:val="0"/>
              <w:divBdr>
                <w:top w:val="none" w:sz="0" w:space="0" w:color="auto"/>
                <w:left w:val="none" w:sz="0" w:space="0" w:color="auto"/>
                <w:bottom w:val="none" w:sz="0" w:space="0" w:color="auto"/>
                <w:right w:val="none" w:sz="0" w:space="0" w:color="auto"/>
              </w:divBdr>
              <w:divsChild>
                <w:div w:id="50663334">
                  <w:marLeft w:val="0"/>
                  <w:marRight w:val="0"/>
                  <w:marTop w:val="0"/>
                  <w:marBottom w:val="0"/>
                  <w:divBdr>
                    <w:top w:val="none" w:sz="0" w:space="0" w:color="auto"/>
                    <w:left w:val="none" w:sz="0" w:space="0" w:color="auto"/>
                    <w:bottom w:val="none" w:sz="0" w:space="0" w:color="auto"/>
                    <w:right w:val="none" w:sz="0" w:space="0" w:color="auto"/>
                  </w:divBdr>
                  <w:divsChild>
                    <w:div w:id="2099597580">
                      <w:marLeft w:val="0"/>
                      <w:marRight w:val="0"/>
                      <w:marTop w:val="0"/>
                      <w:marBottom w:val="0"/>
                      <w:divBdr>
                        <w:top w:val="none" w:sz="0" w:space="0" w:color="auto"/>
                        <w:left w:val="none" w:sz="0" w:space="0" w:color="auto"/>
                        <w:bottom w:val="none" w:sz="0" w:space="0" w:color="auto"/>
                        <w:right w:val="none" w:sz="0" w:space="0" w:color="auto"/>
                      </w:divBdr>
                    </w:div>
                    <w:div w:id="333336922">
                      <w:marLeft w:val="0"/>
                      <w:marRight w:val="0"/>
                      <w:marTop w:val="0"/>
                      <w:marBottom w:val="0"/>
                      <w:divBdr>
                        <w:top w:val="none" w:sz="0" w:space="0" w:color="auto"/>
                        <w:left w:val="none" w:sz="0" w:space="0" w:color="auto"/>
                        <w:bottom w:val="none" w:sz="0" w:space="0" w:color="auto"/>
                        <w:right w:val="none" w:sz="0" w:space="0" w:color="auto"/>
                      </w:divBdr>
                      <w:divsChild>
                        <w:div w:id="487788799">
                          <w:marLeft w:val="0"/>
                          <w:marRight w:val="0"/>
                          <w:marTop w:val="0"/>
                          <w:marBottom w:val="0"/>
                          <w:divBdr>
                            <w:top w:val="none" w:sz="0" w:space="0" w:color="auto"/>
                            <w:left w:val="none" w:sz="0" w:space="0" w:color="auto"/>
                            <w:bottom w:val="none" w:sz="0" w:space="0" w:color="auto"/>
                            <w:right w:val="none" w:sz="0" w:space="0" w:color="auto"/>
                          </w:divBdr>
                          <w:divsChild>
                            <w:div w:id="1872062622">
                              <w:marLeft w:val="0"/>
                              <w:marRight w:val="0"/>
                              <w:marTop w:val="0"/>
                              <w:marBottom w:val="0"/>
                              <w:divBdr>
                                <w:top w:val="none" w:sz="0" w:space="0" w:color="auto"/>
                                <w:left w:val="none" w:sz="0" w:space="0" w:color="auto"/>
                                <w:bottom w:val="none" w:sz="0" w:space="0" w:color="auto"/>
                                <w:right w:val="none" w:sz="0" w:space="0" w:color="auto"/>
                              </w:divBdr>
                              <w:divsChild>
                                <w:div w:id="1932856466">
                                  <w:marLeft w:val="0"/>
                                  <w:marRight w:val="0"/>
                                  <w:marTop w:val="0"/>
                                  <w:marBottom w:val="0"/>
                                  <w:divBdr>
                                    <w:top w:val="none" w:sz="0" w:space="0" w:color="auto"/>
                                    <w:left w:val="none" w:sz="0" w:space="0" w:color="auto"/>
                                    <w:bottom w:val="none" w:sz="0" w:space="0" w:color="auto"/>
                                    <w:right w:val="none" w:sz="0" w:space="0" w:color="auto"/>
                                  </w:divBdr>
                                </w:div>
                              </w:divsChild>
                            </w:div>
                            <w:div w:id="658579992">
                              <w:marLeft w:val="0"/>
                              <w:marRight w:val="0"/>
                              <w:marTop w:val="0"/>
                              <w:marBottom w:val="0"/>
                              <w:divBdr>
                                <w:top w:val="none" w:sz="0" w:space="0" w:color="auto"/>
                                <w:left w:val="none" w:sz="0" w:space="0" w:color="auto"/>
                                <w:bottom w:val="none" w:sz="0" w:space="0" w:color="auto"/>
                                <w:right w:val="none" w:sz="0" w:space="0" w:color="auto"/>
                              </w:divBdr>
                            </w:div>
                            <w:div w:id="1981494960">
                              <w:marLeft w:val="0"/>
                              <w:marRight w:val="0"/>
                              <w:marTop w:val="0"/>
                              <w:marBottom w:val="0"/>
                              <w:divBdr>
                                <w:top w:val="none" w:sz="0" w:space="0" w:color="auto"/>
                                <w:left w:val="none" w:sz="0" w:space="0" w:color="auto"/>
                                <w:bottom w:val="none" w:sz="0" w:space="0" w:color="auto"/>
                                <w:right w:val="none" w:sz="0" w:space="0" w:color="auto"/>
                              </w:divBdr>
                            </w:div>
                            <w:div w:id="226645827">
                              <w:marLeft w:val="0"/>
                              <w:marRight w:val="0"/>
                              <w:marTop w:val="0"/>
                              <w:marBottom w:val="0"/>
                              <w:divBdr>
                                <w:top w:val="none" w:sz="0" w:space="0" w:color="auto"/>
                                <w:left w:val="none" w:sz="0" w:space="0" w:color="auto"/>
                                <w:bottom w:val="none" w:sz="0" w:space="0" w:color="auto"/>
                                <w:right w:val="none" w:sz="0" w:space="0" w:color="auto"/>
                              </w:divBdr>
                            </w:div>
                            <w:div w:id="10505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8646">
              <w:marLeft w:val="0"/>
              <w:marRight w:val="0"/>
              <w:marTop w:val="0"/>
              <w:marBottom w:val="0"/>
              <w:divBdr>
                <w:top w:val="none" w:sz="0" w:space="0" w:color="auto"/>
                <w:left w:val="none" w:sz="0" w:space="0" w:color="auto"/>
                <w:bottom w:val="none" w:sz="0" w:space="0" w:color="auto"/>
                <w:right w:val="none" w:sz="0" w:space="0" w:color="auto"/>
              </w:divBdr>
            </w:div>
            <w:div w:id="1177118313">
              <w:marLeft w:val="0"/>
              <w:marRight w:val="0"/>
              <w:marTop w:val="0"/>
              <w:marBottom w:val="0"/>
              <w:divBdr>
                <w:top w:val="none" w:sz="0" w:space="0" w:color="auto"/>
                <w:left w:val="none" w:sz="0" w:space="0" w:color="auto"/>
                <w:bottom w:val="none" w:sz="0" w:space="0" w:color="auto"/>
                <w:right w:val="none" w:sz="0" w:space="0" w:color="auto"/>
              </w:divBdr>
            </w:div>
            <w:div w:id="593511059">
              <w:marLeft w:val="0"/>
              <w:marRight w:val="0"/>
              <w:marTop w:val="0"/>
              <w:marBottom w:val="0"/>
              <w:divBdr>
                <w:top w:val="none" w:sz="0" w:space="0" w:color="auto"/>
                <w:left w:val="none" w:sz="0" w:space="0" w:color="auto"/>
                <w:bottom w:val="none" w:sz="0" w:space="0" w:color="auto"/>
                <w:right w:val="none" w:sz="0" w:space="0" w:color="auto"/>
              </w:divBdr>
            </w:div>
            <w:div w:id="1442456625">
              <w:marLeft w:val="0"/>
              <w:marRight w:val="0"/>
              <w:marTop w:val="0"/>
              <w:marBottom w:val="0"/>
              <w:divBdr>
                <w:top w:val="none" w:sz="0" w:space="0" w:color="auto"/>
                <w:left w:val="none" w:sz="0" w:space="0" w:color="auto"/>
                <w:bottom w:val="none" w:sz="0" w:space="0" w:color="auto"/>
                <w:right w:val="none" w:sz="0" w:space="0" w:color="auto"/>
              </w:divBdr>
            </w:div>
            <w:div w:id="846090667">
              <w:marLeft w:val="0"/>
              <w:marRight w:val="0"/>
              <w:marTop w:val="0"/>
              <w:marBottom w:val="0"/>
              <w:divBdr>
                <w:top w:val="none" w:sz="0" w:space="0" w:color="auto"/>
                <w:left w:val="none" w:sz="0" w:space="0" w:color="auto"/>
                <w:bottom w:val="none" w:sz="0" w:space="0" w:color="auto"/>
                <w:right w:val="none" w:sz="0" w:space="0" w:color="auto"/>
              </w:divBdr>
            </w:div>
            <w:div w:id="9248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544750271">
      <w:bodyDiv w:val="1"/>
      <w:marLeft w:val="0"/>
      <w:marRight w:val="0"/>
      <w:marTop w:val="0"/>
      <w:marBottom w:val="0"/>
      <w:divBdr>
        <w:top w:val="none" w:sz="0" w:space="0" w:color="auto"/>
        <w:left w:val="none" w:sz="0" w:space="0" w:color="auto"/>
        <w:bottom w:val="none" w:sz="0" w:space="0" w:color="auto"/>
        <w:right w:val="none" w:sz="0" w:space="0" w:color="auto"/>
      </w:divBdr>
    </w:div>
    <w:div w:id="1578204296">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fastcase.com/Research/Pages/Document.aspx?LTID=Zyk%2bKcxIsezP36jwkJPoVOwoNBIOIXWRLlcnbtkZv0tiZaghSup8AbBOmvZVDbxfu%2fGpJ0CCOdxtYbZi8V1kzm2qQ3IFSYLmFnevI%2bPGxu7FCx6CKWy%2ffv5pPrsiHKWEiWsIJigsrUWpAzdA6WJYg3XTVWlwRxDmSqRIEhX63Vs%3d" TargetMode="External"/><Relationship Id="rId13" Type="http://schemas.openxmlformats.org/officeDocument/2006/relationships/hyperlink" Target="http://www.flsenate.gov/Session/Bill/2015/0466" TargetMode="External"/><Relationship Id="rId18" Type="http://schemas.openxmlformats.org/officeDocument/2006/relationships/hyperlink" Target="http://www.flsenate.gov/Tracker/ManageAccount/EmailFrequenc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lsenate.gov/Session/Bill/2015/0217" TargetMode="External"/><Relationship Id="rId17" Type="http://schemas.openxmlformats.org/officeDocument/2006/relationships/hyperlink" Target="http://www.flsenate.gov/Tracker/ManageAccount/EmailFrequency" TargetMode="External"/><Relationship Id="rId2" Type="http://schemas.openxmlformats.org/officeDocument/2006/relationships/numbering" Target="numbering.xml"/><Relationship Id="rId16" Type="http://schemas.openxmlformats.org/officeDocument/2006/relationships/hyperlink" Target="http://www.flsenate.gov/Tracker/ManageAccount/EmailFrequen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senate.gov/Session/Bill/2015/0163" TargetMode="External"/><Relationship Id="rId5" Type="http://schemas.openxmlformats.org/officeDocument/2006/relationships/webSettings" Target="webSettings.xml"/><Relationship Id="rId15" Type="http://schemas.openxmlformats.org/officeDocument/2006/relationships/hyperlink" Target="http://www.flsenate.gov/Tracker/ManageAccount/EmailFrequency" TargetMode="External"/><Relationship Id="rId10" Type="http://schemas.openxmlformats.org/officeDocument/2006/relationships/hyperlink" Target="http://www.flsenate.gov/Session/Bill/2015/011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lsenate.gov/Session/Bill/2015/0087" TargetMode="External"/><Relationship Id="rId14" Type="http://schemas.openxmlformats.org/officeDocument/2006/relationships/hyperlink" Target="http://www.flsenate.gov/Session/Bill/2015/05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51E02-FA7E-48F1-BE37-20A489B2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3698</Words>
  <Characters>21081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24730</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2015-04-12T17:28:00Z</dcterms:created>
  <dcterms:modified xsi:type="dcterms:W3CDTF">2015-04-12T20:27:00Z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