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lockText"/>
        <w:jc w:val="center"/>
        <w:rPr>
          <w:b/>
          <w:sz w:val="28"/>
          <w:szCs w:val="28"/>
        </w:rPr>
      </w:pPr>
      <w:r>
        <w:rPr>
          <w:b/>
          <w:sz w:val="28"/>
          <w:szCs w:val="28"/>
        </w:rPr>
        <w:t>The Florida Bar: Real Property, Probate and Trust Law Section</w:t>
      </w:r>
    </w:p>
    <w:p>
      <w:pPr>
        <w:pStyle w:val="BlockText"/>
        <w:jc w:val="center"/>
        <w:rPr>
          <w:b/>
          <w:sz w:val="28"/>
          <w:szCs w:val="28"/>
        </w:rPr>
      </w:pPr>
      <w:r>
        <w:rPr>
          <w:b/>
          <w:sz w:val="28"/>
          <w:szCs w:val="28"/>
        </w:rPr>
        <w:t>Construction Law Committee</w:t>
      </w:r>
    </w:p>
    <w:p>
      <w:pPr>
        <w:pStyle w:val="BlockText"/>
        <w:jc w:val="center"/>
        <w:rPr>
          <w:b/>
        </w:rPr>
      </w:pPr>
    </w:p>
    <w:p>
      <w:pPr>
        <w:pStyle w:val="BlockText"/>
        <w:jc w:val="center"/>
        <w:rPr>
          <w:b/>
          <w:i/>
          <w:sz w:val="28"/>
          <w:szCs w:val="28"/>
          <w:u w:val="single"/>
        </w:rPr>
      </w:pPr>
      <w:r>
        <w:rPr>
          <w:b/>
          <w:i/>
          <w:sz w:val="28"/>
          <w:szCs w:val="28"/>
          <w:u w:val="single"/>
        </w:rPr>
        <w:t>Construction Regulation Subcommittee Monthly Report</w:t>
      </w:r>
    </w:p>
    <w:p>
      <w:pPr>
        <w:pStyle w:val="BlockText"/>
        <w:jc w:val="center"/>
      </w:pPr>
      <w:r>
        <w:t>Month of March 2015</w:t>
      </w:r>
    </w:p>
    <w:p>
      <w:pPr>
        <w:pStyle w:val="BlockText"/>
        <w:rPr>
          <w:b/>
          <w:u w:val="single"/>
        </w:rPr>
      </w:pPr>
    </w:p>
    <w:p>
      <w:pPr>
        <w:pStyle w:val="BlockText"/>
        <w:rPr>
          <w:b/>
          <w:u w:val="single"/>
        </w:rPr>
      </w:pPr>
    </w:p>
    <w:p>
      <w:pPr>
        <w:pStyle w:val="BlockText"/>
        <w:rPr>
          <w:b/>
          <w:u w:val="single"/>
        </w:rPr>
      </w:pPr>
      <w:r>
        <w:rPr>
          <w:b/>
          <w:u w:val="single"/>
        </w:rPr>
        <w:t>State and Federal Appellate Decisions:</w:t>
      </w:r>
    </w:p>
    <w:p>
      <w:pPr>
        <w:pStyle w:val="BlockText"/>
        <w:rPr>
          <w:b/>
          <w:u w:val="single"/>
        </w:rPr>
      </w:pPr>
    </w:p>
    <w:p>
      <w:pPr>
        <w:jc w:val="both"/>
      </w:pPr>
      <w:r>
        <w:rPr>
          <w:lang w:val="en-CA"/>
        </w:rPr>
        <w:fldChar w:fldCharType="begin"/>
      </w:r>
      <w:r>
        <w:rPr>
          <w:lang w:val="en-CA"/>
        </w:rPr>
        <w:instrText xml:space="preserve"> SEQ CHAPTER \h \r 1</w:instrText>
      </w:r>
      <w:r>
        <w:rPr>
          <w:lang w:val="en-CA"/>
        </w:rPr>
        <w:fldChar w:fldCharType="end"/>
      </w:r>
      <w:r>
        <w:rPr>
          <w:u w:val="single"/>
        </w:rPr>
        <w:t>Summit Contractors, Inc. v. Crum &amp; Forster Specialty Insurance Company</w:t>
      </w:r>
      <w:r>
        <w:t>, 2015 WL 628761 (United States District Court, M.D. Tampa Division February 12, 2015).This trial court order determines whether an insured or the insurer has priority to funds recovered from subcontractors as reimbursement for damages paid to others.  Summit Contractors, Inc., the insured contractor, was sued for construction defects on three projects in the Orlando area.  Summit asserted indemnity and other claims against its subcontractors.</w:t>
      </w:r>
    </w:p>
    <w:p>
      <w:pPr>
        <w:jc w:val="both"/>
      </w:pPr>
    </w:p>
    <w:p>
      <w:pPr>
        <w:jc w:val="both"/>
      </w:pPr>
      <w:r>
        <w:t>Both Summit and its insurer, Crum &amp; Forster, contributed money toward settling the three claims.  Summit contributed its self-insured retention (similar to a deductible); Crum &amp; Forster contributed its own funds and funds it received from the subcontractors.  Thereafter, Summit filed a declaratory judgment action seeking to recover the subcontractor payments to the extent necessary to recover the amount it paid under its self-insured retention.</w:t>
      </w:r>
    </w:p>
    <w:p>
      <w:pPr>
        <w:jc w:val="both"/>
      </w:pPr>
    </w:p>
    <w:p>
      <w:pPr>
        <w:jc w:val="both"/>
      </w:pPr>
      <w:r>
        <w:t>Summit invoked the “made-whole” doctrine which, in the right context, would give Summit priority to the subcontractor funds.  The made-whole doctrine “provides that where both the insurer and the insured simultaneously attempt to recover all of their damages from a tortfeasor who cannot pay the full value of damages, the insured has priority of recovery over the insurer.”</w:t>
      </w:r>
    </w:p>
    <w:p>
      <w:pPr>
        <w:jc w:val="both"/>
      </w:pPr>
    </w:p>
    <w:p>
      <w:pPr>
        <w:jc w:val="both"/>
      </w:pPr>
      <w:r>
        <w:t xml:space="preserve">However, the district court entered summary judgment in favor of the insurer.  The made-whole doctrine cannot be used offensively by an insured to recover subcontractor funds from an insurer; it is usually used defensively by an insured who has recovered subcontractor funds to prevent the insurer from taking those funds.  Also, Summit failed to provide evidence that it could not recover additional funds from the subcontractors to be made whole, and the language of the insurance policy supported the insurer over the insured.  </w:t>
      </w:r>
    </w:p>
    <w:p>
      <w:pPr>
        <w:jc w:val="both"/>
      </w:pPr>
    </w:p>
    <w:p>
      <w:pPr>
        <w:jc w:val="both"/>
      </w:pPr>
    </w:p>
    <w:p>
      <w:pPr>
        <w:jc w:val="both"/>
      </w:pPr>
      <w:r>
        <w:rPr>
          <w:u w:val="single"/>
        </w:rPr>
        <w:t>CDC Builders, Inc., v. Biltmore-Sevilla Debt Investors, LLC</w:t>
      </w:r>
      <w:r>
        <w:t>, 151 So. 3d 479 (Fla. 3d DCA 2014).</w:t>
      </w:r>
    </w:p>
    <w:p>
      <w:pPr>
        <w:jc w:val="both"/>
      </w:pPr>
    </w:p>
    <w:p>
      <w:pPr>
        <w:jc w:val="both"/>
      </w:pPr>
      <w:r>
        <w:t>“Investors cannot grant mortgages, contract for the improvement of the property mortgaged, and then use a network of companies to purchase and foreclose the mortgage for the purpose of extinguishing the construction liens that increased the value of the property.”  Yet that is what a developer did in this case, and almost got away with it having obtained summary judgment in its favor at the trial court.</w:t>
      </w:r>
    </w:p>
    <w:p>
      <w:pPr>
        <w:jc w:val="both"/>
      </w:pPr>
    </w:p>
    <w:p>
      <w:pPr>
        <w:jc w:val="both"/>
      </w:pPr>
      <w:r>
        <w:t xml:space="preserve">Brian McBride, an attorney, formed a development company to construct luxury residences in south Florida.  He failed to pay his contractor for the last eight residences, and the contractor filed claims of lien.  McBride then formed Biltmore-Sevilla to purchase the loans and mortgages he obtained through his development company and foreclosed on the properties and the contractor.  The trial </w:t>
      </w:r>
      <w:r>
        <w:lastRenderedPageBreak/>
        <w:t xml:space="preserve">court granted summary judgment to McBride, and the appeals court reversed on the basis there was sufficient record evidence to create an issue of fact.  The rule cited above is based on case law and the Restatement (Third) of Property (Mortgages), section 6.4. </w:t>
      </w:r>
    </w:p>
    <w:p/>
    <w:p>
      <w:pPr>
        <w:pStyle w:val="BlockText"/>
      </w:pPr>
      <w:r>
        <w:rPr>
          <w:b/>
          <w:u w:val="single"/>
        </w:rPr>
        <w:t>DOAH Orders:</w:t>
      </w:r>
      <w:r>
        <w:t xml:space="preserve"> </w:t>
      </w:r>
    </w:p>
    <w:p>
      <w:pPr>
        <w:pStyle w:val="BlockText"/>
      </w:pPr>
    </w:p>
    <w:p>
      <w:pPr>
        <w:pStyle w:val="BlockText"/>
      </w:pPr>
      <w:r>
        <w:t>None to report this month.</w:t>
      </w:r>
    </w:p>
    <w:p>
      <w:pPr>
        <w:pStyle w:val="BlockText"/>
      </w:pPr>
    </w:p>
    <w:p>
      <w:pPr>
        <w:pStyle w:val="BlockText"/>
        <w:rPr>
          <w:b/>
          <w:u w:val="single"/>
        </w:rPr>
      </w:pPr>
      <w:r>
        <w:rPr>
          <w:b/>
          <w:u w:val="single"/>
        </w:rPr>
        <w:t>AGENCY REGULATIONS:</w:t>
      </w:r>
    </w:p>
    <w:p>
      <w:pPr>
        <w:pStyle w:val="BlockText"/>
      </w:pPr>
      <w:r>
        <w:tab/>
      </w:r>
    </w:p>
    <w:p>
      <w:pPr>
        <w:pStyle w:val="BlockText"/>
      </w:pPr>
      <w:r>
        <w:rPr>
          <w:b/>
        </w:rPr>
        <w:t>A.</w:t>
      </w:r>
      <w:r>
        <w:t xml:space="preserve"> </w:t>
      </w:r>
      <w:r>
        <w:rPr>
          <w:b/>
        </w:rPr>
        <w:t>Department of Business and Professional Regulation.</w:t>
      </w:r>
    </w:p>
    <w:p>
      <w:pPr>
        <w:pStyle w:val="BlockText"/>
        <w:ind w:left="720"/>
      </w:pPr>
    </w:p>
    <w:p>
      <w:pPr>
        <w:pStyle w:val="BlockText"/>
        <w:numPr>
          <w:ilvl w:val="0"/>
          <w:numId w:val="11"/>
        </w:numPr>
        <w:rPr>
          <w:b/>
        </w:rPr>
      </w:pPr>
      <w:r>
        <w:rPr>
          <w:u w:val="single"/>
        </w:rPr>
        <w:t>Construction Industry Licensing Board</w:t>
      </w:r>
      <w:r>
        <w:t xml:space="preserve"> – Chapter 489, Part I, FS and Chapter 61G4 FAC: </w:t>
      </w:r>
    </w:p>
    <w:p>
      <w:pPr>
        <w:pStyle w:val="BlockText"/>
        <w:ind w:left="1080"/>
        <w:rPr>
          <w:b/>
        </w:rPr>
      </w:pPr>
    </w:p>
    <w:p>
      <w:pPr>
        <w:pStyle w:val="BlockText"/>
        <w:numPr>
          <w:ilvl w:val="0"/>
          <w:numId w:val="18"/>
        </w:numPr>
        <w:rPr>
          <w:b/>
        </w:rPr>
      </w:pPr>
      <w:r>
        <w:t>This board has proposed adopted, repealed or amended the following rules (if any):</w:t>
      </w:r>
    </w:p>
    <w:p>
      <w:pPr>
        <w:pStyle w:val="BlockText"/>
        <w:ind w:left="1800"/>
      </w:pPr>
    </w:p>
    <w:p>
      <w:pPr>
        <w:pStyle w:val="BlockText"/>
        <w:numPr>
          <w:ilvl w:val="2"/>
          <w:numId w:val="18"/>
        </w:numPr>
        <w:ind w:left="2160"/>
        <w:rPr>
          <w:b/>
        </w:rPr>
      </w:pPr>
      <w:r>
        <w:rPr>
          <w:b/>
        </w:rPr>
        <w:t>Rule 61G4-16.0021</w:t>
      </w:r>
      <w:r>
        <w:t xml:space="preserve"> is being amended to clarify that a written OR practical examination is required for Swimming Pool Specialty Contractors; final corrections were approved at the board’s February meeting.</w:t>
      </w:r>
    </w:p>
    <w:p>
      <w:pPr>
        <w:pStyle w:val="BlockText"/>
        <w:ind w:left="2520"/>
      </w:pPr>
    </w:p>
    <w:p>
      <w:pPr>
        <w:pStyle w:val="BlockText"/>
        <w:numPr>
          <w:ilvl w:val="2"/>
          <w:numId w:val="18"/>
        </w:numPr>
        <w:ind w:left="2160"/>
        <w:rPr>
          <w:b/>
        </w:rPr>
      </w:pPr>
      <w:r>
        <w:rPr>
          <w:b/>
        </w:rPr>
        <w:t>Rule 61G4-17.001</w:t>
      </w:r>
      <w:r>
        <w:t xml:space="preserve"> proposed amendments regarding both minimum and maximum disciplinary guidelines have been changed and approved at the board’s February meeting.</w:t>
      </w:r>
    </w:p>
    <w:p>
      <w:pPr>
        <w:pStyle w:val="ListParagraph"/>
      </w:pPr>
    </w:p>
    <w:p>
      <w:pPr>
        <w:pStyle w:val="BlockText"/>
        <w:numPr>
          <w:ilvl w:val="2"/>
          <w:numId w:val="18"/>
        </w:numPr>
        <w:ind w:left="2160"/>
      </w:pPr>
      <w:r>
        <w:rPr>
          <w:b/>
        </w:rPr>
        <w:t>Rule 61G4-15.001(1)</w:t>
      </w:r>
      <w:r>
        <w:t xml:space="preserve"> proposed amendments to clarify that work experience must be on “habitable” structures and “ground up construction were approved for publication at the board’s February meeting (after a lengthy discussion about the risks of opening up this rule).</w:t>
      </w:r>
    </w:p>
    <w:p>
      <w:pPr>
        <w:pStyle w:val="BlockText"/>
        <w:ind w:left="2520"/>
      </w:pPr>
      <w:r>
        <w:t xml:space="preserve"> </w:t>
      </w:r>
    </w:p>
    <w:p>
      <w:pPr>
        <w:pStyle w:val="BlockText"/>
        <w:numPr>
          <w:ilvl w:val="0"/>
          <w:numId w:val="18"/>
        </w:numPr>
        <w:rPr>
          <w:b/>
        </w:rPr>
      </w:pPr>
      <w:r>
        <w:t xml:space="preserve">This board has received the following Petitions for Declaratory Statement (if any): </w:t>
      </w:r>
    </w:p>
    <w:p>
      <w:pPr>
        <w:pStyle w:val="BlockText"/>
        <w:ind w:left="1800"/>
        <w:rPr>
          <w:b/>
        </w:rPr>
      </w:pPr>
    </w:p>
    <w:p>
      <w:pPr>
        <w:pStyle w:val="BlockText"/>
        <w:numPr>
          <w:ilvl w:val="2"/>
          <w:numId w:val="18"/>
        </w:numPr>
        <w:ind w:left="2340"/>
        <w:rPr>
          <w:b/>
        </w:rPr>
      </w:pPr>
      <w:r>
        <w:rPr>
          <w:b/>
        </w:rPr>
        <w:t>James R. Johannsson –</w:t>
      </w:r>
      <w:r>
        <w:t xml:space="preserve"> Petition received on February 6, 2015, seeks a determination of whether a contract for electrical or low voltage work can be awarded to a general contractor, provided the general contractors subcontracts the work to an appropriately licensed electrical or low voltage subcontractor.</w:t>
      </w:r>
    </w:p>
    <w:p>
      <w:pPr>
        <w:pStyle w:val="BlockText"/>
        <w:ind w:left="3240"/>
        <w:rPr>
          <w:b/>
        </w:rPr>
      </w:pPr>
    </w:p>
    <w:p>
      <w:pPr>
        <w:pStyle w:val="BlockText"/>
        <w:numPr>
          <w:ilvl w:val="2"/>
          <w:numId w:val="18"/>
        </w:numPr>
        <w:ind w:left="2340"/>
        <w:rPr>
          <w:b/>
        </w:rPr>
      </w:pPr>
      <w:r>
        <w:rPr>
          <w:b/>
        </w:rPr>
        <w:t>John Fitch –</w:t>
      </w:r>
      <w:r>
        <w:t xml:space="preserve"> Petition filed on February 24, 2015, seeks a determination of whether a general contractor can apply a “non-hot tar” system as a roofing material on new construction built by the general contractor who is not also a licensed roofer. The petition describes the product as a self-adhered poly-glass system.</w:t>
      </w:r>
    </w:p>
    <w:p>
      <w:pPr>
        <w:pStyle w:val="BlockText"/>
        <w:ind w:left="1800"/>
        <w:rPr>
          <w:b/>
        </w:rPr>
      </w:pPr>
    </w:p>
    <w:p>
      <w:pPr>
        <w:pStyle w:val="BlockText"/>
        <w:numPr>
          <w:ilvl w:val="0"/>
          <w:numId w:val="18"/>
        </w:numPr>
        <w:rPr>
          <w:b/>
        </w:rPr>
      </w:pPr>
      <w:r>
        <w:t>The board has disposed of the following Petitions for Declaratory Statement (if any):</w:t>
      </w:r>
    </w:p>
    <w:p>
      <w:pPr>
        <w:pStyle w:val="BlockText"/>
        <w:ind w:left="1800"/>
        <w:rPr>
          <w:b/>
        </w:rPr>
      </w:pPr>
    </w:p>
    <w:p>
      <w:pPr>
        <w:pStyle w:val="BlockText"/>
        <w:numPr>
          <w:ilvl w:val="2"/>
          <w:numId w:val="18"/>
        </w:numPr>
        <w:ind w:left="2340"/>
        <w:rPr>
          <w:b/>
        </w:rPr>
      </w:pPr>
      <w:r>
        <w:rPr>
          <w:b/>
        </w:rPr>
        <w:t>Diversified Conveyors, Inc. #DS2014-144</w:t>
      </w:r>
      <w:r>
        <w:t xml:space="preserve"> – Petition filed on October 27, 2014, seeking application of the licensure exemption of section 489.103(6) for the installation of conveyor systems for baggage handling and package handling. The petitioner was not present at the board’s January meeting, but the board’s order, entered on February 11, 2015, found “no standing,” based on the vagueness of the petition.</w:t>
      </w:r>
    </w:p>
    <w:p>
      <w:pPr>
        <w:pStyle w:val="ListParagraph"/>
        <w:rPr>
          <w:b/>
        </w:rPr>
      </w:pPr>
    </w:p>
    <w:p>
      <w:pPr>
        <w:pStyle w:val="BlockText"/>
        <w:numPr>
          <w:ilvl w:val="2"/>
          <w:numId w:val="18"/>
        </w:numPr>
        <w:ind w:left="2340"/>
        <w:rPr>
          <w:b/>
        </w:rPr>
      </w:pPr>
      <w:r>
        <w:rPr>
          <w:b/>
        </w:rPr>
        <w:t xml:space="preserve">Steel Fabricators, LLC #DS2014-154 </w:t>
      </w:r>
      <w:r>
        <w:t>- Petition filed on December 8, 2014, seeking a determination of licensure requirements in order to perform structural steel and architecturally exposed structural steel “work.” At the board’s January hearing on this petition, at which the petitioner was present, it was disclosed that there was pending litigation on the subject matter of the petition, so it was denied. The board’s order was filed on February 11, 2015.</w:t>
      </w:r>
    </w:p>
    <w:p>
      <w:pPr>
        <w:pStyle w:val="ListParagraph"/>
        <w:rPr>
          <w:b/>
        </w:rPr>
      </w:pPr>
    </w:p>
    <w:p>
      <w:pPr>
        <w:pStyle w:val="BlockText"/>
        <w:numPr>
          <w:ilvl w:val="2"/>
          <w:numId w:val="18"/>
        </w:numPr>
        <w:ind w:left="2340"/>
        <w:rPr>
          <w:b/>
        </w:rPr>
      </w:pPr>
      <w:r>
        <w:rPr>
          <w:b/>
        </w:rPr>
        <w:t xml:space="preserve">Putnam County #DS2014-160 </w:t>
      </w:r>
      <w:r>
        <w:t>– Petition filed on December 18, 2014, regarding the application of Rule 61G4-15.015 to a registered specialty contractor (aluminum) serving as the primary contractor for a screened room and wooden decks. Still pending board hearing.</w:t>
      </w:r>
    </w:p>
    <w:p>
      <w:pPr>
        <w:pStyle w:val="ListParagraph"/>
        <w:rPr>
          <w:b/>
        </w:rPr>
      </w:pPr>
    </w:p>
    <w:p>
      <w:pPr>
        <w:pStyle w:val="BlockText"/>
        <w:numPr>
          <w:ilvl w:val="2"/>
          <w:numId w:val="18"/>
        </w:numPr>
        <w:ind w:left="2340"/>
        <w:rPr>
          <w:b/>
        </w:rPr>
      </w:pPr>
      <w:r>
        <w:rPr>
          <w:b/>
        </w:rPr>
        <w:t xml:space="preserve">American Tennis Courts, Inc., by Jeffrey M. Nichols </w:t>
      </w:r>
      <w:r>
        <w:t>– Petition seeking a determination of licensure requirements to construct tennis courts was withdraw after it appeared the board was leaning toward a determination that some type of license would be required as an “accessory structure,” and the board’s order allowing withdrawal was filed on February 11, 2015.</w:t>
      </w:r>
    </w:p>
    <w:p>
      <w:pPr>
        <w:pStyle w:val="ListParagraph"/>
        <w:rPr>
          <w:b/>
        </w:rPr>
      </w:pPr>
    </w:p>
    <w:p>
      <w:pPr>
        <w:pStyle w:val="BlockText"/>
        <w:numPr>
          <w:ilvl w:val="2"/>
          <w:numId w:val="18"/>
        </w:numPr>
        <w:ind w:left="2340"/>
        <w:rPr>
          <w:b/>
        </w:rPr>
      </w:pPr>
      <w:r>
        <w:rPr>
          <w:b/>
        </w:rPr>
        <w:t xml:space="preserve">Mark Biebighauser </w:t>
      </w:r>
      <w:r>
        <w:t>– Petitioner was not present and no standing was found due to the vagueness of the petition. The board’s order was filed on February 11, 2015.</w:t>
      </w:r>
    </w:p>
    <w:p>
      <w:pPr>
        <w:pStyle w:val="ListParagraph"/>
        <w:rPr>
          <w:b/>
        </w:rPr>
      </w:pPr>
    </w:p>
    <w:p>
      <w:pPr>
        <w:pStyle w:val="BlockText"/>
        <w:numPr>
          <w:ilvl w:val="2"/>
          <w:numId w:val="18"/>
        </w:numPr>
        <w:ind w:left="2340"/>
        <w:rPr>
          <w:b/>
        </w:rPr>
      </w:pPr>
      <w:r>
        <w:rPr>
          <w:b/>
        </w:rPr>
        <w:t xml:space="preserve">Broward County Board of Rules &amp; Appeals </w:t>
      </w:r>
      <w:r>
        <w:t xml:space="preserve">– Petitioner was granted standing on the issue of whether an a mechanical or air conditioner contractor “A” or “B” is allowed to install, remove or replace wiring used to shut down the system by duct detectors in systems that are controlled by a Fire Control Panel. The board’s order, filed on February 11, 2015, answered the petition in the affirmative. </w:t>
      </w:r>
    </w:p>
    <w:p>
      <w:pPr>
        <w:pStyle w:val="ListParagraph"/>
        <w:rPr>
          <w:b/>
        </w:rPr>
      </w:pPr>
    </w:p>
    <w:p>
      <w:pPr>
        <w:pStyle w:val="BlockText"/>
        <w:numPr>
          <w:ilvl w:val="2"/>
          <w:numId w:val="18"/>
        </w:numPr>
        <w:ind w:left="2340"/>
        <w:rPr>
          <w:b/>
        </w:rPr>
      </w:pPr>
      <w:r>
        <w:rPr>
          <w:b/>
        </w:rPr>
        <w:t>David J. Brogdon/Pro/Max Construction, LLC –</w:t>
      </w:r>
      <w:r>
        <w:t xml:space="preserve"> Petition, filed on Mary 20, 2014, sought a determination of whether a general contractor can shingle the roof of an addition to a house that the general contractor did not originally build. By order entered on February 11, 2015, the board declined to answer.</w:t>
      </w:r>
    </w:p>
    <w:p>
      <w:pPr>
        <w:pStyle w:val="ListParagraph"/>
        <w:rPr>
          <w:b/>
        </w:rPr>
      </w:pPr>
    </w:p>
    <w:p>
      <w:pPr>
        <w:pStyle w:val="BlockText"/>
        <w:numPr>
          <w:ilvl w:val="2"/>
          <w:numId w:val="18"/>
        </w:numPr>
        <w:ind w:left="2340"/>
        <w:rPr>
          <w:b/>
        </w:rPr>
      </w:pPr>
      <w:r>
        <w:rPr>
          <w:b/>
        </w:rPr>
        <w:t>Robert McCandless –</w:t>
      </w:r>
      <w:r>
        <w:t xml:space="preserve"> Petition, filed on June 10, 2014, sought a determination as to whether section 489.105(n) prohibits an underground utility and excavation contractor from continuing beyond the property line, and, if so, if a plumbing contractor was necessary to do so. The board’s </w:t>
      </w:r>
      <w:r>
        <w:lastRenderedPageBreak/>
        <w:t>order, filed on February 11, 2015, states that either a UUE or plumbing contractor can complete the scope of work beyond the property line, up to 5 feet from the building or the second meter, whichever is furthest from the property line.</w:t>
      </w:r>
    </w:p>
    <w:p>
      <w:pPr>
        <w:pStyle w:val="ListParagraph"/>
        <w:rPr>
          <w:b/>
        </w:rPr>
      </w:pPr>
    </w:p>
    <w:p>
      <w:pPr>
        <w:pStyle w:val="BlockText"/>
        <w:numPr>
          <w:ilvl w:val="2"/>
          <w:numId w:val="18"/>
        </w:numPr>
        <w:ind w:left="2340"/>
        <w:rPr>
          <w:b/>
        </w:rPr>
      </w:pPr>
      <w:r>
        <w:rPr>
          <w:b/>
        </w:rPr>
        <w:t>James R. Adams</w:t>
      </w:r>
      <w:r>
        <w:rPr>
          <w:b/>
        </w:rPr>
        <w:tab/>
      </w:r>
      <w:r>
        <w:t>- Petition, filed on September 30, 2014, sought a determination of whether a license was required to clean dryer vents in the manner described, and the board’s order, filed on January 30, 2015, found that no mechanical or other license is required if there is no disassembly of the dryer exhaust system.</w:t>
      </w:r>
    </w:p>
    <w:p>
      <w:pPr>
        <w:pStyle w:val="ListParagraph"/>
        <w:rPr>
          <w:b/>
        </w:rPr>
      </w:pPr>
    </w:p>
    <w:p>
      <w:pPr>
        <w:pStyle w:val="BlockText"/>
        <w:numPr>
          <w:ilvl w:val="2"/>
          <w:numId w:val="18"/>
        </w:numPr>
        <w:ind w:left="2340"/>
        <w:rPr>
          <w:b/>
        </w:rPr>
      </w:pPr>
      <w:r>
        <w:rPr>
          <w:b/>
        </w:rPr>
        <w:t xml:space="preserve">James Becker – </w:t>
      </w:r>
      <w:r>
        <w:t>Petition, filed on October 6, 2014, sought a determination of licensure type, but by order filed January 30, 2015, was denied for vagueness.</w:t>
      </w:r>
    </w:p>
    <w:p>
      <w:pPr>
        <w:pStyle w:val="BlockText"/>
        <w:rPr>
          <w:b/>
        </w:rPr>
      </w:pPr>
    </w:p>
    <w:p>
      <w:pPr>
        <w:pStyle w:val="BlockText"/>
        <w:numPr>
          <w:ilvl w:val="0"/>
          <w:numId w:val="18"/>
        </w:numPr>
      </w:pPr>
      <w:r>
        <w:t>This board has received or disposed of the following Petitions for Variance or Waiver (if any):</w:t>
      </w:r>
    </w:p>
    <w:p>
      <w:pPr>
        <w:pStyle w:val="BlockText"/>
        <w:ind w:left="1800"/>
      </w:pPr>
    </w:p>
    <w:p>
      <w:pPr>
        <w:pStyle w:val="BlockText"/>
        <w:numPr>
          <w:ilvl w:val="2"/>
          <w:numId w:val="18"/>
        </w:numPr>
        <w:ind w:left="2340"/>
      </w:pPr>
      <w:r>
        <w:rPr>
          <w:b/>
        </w:rPr>
        <w:t>Richard A. Vannucci</w:t>
      </w:r>
      <w:r>
        <w:t xml:space="preserve"> – filed on August 27, 2014, seeks a waiver from the financial responsibility requirements of Rule 61G4-15.006 so that he will not be required to obtain an Irrevocable Letter of Credit (or License Bond?). The board’s order, filed on January 30, 2015, denied the petition for failure to demonstrate how the purpose of the underlying statute would be achieved, and failure to show how the rule would create a substantial hardship or violate principles of fairness.</w:t>
      </w:r>
    </w:p>
    <w:p>
      <w:pPr>
        <w:pStyle w:val="BlockText"/>
        <w:ind w:left="3240"/>
      </w:pPr>
    </w:p>
    <w:p>
      <w:pPr>
        <w:pStyle w:val="BlockText"/>
        <w:numPr>
          <w:ilvl w:val="2"/>
          <w:numId w:val="18"/>
        </w:numPr>
        <w:ind w:left="2340"/>
      </w:pPr>
      <w:r>
        <w:rPr>
          <w:b/>
        </w:rPr>
        <w:t>Troy Rush</w:t>
      </w:r>
      <w:r>
        <w:t xml:space="preserve"> – filed on September 29, 2014, seeks a waiver from the rule requiring that he take the CGC Business/Finance and Contract Administration exam. The board’s order, filed on January 3r0, 2015, denied the petition.</w:t>
      </w:r>
    </w:p>
    <w:p>
      <w:pPr>
        <w:pStyle w:val="ListParagraph"/>
      </w:pPr>
    </w:p>
    <w:p>
      <w:pPr>
        <w:pStyle w:val="BlockText"/>
        <w:numPr>
          <w:ilvl w:val="2"/>
          <w:numId w:val="18"/>
        </w:numPr>
        <w:ind w:left="2340"/>
      </w:pPr>
      <w:r>
        <w:rPr>
          <w:b/>
        </w:rPr>
        <w:t>Ronald Clark</w:t>
      </w:r>
      <w:r>
        <w:t xml:space="preserve"> – filed on February 6, 2015, seeks a waiver of the requirements of Rule 61G4-16.005 that a passing grade will be valid for only a period of four (4) years.</w:t>
      </w:r>
    </w:p>
    <w:p>
      <w:pPr>
        <w:pStyle w:val="BlockText"/>
        <w:rPr>
          <w:b/>
        </w:rPr>
      </w:pPr>
    </w:p>
    <w:p>
      <w:pPr>
        <w:pStyle w:val="BlockText"/>
        <w:numPr>
          <w:ilvl w:val="0"/>
          <w:numId w:val="11"/>
        </w:numPr>
      </w:pPr>
      <w:r>
        <w:rPr>
          <w:u w:val="single"/>
        </w:rPr>
        <w:t>Electrical Contracting Licensing Board</w:t>
      </w:r>
      <w:r>
        <w:t xml:space="preserve"> (includes both electricians and alarm contractors) – Chapter 489, Part II, FS and 61G6, FAC: </w:t>
      </w:r>
    </w:p>
    <w:p>
      <w:pPr>
        <w:pStyle w:val="BlockText"/>
        <w:ind w:left="1080"/>
      </w:pPr>
    </w:p>
    <w:p>
      <w:pPr>
        <w:pStyle w:val="BlockText"/>
        <w:ind w:left="2160" w:hanging="720"/>
      </w:pPr>
      <w:r>
        <w:t>a. This board has proposed adopted, repealed or amended the following rules (if any): None to report.</w:t>
      </w:r>
    </w:p>
    <w:p>
      <w:pPr>
        <w:pStyle w:val="BlockText"/>
        <w:ind w:left="2520"/>
      </w:pPr>
    </w:p>
    <w:p>
      <w:pPr>
        <w:pStyle w:val="BlockText"/>
        <w:numPr>
          <w:ilvl w:val="1"/>
          <w:numId w:val="18"/>
        </w:numPr>
        <w:ind w:left="1800"/>
      </w:pPr>
      <w:r>
        <w:t xml:space="preserve">This board has received or disposed of the following Petitions for Declaratory Statement (if any): </w:t>
      </w:r>
      <w:r>
        <w:rPr>
          <w:b/>
        </w:rPr>
        <w:t>Stephen W. Cassell/Nex-Gen Fiber Services, Inc.</w:t>
      </w:r>
      <w:r>
        <w:t xml:space="preserve"> – Petition filed seeking a determination of the applicability of section 489.503(14), as to whether petitioner would need to be licensed to perform telecommunication and/or fiber optic work, and, if so, what type of license would be required. </w:t>
      </w:r>
    </w:p>
    <w:p>
      <w:pPr>
        <w:pStyle w:val="BlockText"/>
      </w:pPr>
    </w:p>
    <w:p>
      <w:pPr>
        <w:pStyle w:val="BlockText"/>
        <w:numPr>
          <w:ilvl w:val="1"/>
          <w:numId w:val="18"/>
        </w:numPr>
        <w:tabs>
          <w:tab w:val="left" w:pos="2430"/>
        </w:tabs>
        <w:ind w:left="1800"/>
      </w:pPr>
      <w:r>
        <w:lastRenderedPageBreak/>
        <w:t xml:space="preserve">This board has received or disposed of the following Petitions for Variance or Waiver (if any): </w:t>
      </w:r>
      <w:r>
        <w:rPr>
          <w:b/>
        </w:rPr>
        <w:t>Virgil D. Dougherty</w:t>
      </w:r>
      <w:r>
        <w:t>- Petition does not specify a rule but appears to be seeking a waiver from Rule 61G6-6.017, which requires a passing exam score on any part of the exam is valid only for a period of two (2) years from date of the examination.</w:t>
      </w:r>
    </w:p>
    <w:p>
      <w:pPr>
        <w:pStyle w:val="BlockText"/>
      </w:pPr>
    </w:p>
    <w:p>
      <w:pPr>
        <w:pStyle w:val="BlockText"/>
        <w:numPr>
          <w:ilvl w:val="0"/>
          <w:numId w:val="11"/>
        </w:numPr>
      </w:pPr>
      <w:r>
        <w:rPr>
          <w:u w:val="single"/>
        </w:rPr>
        <w:t>Board of Architecture and Interior Design</w:t>
      </w:r>
      <w:r>
        <w:t xml:space="preserve"> – Chapter 481, Part I, FS and 61G1 FAC: </w:t>
      </w:r>
    </w:p>
    <w:p>
      <w:pPr>
        <w:pStyle w:val="BlockText"/>
        <w:ind w:left="1080"/>
      </w:pPr>
    </w:p>
    <w:p>
      <w:pPr>
        <w:pStyle w:val="BlockText"/>
        <w:numPr>
          <w:ilvl w:val="0"/>
          <w:numId w:val="19"/>
        </w:numPr>
      </w:pPr>
      <w:r>
        <w:t xml:space="preserve">This board has proposed, adopted, repealed or amended the following rules (if any): None noticed. </w:t>
      </w:r>
    </w:p>
    <w:p>
      <w:pPr>
        <w:pStyle w:val="BlockText"/>
        <w:ind w:left="1800"/>
      </w:pPr>
    </w:p>
    <w:p>
      <w:pPr>
        <w:pStyle w:val="BlockText"/>
        <w:numPr>
          <w:ilvl w:val="0"/>
          <w:numId w:val="19"/>
        </w:numPr>
      </w:pPr>
      <w:r>
        <w:t>This board has received or disposed of the following Petitions for Declaratory Statement (if any): None noticed.</w:t>
      </w:r>
    </w:p>
    <w:p>
      <w:pPr>
        <w:pStyle w:val="ListParagraph"/>
      </w:pPr>
    </w:p>
    <w:p>
      <w:pPr>
        <w:pStyle w:val="BlockText"/>
        <w:numPr>
          <w:ilvl w:val="0"/>
          <w:numId w:val="19"/>
        </w:numPr>
      </w:pPr>
      <w:r>
        <w:t>This board has received or disposed of the following Petitions for Variance or Waiver (if any): None noticed.</w:t>
      </w:r>
    </w:p>
    <w:p>
      <w:pPr>
        <w:pStyle w:val="BlockText"/>
      </w:pPr>
    </w:p>
    <w:p>
      <w:pPr>
        <w:pStyle w:val="BlockText"/>
        <w:numPr>
          <w:ilvl w:val="0"/>
          <w:numId w:val="11"/>
        </w:numPr>
      </w:pPr>
      <w:r>
        <w:rPr>
          <w:u w:val="single"/>
        </w:rPr>
        <w:t>Board of Landscape Architecture</w:t>
      </w:r>
      <w:r>
        <w:t xml:space="preserve"> – Chapter 481, Part II, FS and 61G10 FAC: </w:t>
      </w:r>
    </w:p>
    <w:p>
      <w:pPr>
        <w:pStyle w:val="BlockText"/>
        <w:ind w:left="1080"/>
      </w:pPr>
    </w:p>
    <w:p>
      <w:pPr>
        <w:pStyle w:val="BlockText"/>
        <w:numPr>
          <w:ilvl w:val="1"/>
          <w:numId w:val="19"/>
        </w:numPr>
        <w:tabs>
          <w:tab w:val="left" w:pos="1440"/>
        </w:tabs>
        <w:ind w:left="1890"/>
      </w:pPr>
      <w:r>
        <w:t>This board has proposed, adopted, repealed or amended the following rules (both of which appear to be still pending):</w:t>
      </w:r>
    </w:p>
    <w:p>
      <w:pPr>
        <w:pStyle w:val="BlockText"/>
        <w:ind w:left="2520"/>
      </w:pPr>
    </w:p>
    <w:p>
      <w:pPr>
        <w:pStyle w:val="BlockText"/>
        <w:numPr>
          <w:ilvl w:val="2"/>
          <w:numId w:val="19"/>
        </w:numPr>
        <w:ind w:left="2340"/>
      </w:pPr>
      <w:r>
        <w:t xml:space="preserve">Rule 61G10-11.010 regarding seals is being amended to remove the requirement for “impression type metal seals.” </w:t>
      </w:r>
    </w:p>
    <w:p>
      <w:pPr>
        <w:pStyle w:val="BlockText"/>
        <w:ind w:left="2520"/>
      </w:pPr>
    </w:p>
    <w:p>
      <w:pPr>
        <w:pStyle w:val="BlockText"/>
        <w:numPr>
          <w:ilvl w:val="2"/>
          <w:numId w:val="19"/>
        </w:numPr>
        <w:ind w:left="2340"/>
      </w:pPr>
      <w:r>
        <w:t>Rule 61G10-18.002, .003 and .006 regarding continuing education provides and course approvals.</w:t>
      </w:r>
    </w:p>
    <w:p>
      <w:pPr>
        <w:pStyle w:val="BlockText"/>
        <w:ind w:left="2520"/>
      </w:pPr>
    </w:p>
    <w:p>
      <w:pPr>
        <w:pStyle w:val="BlockText"/>
        <w:numPr>
          <w:ilvl w:val="1"/>
          <w:numId w:val="19"/>
        </w:numPr>
        <w:ind w:left="1800"/>
      </w:pPr>
      <w:r>
        <w:t>This board has received or disposed of the following Petitions for Declaratory Statement (if any): None noticed.</w:t>
      </w:r>
    </w:p>
    <w:p>
      <w:pPr>
        <w:pStyle w:val="ListParagraph"/>
      </w:pPr>
    </w:p>
    <w:p>
      <w:pPr>
        <w:pStyle w:val="BlockText"/>
        <w:numPr>
          <w:ilvl w:val="1"/>
          <w:numId w:val="19"/>
        </w:numPr>
        <w:ind w:left="1800"/>
      </w:pPr>
      <w:r>
        <w:t>This board has received or disposed of the following Petitions for Variance or Waiver (if any): Corey G. Mathews for Florida Chapter – American Society of Landscape Architects, filed on October 22, 2014, requiring application for approval of a Continuing Education course be submitted not later than 60 days in advance of the next scheduled board hearing. By order filed on January 29, 2015, the petition was granted.</w:t>
      </w:r>
    </w:p>
    <w:p>
      <w:pPr>
        <w:pStyle w:val="BlockText"/>
        <w:ind w:left="1800"/>
      </w:pPr>
      <w:r>
        <w:rPr>
          <w:rFonts w:eastAsiaTheme="minorHAnsi"/>
          <w:b/>
          <w:iCs w:val="0"/>
        </w:rPr>
        <w:t>Editor’s Note</w:t>
      </w:r>
      <w:r>
        <w:rPr>
          <w:rFonts w:eastAsiaTheme="minorHAnsi"/>
          <w:iCs w:val="0"/>
        </w:rPr>
        <w:t>: It is not clear if the petition was granted only for the one course described in the petition, or was intended to apply to the future approval of courses (the latter of which would probably take a rule change).</w:t>
      </w:r>
    </w:p>
    <w:p>
      <w:pPr>
        <w:pStyle w:val="BlockText"/>
      </w:pPr>
    </w:p>
    <w:p>
      <w:pPr>
        <w:pStyle w:val="BlockText"/>
        <w:numPr>
          <w:ilvl w:val="0"/>
          <w:numId w:val="11"/>
        </w:numPr>
      </w:pPr>
      <w:r>
        <w:rPr>
          <w:u w:val="single"/>
        </w:rPr>
        <w:t>Board of Professional Engineers</w:t>
      </w:r>
      <w:r>
        <w:t xml:space="preserve"> – Chapter 471, FS and 61G15 FAC: </w:t>
      </w:r>
    </w:p>
    <w:p>
      <w:pPr>
        <w:pStyle w:val="BlockText"/>
      </w:pPr>
    </w:p>
    <w:p>
      <w:pPr>
        <w:pStyle w:val="BlockText"/>
        <w:numPr>
          <w:ilvl w:val="0"/>
          <w:numId w:val="20"/>
        </w:numPr>
      </w:pPr>
      <w:r>
        <w:t>This board has proposed adopted, repealed or amended the following rules (if any): None noticed.</w:t>
      </w:r>
    </w:p>
    <w:p>
      <w:pPr>
        <w:pStyle w:val="BlockText"/>
        <w:ind w:left="1800"/>
      </w:pPr>
    </w:p>
    <w:p>
      <w:pPr>
        <w:pStyle w:val="BlockText"/>
        <w:numPr>
          <w:ilvl w:val="0"/>
          <w:numId w:val="20"/>
        </w:numPr>
      </w:pPr>
      <w:r>
        <w:t>This board has received or disposed of the following Petitions for Declaratory Statement (if any): None noticed.</w:t>
      </w:r>
    </w:p>
    <w:p>
      <w:pPr>
        <w:pStyle w:val="BlockText"/>
        <w:ind w:left="1800"/>
      </w:pPr>
    </w:p>
    <w:p>
      <w:pPr>
        <w:pStyle w:val="BlockText"/>
        <w:numPr>
          <w:ilvl w:val="0"/>
          <w:numId w:val="20"/>
        </w:numPr>
      </w:pPr>
      <w:r>
        <w:t xml:space="preserve">This board has received or disposed of the following Petitions for Variance or Waiver (if any): </w:t>
      </w:r>
      <w:r>
        <w:rPr>
          <w:b/>
        </w:rPr>
        <w:t>Marco Petretta</w:t>
      </w:r>
      <w:r>
        <w:t>– Petition filed on January 7, 2015, which appears to regard the application of Rule 61G15-20.0015 with respect to the licensing by endorsement requirements that an applicant has held a valid license in another state for 15 years and has 20 years of continuous professional-level engineering experience.</w:t>
      </w:r>
    </w:p>
    <w:p>
      <w:pPr>
        <w:pStyle w:val="BlockText"/>
      </w:pPr>
    </w:p>
    <w:p>
      <w:pPr>
        <w:pStyle w:val="BlockText"/>
        <w:numPr>
          <w:ilvl w:val="0"/>
          <w:numId w:val="11"/>
        </w:numPr>
      </w:pPr>
      <w:r>
        <w:rPr>
          <w:u w:val="single"/>
        </w:rPr>
        <w:t>Building Code Administrators and Inspectors</w:t>
      </w:r>
      <w:r>
        <w:t xml:space="preserve"> Board – Chapter 468, Part XII and 61G19 FAC:</w:t>
      </w:r>
    </w:p>
    <w:p>
      <w:pPr>
        <w:pStyle w:val="BlockText"/>
        <w:ind w:left="1440"/>
      </w:pPr>
    </w:p>
    <w:p>
      <w:pPr>
        <w:pStyle w:val="BlockText"/>
        <w:numPr>
          <w:ilvl w:val="1"/>
          <w:numId w:val="20"/>
        </w:numPr>
        <w:tabs>
          <w:tab w:val="left" w:pos="1710"/>
        </w:tabs>
        <w:ind w:left="1800"/>
      </w:pPr>
      <w:r>
        <w:t>This board has proposed, adopted, repealed or amended the following rules (if any): None noticed</w:t>
      </w:r>
    </w:p>
    <w:p>
      <w:pPr>
        <w:pStyle w:val="BlockText"/>
      </w:pPr>
    </w:p>
    <w:p>
      <w:pPr>
        <w:pStyle w:val="BlockText"/>
        <w:numPr>
          <w:ilvl w:val="1"/>
          <w:numId w:val="20"/>
        </w:numPr>
        <w:ind w:left="1800"/>
      </w:pPr>
      <w:r>
        <w:t>This board has received or disposed of the following Petitions for Declaratory Statement (if any): None noticed.</w:t>
      </w:r>
    </w:p>
    <w:p>
      <w:pPr>
        <w:pStyle w:val="BlockText"/>
      </w:pPr>
    </w:p>
    <w:p>
      <w:pPr>
        <w:pStyle w:val="BlockText"/>
        <w:numPr>
          <w:ilvl w:val="1"/>
          <w:numId w:val="20"/>
        </w:numPr>
        <w:ind w:left="1800"/>
      </w:pPr>
      <w:r>
        <w:t>This board has received or disposed of the following Petitions for Variance or Waiver (if any): None noticed.</w:t>
      </w:r>
    </w:p>
    <w:p>
      <w:pPr>
        <w:pStyle w:val="BlockText"/>
      </w:pPr>
    </w:p>
    <w:p>
      <w:pPr>
        <w:pStyle w:val="BlockText"/>
        <w:numPr>
          <w:ilvl w:val="0"/>
          <w:numId w:val="11"/>
        </w:numPr>
      </w:pPr>
      <w:r>
        <w:rPr>
          <w:u w:val="single"/>
        </w:rPr>
        <w:t>Florida Building Commission</w:t>
      </w:r>
      <w:r>
        <w:rPr>
          <w:rStyle w:val="FootnoteReference"/>
          <w:u w:val="single"/>
        </w:rPr>
        <w:footnoteReference w:id="1"/>
      </w:r>
      <w:r>
        <w:t xml:space="preserve"> – Chapter 553, Part IV and Chapter 61G20, FAC): </w:t>
      </w:r>
    </w:p>
    <w:p>
      <w:pPr>
        <w:pStyle w:val="BlockText"/>
        <w:ind w:left="720"/>
        <w:rPr>
          <w:u w:val="single"/>
        </w:rPr>
      </w:pPr>
    </w:p>
    <w:p>
      <w:pPr>
        <w:pStyle w:val="BlockText"/>
        <w:ind w:left="720"/>
      </w:pPr>
      <w:r>
        <w:rPr>
          <w:b/>
          <w:u w:val="single"/>
        </w:rPr>
        <w:t>CODE NOTE</w:t>
      </w:r>
      <w:r>
        <w:rPr>
          <w:b/>
        </w:rPr>
        <w:t>: The effective date of the next Florida Building Code, which will be entitled "Florida Building Code 5</w:t>
      </w:r>
      <w:r>
        <w:rPr>
          <w:b/>
          <w:vertAlign w:val="superscript"/>
        </w:rPr>
        <w:t>th</w:t>
      </w:r>
      <w:r>
        <w:rPr>
          <w:b/>
        </w:rPr>
        <w:t xml:space="preserve"> Edition (2014)," is June 30, 2015. See</w:t>
      </w:r>
      <w:r>
        <w:t>: Rule 61G20-1.001</w:t>
      </w:r>
    </w:p>
    <w:p>
      <w:pPr>
        <w:pStyle w:val="BlockText"/>
        <w:rPr>
          <w:b/>
        </w:rPr>
      </w:pPr>
    </w:p>
    <w:p>
      <w:pPr>
        <w:pStyle w:val="BlockText"/>
        <w:numPr>
          <w:ilvl w:val="0"/>
          <w:numId w:val="21"/>
        </w:numPr>
      </w:pPr>
      <w:r>
        <w:t>This board has proposed, adopted, repealed or amended the following rules (if any): No additional rules noticed.</w:t>
      </w:r>
    </w:p>
    <w:p>
      <w:pPr>
        <w:pStyle w:val="BlockText"/>
        <w:ind w:left="1800"/>
      </w:pPr>
    </w:p>
    <w:p>
      <w:pPr>
        <w:pStyle w:val="BlockText"/>
        <w:numPr>
          <w:ilvl w:val="0"/>
          <w:numId w:val="21"/>
        </w:numPr>
      </w:pPr>
      <w:r>
        <w:t xml:space="preserve">This board has received or disposed of the following Petition(s) for Declaratory Statement: </w:t>
      </w:r>
    </w:p>
    <w:p>
      <w:pPr>
        <w:pStyle w:val="ListParagraph"/>
      </w:pPr>
    </w:p>
    <w:p>
      <w:pPr>
        <w:pStyle w:val="BlockText"/>
        <w:numPr>
          <w:ilvl w:val="2"/>
          <w:numId w:val="21"/>
        </w:numPr>
        <w:ind w:left="2340"/>
      </w:pPr>
      <w:r>
        <w:rPr>
          <w:b/>
        </w:rPr>
        <w:t>Digger Specialists, Inc.</w:t>
      </w:r>
      <w:r>
        <w:t xml:space="preserve"> – seeking a determination of whether is aluminum and vinyl railing products are within the product approval process. </w:t>
      </w:r>
    </w:p>
    <w:p/>
    <w:p>
      <w:pPr>
        <w:pStyle w:val="BlockText"/>
        <w:numPr>
          <w:ilvl w:val="2"/>
          <w:numId w:val="21"/>
        </w:numPr>
        <w:ind w:left="2340"/>
      </w:pPr>
      <w:r>
        <w:rPr>
          <w:b/>
        </w:rPr>
        <w:t>All Aboard Florida (Robert Fine, Esq.</w:t>
      </w:r>
      <w:r>
        <w:t xml:space="preserve">) </w:t>
      </w:r>
      <w:r>
        <w:rPr>
          <w:b/>
        </w:rPr>
        <w:t>DS#2014-163</w:t>
      </w:r>
      <w:r>
        <w:t>– seeking a determination of the applicability of Sections 102.2(b), 202 and 105 (Building) to its passenger rail systems (including permitting). This petition was approved by the assigned TAC and by the FBC meeting in February.</w:t>
      </w:r>
    </w:p>
    <w:p>
      <w:pPr>
        <w:pStyle w:val="ListParagraph"/>
      </w:pPr>
    </w:p>
    <w:p>
      <w:pPr>
        <w:pStyle w:val="BlockText"/>
        <w:numPr>
          <w:ilvl w:val="2"/>
          <w:numId w:val="21"/>
        </w:numPr>
        <w:ind w:left="2340"/>
      </w:pPr>
      <w:r>
        <w:rPr>
          <w:b/>
        </w:rPr>
        <w:t xml:space="preserve">Euramax International, Inc. DS#2014-152 </w:t>
      </w:r>
      <w:r>
        <w:t>– seeking a determination of the applicability of Rule 61G20-3.001 as to whether product approval is required for its exterior rotating louver roof system. Pending results.</w:t>
      </w:r>
    </w:p>
    <w:p>
      <w:pPr>
        <w:pStyle w:val="ListParagraph"/>
      </w:pPr>
    </w:p>
    <w:p>
      <w:pPr>
        <w:pStyle w:val="BlockText"/>
        <w:numPr>
          <w:ilvl w:val="2"/>
          <w:numId w:val="21"/>
        </w:numPr>
        <w:ind w:left="2340"/>
      </w:pPr>
      <w:r>
        <w:rPr>
          <w:b/>
        </w:rPr>
        <w:t>David Kramer, Building Code Administrator (UF) Ds#2014-129</w:t>
      </w:r>
      <w:r>
        <w:t xml:space="preserve"> – petition filed regarding shower installation requirements in dormitories. Pending results.</w:t>
      </w:r>
    </w:p>
    <w:p>
      <w:pPr>
        <w:pStyle w:val="BlockText"/>
      </w:pPr>
    </w:p>
    <w:p>
      <w:pPr>
        <w:pStyle w:val="BlockText"/>
        <w:numPr>
          <w:ilvl w:val="0"/>
          <w:numId w:val="21"/>
        </w:numPr>
      </w:pPr>
      <w:r>
        <w:t>This board has received or disposed of the following Petitions for Variance or Waiver (if any): None noticed.</w:t>
      </w:r>
    </w:p>
    <w:p>
      <w:pPr>
        <w:pStyle w:val="BlockText"/>
        <w:ind w:left="1800"/>
      </w:pPr>
    </w:p>
    <w:p>
      <w:pPr>
        <w:pStyle w:val="BlockText"/>
        <w:numPr>
          <w:ilvl w:val="0"/>
          <w:numId w:val="21"/>
        </w:numPr>
      </w:pPr>
      <w:r>
        <w:t>This board has received a petition for interpretation of building code as follows (If any): None noticed.</w:t>
      </w:r>
    </w:p>
    <w:p>
      <w:pPr>
        <w:pStyle w:val="BlockText"/>
        <w:rPr>
          <w:b/>
        </w:rPr>
      </w:pPr>
    </w:p>
    <w:p>
      <w:pPr>
        <w:pStyle w:val="BlockText"/>
        <w:ind w:firstLine="720"/>
      </w:pPr>
      <w:r>
        <w:t xml:space="preserve">8. </w:t>
      </w:r>
      <w:r>
        <w:rPr>
          <w:u w:val="single"/>
        </w:rPr>
        <w:t>DBPR/Home Inspectors:</w:t>
      </w:r>
      <w:r>
        <w:t xml:space="preserve"> Nothing new to report.</w:t>
      </w:r>
    </w:p>
    <w:p>
      <w:pPr>
        <w:pStyle w:val="BlockText"/>
      </w:pPr>
    </w:p>
    <w:p>
      <w:pPr>
        <w:pStyle w:val="BlockText"/>
        <w:ind w:left="720"/>
      </w:pPr>
      <w:r>
        <w:t xml:space="preserve">9. </w:t>
      </w:r>
      <w:r>
        <w:rPr>
          <w:u w:val="single"/>
        </w:rPr>
        <w:t>Board of Professional Geologists:</w:t>
      </w:r>
      <w:r>
        <w:t xml:space="preserve"> Chapter 492, Florida Statutes, and Rule Chapter 61G16, F.A.C.:</w:t>
      </w:r>
    </w:p>
    <w:p>
      <w:pPr>
        <w:pStyle w:val="BlockText"/>
        <w:ind w:left="1080"/>
      </w:pPr>
    </w:p>
    <w:p>
      <w:pPr>
        <w:pStyle w:val="BlockText"/>
        <w:numPr>
          <w:ilvl w:val="0"/>
          <w:numId w:val="23"/>
        </w:numPr>
      </w:pPr>
      <w:r>
        <w:t xml:space="preserve">This board has proposed, adopted, repealed or amended the following rules (if any): </w:t>
      </w:r>
    </w:p>
    <w:p>
      <w:pPr>
        <w:pStyle w:val="BlockText"/>
        <w:ind w:left="1800"/>
      </w:pPr>
    </w:p>
    <w:p>
      <w:pPr>
        <w:pStyle w:val="BlockText"/>
        <w:numPr>
          <w:ilvl w:val="2"/>
          <w:numId w:val="11"/>
        </w:numPr>
        <w:ind w:left="2340"/>
      </w:pPr>
      <w:r>
        <w:t>Rule 61G16-1.009 is being amended to add a definition of “geologist-in-training” as one who has completed 30 semester hours or 45 quarter hours of geological coursework at a college of university. Pending results.</w:t>
      </w:r>
    </w:p>
    <w:p>
      <w:pPr>
        <w:pStyle w:val="BlockText"/>
        <w:ind w:left="2520"/>
      </w:pPr>
    </w:p>
    <w:p>
      <w:pPr>
        <w:pStyle w:val="BlockText"/>
        <w:numPr>
          <w:ilvl w:val="2"/>
          <w:numId w:val="11"/>
        </w:numPr>
        <w:ind w:left="2340"/>
      </w:pPr>
      <w:r>
        <w:t>Rule 61G16-3.001 is being amended to set forth the fees for the “geologist-in-training,” as follows: $15 for application to register, and $150 for examination. Pending results.</w:t>
      </w:r>
    </w:p>
    <w:p>
      <w:pPr>
        <w:pStyle w:val="BlockText"/>
      </w:pPr>
    </w:p>
    <w:p>
      <w:pPr>
        <w:pStyle w:val="BlockText"/>
        <w:numPr>
          <w:ilvl w:val="2"/>
          <w:numId w:val="11"/>
        </w:numPr>
        <w:ind w:left="2340"/>
      </w:pPr>
      <w:r>
        <w:t>Rule 61G16-5.004 is being amended to delete unnecessary language regarding the evaluation of applications for registration by repealing subsections (4)(c) and (d). Pending results.</w:t>
      </w:r>
    </w:p>
    <w:p>
      <w:pPr>
        <w:pStyle w:val="BlockText"/>
      </w:pPr>
    </w:p>
    <w:p>
      <w:pPr>
        <w:pStyle w:val="BlockText"/>
        <w:numPr>
          <w:ilvl w:val="2"/>
          <w:numId w:val="11"/>
        </w:numPr>
        <w:ind w:left="2340"/>
      </w:pPr>
      <w:r>
        <w:t>Rule 61G16-6.001 is being reviewed to determine if modifications to the written licensure examination requirements are necessary. Pending results.</w:t>
      </w:r>
    </w:p>
    <w:p>
      <w:pPr>
        <w:pStyle w:val="BlockText"/>
        <w:ind w:left="1800"/>
      </w:pPr>
    </w:p>
    <w:p>
      <w:pPr>
        <w:pStyle w:val="BlockText"/>
        <w:numPr>
          <w:ilvl w:val="0"/>
          <w:numId w:val="23"/>
        </w:numPr>
      </w:pPr>
      <w:r>
        <w:t xml:space="preserve">This board has received or disposed of the following Petitions for Declaratory Statement (if any): </w:t>
      </w:r>
      <w:r>
        <w:rPr>
          <w:b/>
        </w:rPr>
        <w:t>Dr. Subodh Acharya DS#2014-004</w:t>
      </w:r>
      <w:r>
        <w:t xml:space="preserve"> – Petition filed on January 14, 2015, and amended on February 6, 2015, seeking a determination as to whether licensure is required to practice as a “postdoctoral associate” pursuant to section 492.116. </w:t>
      </w:r>
    </w:p>
    <w:p>
      <w:pPr>
        <w:pStyle w:val="BlockText"/>
        <w:ind w:left="1800"/>
      </w:pPr>
      <w:r>
        <w:rPr>
          <w:b/>
        </w:rPr>
        <w:t>Editor’s Note:</w:t>
      </w:r>
      <w:r>
        <w:t xml:space="preserve"> As previously reported, the original petition filed in this case stated that this determination was being requested in connection with the petitioner’s Petition for a Nonimmigrant Worker (Form H-1B).</w:t>
      </w:r>
    </w:p>
    <w:p>
      <w:pPr>
        <w:pStyle w:val="BlockText"/>
      </w:pPr>
    </w:p>
    <w:p>
      <w:pPr>
        <w:pStyle w:val="BlockText"/>
        <w:numPr>
          <w:ilvl w:val="0"/>
          <w:numId w:val="23"/>
        </w:numPr>
      </w:pPr>
      <w:r>
        <w:t>This board has received or disposed of the following Petitions for Variance or Waiver (if any): None noticed.</w:t>
      </w:r>
    </w:p>
    <w:p>
      <w:pPr>
        <w:pStyle w:val="BlockText"/>
      </w:pPr>
    </w:p>
    <w:p>
      <w:pPr>
        <w:pStyle w:val="BlockText"/>
        <w:ind w:left="720"/>
      </w:pPr>
      <w:r>
        <w:lastRenderedPageBreak/>
        <w:t>10</w:t>
      </w:r>
      <w:r>
        <w:rPr>
          <w:u w:val="single"/>
        </w:rPr>
        <w:t>. Division of Hotels and Restaurants: Elevator Safety</w:t>
      </w:r>
      <w:r>
        <w:t xml:space="preserve"> - Chapter 399, Florida Statutes (which excludes private residential elevators), and Chapter 61C-5, F.A.C. Nothing new to report.</w:t>
      </w:r>
    </w:p>
    <w:p>
      <w:pPr>
        <w:pStyle w:val="BlockText"/>
        <w:ind w:left="720"/>
      </w:pPr>
    </w:p>
    <w:p>
      <w:pPr>
        <w:pStyle w:val="BlockText"/>
        <w:ind w:left="810" w:hanging="90"/>
      </w:pPr>
      <w:r>
        <w:t xml:space="preserve">11. </w:t>
      </w:r>
      <w:r>
        <w:rPr>
          <w:u w:val="single"/>
        </w:rPr>
        <w:t>Asbestos Consultants</w:t>
      </w:r>
      <w:r>
        <w:t xml:space="preserve"> – Chapter 469, Florida Statutes, and Chapter 61E1, F.A.C.:  Proposed change to Rule 61E1-3.001 reducing renewal fees by 50%, and to require a 2-day “refresher course” approved by the department.</w:t>
      </w:r>
    </w:p>
    <w:p>
      <w:pPr>
        <w:pStyle w:val="BlockText"/>
      </w:pPr>
    </w:p>
    <w:p>
      <w:pPr>
        <w:pStyle w:val="BlockText"/>
        <w:rPr>
          <w:b/>
        </w:rPr>
      </w:pPr>
      <w:r>
        <w:rPr>
          <w:b/>
        </w:rPr>
        <w:t xml:space="preserve">B. Department of Environmental Protection: </w:t>
      </w:r>
    </w:p>
    <w:p>
      <w:pPr>
        <w:pStyle w:val="BlockText"/>
        <w:rPr>
          <w:b/>
        </w:rPr>
      </w:pPr>
    </w:p>
    <w:p>
      <w:pPr>
        <w:pStyle w:val="BlockText"/>
        <w:ind w:left="720"/>
      </w:pPr>
      <w:r>
        <w:t>1. Water Well Contractors: Chapter 373, Part II (licensing and regulation): Nothing new to report.</w:t>
      </w:r>
    </w:p>
    <w:p>
      <w:pPr>
        <w:pStyle w:val="BlockText"/>
      </w:pPr>
    </w:p>
    <w:p>
      <w:pPr>
        <w:pStyle w:val="BlockText"/>
      </w:pPr>
      <w:r>
        <w:tab/>
        <w:t>2. Consumptive Use Permits: Chapter 373, Part II: Nothing new to report.</w:t>
      </w:r>
    </w:p>
    <w:p>
      <w:pPr>
        <w:pStyle w:val="BlockText"/>
        <w:ind w:left="720"/>
      </w:pPr>
    </w:p>
    <w:p>
      <w:pPr>
        <w:pStyle w:val="BlockText"/>
      </w:pPr>
      <w:r>
        <w:rPr>
          <w:b/>
        </w:rPr>
        <w:t>C. Department of Health</w:t>
      </w:r>
      <w:r>
        <w:t xml:space="preserve">: </w:t>
      </w:r>
      <w:r>
        <w:rPr>
          <w:b/>
        </w:rPr>
        <w:t xml:space="preserve">Water Quality/Septic Tanks – Chapter 381 and 64E FAC: </w:t>
      </w:r>
    </w:p>
    <w:p>
      <w:pPr>
        <w:pStyle w:val="BlockText"/>
      </w:pPr>
    </w:p>
    <w:p>
      <w:pPr>
        <w:pStyle w:val="BlockText"/>
        <w:numPr>
          <w:ilvl w:val="0"/>
          <w:numId w:val="15"/>
        </w:numPr>
      </w:pPr>
      <w:r>
        <w:t xml:space="preserve">Division of Environmental Health:  </w:t>
      </w:r>
    </w:p>
    <w:p>
      <w:pPr>
        <w:pStyle w:val="BlockText"/>
        <w:ind w:left="1080"/>
      </w:pPr>
    </w:p>
    <w:p>
      <w:pPr>
        <w:pStyle w:val="BlockText"/>
        <w:ind w:left="720"/>
        <w:rPr>
          <w:rFonts w:eastAsiaTheme="minorHAnsi"/>
          <w:iCs w:val="0"/>
        </w:rPr>
      </w:pPr>
      <w:r>
        <w:rPr>
          <w:rFonts w:eastAsiaTheme="minorHAnsi"/>
          <w:b/>
          <w:iCs w:val="0"/>
          <w:u w:val="single"/>
        </w:rPr>
        <w:t>Meeting Notification:</w:t>
      </w:r>
      <w:r>
        <w:rPr>
          <w:rFonts w:eastAsiaTheme="minorHAnsi"/>
          <w:iCs w:val="0"/>
        </w:rPr>
        <w:t xml:space="preserve"> The Variance Review and Advisory Committee on the standards for onsite sewage treatment and disposal systems, has announced a series of monthly meetings around the state during 2015.</w:t>
      </w:r>
    </w:p>
    <w:p>
      <w:pPr>
        <w:pStyle w:val="BlockText"/>
      </w:pPr>
    </w:p>
    <w:p>
      <w:pPr>
        <w:pStyle w:val="BlockText"/>
        <w:numPr>
          <w:ilvl w:val="1"/>
          <w:numId w:val="15"/>
        </w:numPr>
        <w:ind w:left="1800"/>
      </w:pPr>
      <w:r>
        <w:t>The following rules have been proposed for adoption, amendments or repeal (if any): Rules 64E-13.001 and 13.004 for repeal of school sanitation rules, the authority for which was transferred to the Department of Education.</w:t>
      </w:r>
    </w:p>
    <w:p>
      <w:pPr>
        <w:pStyle w:val="ListParagraph"/>
      </w:pPr>
    </w:p>
    <w:p>
      <w:pPr>
        <w:pStyle w:val="BlockText"/>
        <w:ind w:left="720"/>
      </w:pPr>
      <w:r>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p>
    <w:p>
      <w:pPr>
        <w:pStyle w:val="BlockText"/>
        <w:ind w:left="720"/>
      </w:pPr>
    </w:p>
    <w:p>
      <w:pPr>
        <w:pStyle w:val="BlockText"/>
        <w:numPr>
          <w:ilvl w:val="1"/>
          <w:numId w:val="15"/>
        </w:numPr>
        <w:ind w:left="1800"/>
      </w:pPr>
      <w:r>
        <w:t>The following Petition(s) for Declaratory Statement have been filed or disposed of (if any): None to report.</w:t>
      </w:r>
    </w:p>
    <w:p>
      <w:pPr>
        <w:pStyle w:val="BlockText"/>
        <w:ind w:left="1890"/>
      </w:pPr>
    </w:p>
    <w:p>
      <w:pPr>
        <w:pStyle w:val="BlockText"/>
        <w:numPr>
          <w:ilvl w:val="1"/>
          <w:numId w:val="15"/>
        </w:numPr>
        <w:ind w:left="1800"/>
      </w:pPr>
      <w:r>
        <w:t xml:space="preserve">The following Petitions for Variance or Wavier have been received or disposed of (if any): </w:t>
      </w:r>
      <w:r>
        <w:rPr>
          <w:b/>
        </w:rPr>
        <w:t xml:space="preserve">Fortunato Villamagna for Paragon Waste Solutions and Sterall, Inc. </w:t>
      </w:r>
      <w:r>
        <w:t>– Petition filed on January 2, 2015, seeking a variance from Rule 64E-16.007(2)€, FAC for conducting of routine efficacy testing and evaluation of steam treatment units (still pending).</w:t>
      </w:r>
    </w:p>
    <w:p>
      <w:pPr>
        <w:pStyle w:val="BlockText"/>
      </w:pPr>
    </w:p>
    <w:p>
      <w:pPr>
        <w:pStyle w:val="BlockText"/>
      </w:pPr>
      <w:r>
        <w:t xml:space="preserve">H. </w:t>
      </w:r>
      <w:r>
        <w:rPr>
          <w:b/>
        </w:rPr>
        <w:t>Department of Financial Services</w:t>
      </w:r>
      <w:r>
        <w:t xml:space="preserve">: </w:t>
      </w:r>
    </w:p>
    <w:p>
      <w:pPr>
        <w:pStyle w:val="BlockText"/>
        <w:ind w:left="720"/>
      </w:pPr>
    </w:p>
    <w:p>
      <w:pPr>
        <w:pStyle w:val="BlockText"/>
        <w:ind w:left="720"/>
      </w:pPr>
      <w:r>
        <w:t xml:space="preserve">1.  Boiler Safety Act - Chapter 554, F. S., and Chapter 69A-51, F.A.C.: </w:t>
      </w:r>
    </w:p>
    <w:p>
      <w:pPr>
        <w:pStyle w:val="BlockText"/>
        <w:ind w:left="720"/>
      </w:pPr>
    </w:p>
    <w:p>
      <w:pPr>
        <w:pStyle w:val="BlockText"/>
        <w:ind w:left="1710" w:hanging="270"/>
      </w:pPr>
      <w:r>
        <w:t>a.  The following rules have been proposed for adoption or amendment (if any): Rule 69L-6.015 and .025, FAC are amended as to requirements for employer record maintenance and production, and as to the conditional release of Stop-Work Orders and Periodic Payment Agreements, pursuant to 2014 statutory changes.</w:t>
      </w:r>
    </w:p>
    <w:p>
      <w:pPr>
        <w:pStyle w:val="BlockText"/>
        <w:ind w:left="1436"/>
      </w:pPr>
    </w:p>
    <w:p>
      <w:pPr>
        <w:pStyle w:val="BlockText"/>
        <w:numPr>
          <w:ilvl w:val="0"/>
          <w:numId w:val="27"/>
        </w:numPr>
      </w:pPr>
      <w:r>
        <w:t>The agency has received the following petitions for Declaratory Statement or Variance/Waiver (if any): None to report.</w:t>
      </w:r>
    </w:p>
    <w:p>
      <w:pPr>
        <w:pStyle w:val="BlockText"/>
        <w:ind w:left="1800"/>
      </w:pPr>
    </w:p>
    <w:p>
      <w:pPr>
        <w:pStyle w:val="BlockText"/>
        <w:numPr>
          <w:ilvl w:val="0"/>
          <w:numId w:val="15"/>
        </w:numPr>
      </w:pPr>
      <w:r>
        <w:t xml:space="preserve">Division of Workers’ Compensation – Chapter 440 and 69L FAC: The following rules have been proposed for adoption or amendment (if any): </w:t>
      </w:r>
    </w:p>
    <w:p>
      <w:pPr>
        <w:pStyle w:val="BlockText"/>
        <w:ind w:left="1080"/>
      </w:pPr>
    </w:p>
    <w:p>
      <w:pPr>
        <w:pStyle w:val="BlockText"/>
        <w:numPr>
          <w:ilvl w:val="1"/>
          <w:numId w:val="15"/>
        </w:numPr>
      </w:pPr>
      <w:r>
        <w:t>Rules 69L-6.027, l027, .028 and .035 regarding penalty calculation worksheets. Pending results.</w:t>
      </w:r>
    </w:p>
    <w:p>
      <w:pPr>
        <w:pStyle w:val="BlockText"/>
        <w:ind w:left="1890"/>
      </w:pPr>
    </w:p>
    <w:p>
      <w:pPr>
        <w:pStyle w:val="BlockText"/>
        <w:numPr>
          <w:ilvl w:val="1"/>
          <w:numId w:val="15"/>
        </w:numPr>
      </w:pPr>
      <w:r>
        <w:t>Proposed rule to adopt rate manual has been WITHDRAWN.</w:t>
      </w:r>
    </w:p>
    <w:p>
      <w:pPr>
        <w:pStyle w:val="BlockText"/>
      </w:pPr>
    </w:p>
    <w:p>
      <w:pPr>
        <w:pStyle w:val="BlockText"/>
        <w:ind w:left="720" w:firstLine="4"/>
      </w:pPr>
      <w:r>
        <w:rPr>
          <w:b/>
        </w:rPr>
        <w:t>Editor’s Note:</w:t>
      </w:r>
      <w:r>
        <w:t xml:space="preserve"> These changes appear to be in response to recent statutory changes, and not necessarily as a result of the DOAH litigation described in last month’s report.</w:t>
      </w:r>
    </w:p>
    <w:p>
      <w:pPr>
        <w:pStyle w:val="BlockText"/>
        <w:ind w:left="720" w:firstLine="4"/>
      </w:pPr>
    </w:p>
    <w:p>
      <w:pPr>
        <w:pStyle w:val="BlockText"/>
        <w:ind w:left="720"/>
      </w:pPr>
      <w:r>
        <w:rPr>
          <w:b/>
          <w:u w:val="single"/>
        </w:rPr>
        <w:t>Important Note:</w:t>
      </w:r>
      <w:r>
        <w:t xml:space="preserve"> You can check compliance with worker’s compensation insurance requirements (coverage or exemptions) by name of company, federal employer ID number, employer policy number, and exemption holder name or exemption holder SS number at </w:t>
      </w:r>
      <w:r>
        <w:rPr>
          <w:i/>
          <w:u w:val="single"/>
        </w:rPr>
        <w:t>https//:secure.fldfs.com/WCAPPA/Compliance</w:t>
      </w:r>
      <w:r>
        <w:t>.</w:t>
      </w:r>
    </w:p>
    <w:p>
      <w:pPr>
        <w:pStyle w:val="BlockText"/>
      </w:pPr>
    </w:p>
    <w:p>
      <w:pPr>
        <w:pStyle w:val="BlockText"/>
        <w:numPr>
          <w:ilvl w:val="0"/>
          <w:numId w:val="15"/>
        </w:numPr>
      </w:pPr>
      <w:r>
        <w:t xml:space="preserve">Office of State Fire Marshal - Chapter 633, Florida Statutes and Chapter 69A, F.C.A.: </w:t>
      </w:r>
    </w:p>
    <w:p>
      <w:pPr>
        <w:pStyle w:val="BlockText"/>
        <w:ind w:left="1080"/>
      </w:pPr>
    </w:p>
    <w:p>
      <w:pPr>
        <w:pStyle w:val="BlockText"/>
        <w:numPr>
          <w:ilvl w:val="1"/>
          <w:numId w:val="15"/>
        </w:numPr>
        <w:ind w:left="1800"/>
      </w:pPr>
      <w:r>
        <w:t>The following rules are being proposed or amended (if any): None Noticed.</w:t>
      </w:r>
    </w:p>
    <w:p>
      <w:pPr>
        <w:pStyle w:val="BlockText"/>
        <w:ind w:left="2340"/>
      </w:pPr>
    </w:p>
    <w:p>
      <w:pPr>
        <w:pStyle w:val="BlockText"/>
        <w:numPr>
          <w:ilvl w:val="1"/>
          <w:numId w:val="15"/>
        </w:numPr>
      </w:pPr>
      <w:r>
        <w:t>The following petitions for Declaratory Statement and petitions for Variance or Waiver have been received or disposed of:</w:t>
      </w:r>
    </w:p>
    <w:p>
      <w:pPr>
        <w:pStyle w:val="ListParagraph"/>
      </w:pPr>
    </w:p>
    <w:p>
      <w:pPr>
        <w:pStyle w:val="BlockText"/>
        <w:numPr>
          <w:ilvl w:val="2"/>
          <w:numId w:val="15"/>
        </w:numPr>
        <w:ind w:left="2340"/>
      </w:pPr>
      <w:r>
        <w:rPr>
          <w:b/>
        </w:rPr>
        <w:t xml:space="preserve">Robert Dewar – </w:t>
      </w:r>
      <w:r>
        <w:t>Petition filed on January 16, 2015, seeking a determination of the applicability of NFPA 13 and 13R as to whether certain structures are balconies for purposes of required sprinklers.</w:t>
      </w:r>
    </w:p>
    <w:p>
      <w:pPr>
        <w:pStyle w:val="BlockText"/>
        <w:ind w:left="2520"/>
      </w:pPr>
    </w:p>
    <w:p>
      <w:pPr>
        <w:pStyle w:val="BlockText"/>
        <w:numPr>
          <w:ilvl w:val="2"/>
          <w:numId w:val="15"/>
        </w:numPr>
        <w:ind w:left="2340"/>
      </w:pPr>
      <w:r>
        <w:rPr>
          <w:b/>
        </w:rPr>
        <w:t>Florida Department of Corrections –</w:t>
      </w:r>
      <w:r>
        <w:t xml:space="preserve"> Petition filed January 30, 2015, seeking waiver from Rule 69A-56.006, which codifies type of mattresses to be used at correctional facilities. </w:t>
      </w:r>
    </w:p>
    <w:p>
      <w:pPr>
        <w:pStyle w:val="BlockText"/>
      </w:pPr>
    </w:p>
    <w:p>
      <w:pPr>
        <w:pStyle w:val="BlockText"/>
        <w:ind w:left="720"/>
      </w:pPr>
      <w:r>
        <w:rPr>
          <w:b/>
        </w:rPr>
        <w:t>Editor’s Note:</w:t>
      </w:r>
      <w:r>
        <w:t xml:space="preserve"> There are dozens of such petitions filed each month, primarily seeking interpretation of the Fire Code. Due to the specialized nature of these requests, we have discontinued reporting all of them; however, if anyone is interested in the department’s interpretation of a particular code section, these statements can be found on the division website. </w:t>
      </w:r>
    </w:p>
    <w:p>
      <w:pPr>
        <w:pStyle w:val="BlockText"/>
      </w:pPr>
    </w:p>
    <w:p>
      <w:pPr>
        <w:pStyle w:val="BlockText"/>
        <w:rPr>
          <w:b/>
          <w:i/>
          <w:u w:val="single"/>
        </w:rPr>
      </w:pPr>
      <w:r>
        <w:rPr>
          <w:b/>
          <w:u w:val="single"/>
        </w:rPr>
        <w:t>Reminder:</w:t>
      </w:r>
      <w:r>
        <w:t xml:space="preserve"> Rule 69A-60.003, amended effective May 1, 2013, and adopted NPR 1, the Fire Code, Florida 2009 edition (as amended 3/2013 to add Section 18.4.1.3 to Section 18.4 - Fire Flow </w:t>
      </w:r>
      <w:r>
        <w:lastRenderedPageBreak/>
        <w:t>Requirements for Buildings). Section 633.0215(6)(b), effective July 1, 2013, EXMEPTS certain structures from application of the Florida Fire Prevention Code.</w:t>
      </w:r>
      <w:r>
        <w:rPr>
          <w:b/>
        </w:rPr>
        <w:t xml:space="preserve"> </w:t>
      </w:r>
    </w:p>
    <w:p>
      <w:pPr>
        <w:pStyle w:val="BlockText"/>
        <w:rPr>
          <w:b/>
          <w:u w:val="single"/>
        </w:rPr>
      </w:pPr>
    </w:p>
    <w:p>
      <w:pPr>
        <w:pStyle w:val="BlockText"/>
      </w:pPr>
      <w:r>
        <w:rPr>
          <w:b/>
          <w:u w:val="single"/>
        </w:rPr>
        <w:t>Legislative Action:</w:t>
      </w:r>
      <w:r>
        <w:t xml:space="preserve">  The 2015 Regular Legislative Session begins March 3, 2015, and is scheduled to continue for sixty (60) consecutive calendar day. As of March 3, 2015, the following bills affecting the construction industry have been filed:</w:t>
      </w:r>
    </w:p>
    <w:p>
      <w:pPr>
        <w:pBdr>
          <w:top w:val="single" w:sz="6" w:space="1" w:color="auto"/>
        </w:pBdr>
        <w:jc w:val="center"/>
        <w:rPr>
          <w:rFonts w:ascii="Arial" w:eastAsia="Times New Roman" w:hAnsi="Arial" w:cs="Arial"/>
          <w:vanish/>
          <w:sz w:val="16"/>
          <w:szCs w:val="16"/>
        </w:rPr>
      </w:pPr>
      <w:r>
        <w:rPr>
          <w:rFonts w:ascii="Arial" w:eastAsia="Times New Roman" w:hAnsi="Arial" w:cs="Arial"/>
          <w:vanish/>
          <w:sz w:val="16"/>
          <w:szCs w:val="16"/>
        </w:rPr>
        <w:t>Bottom of Form</w:t>
      </w:r>
    </w:p>
    <w:tbl>
      <w:tblPr>
        <w:tblW w:w="0" w:type="auto"/>
        <w:tblCellSpacing w:w="15" w:type="dxa"/>
        <w:tblCellMar>
          <w:top w:w="15" w:type="dxa"/>
          <w:left w:w="15" w:type="dxa"/>
          <w:bottom w:w="15" w:type="dxa"/>
          <w:right w:w="15" w:type="dxa"/>
        </w:tblCellMar>
        <w:tblLook w:val="04A0"/>
      </w:tblPr>
      <w:tblGrid>
        <w:gridCol w:w="956"/>
        <w:gridCol w:w="2811"/>
        <w:gridCol w:w="1207"/>
        <w:gridCol w:w="4683"/>
        <w:gridCol w:w="81"/>
      </w:tblGrid>
      <w:tr>
        <w:trPr>
          <w:tblHeader/>
          <w:tblCellSpacing w:w="15" w:type="dxa"/>
        </w:trPr>
        <w:tc>
          <w:tcPr>
            <w:tcW w:w="0" w:type="auto"/>
            <w:vAlign w:val="center"/>
            <w:hideMark/>
          </w:tcPr>
          <w:p>
            <w:pPr>
              <w:jc w:val="center"/>
              <w:rPr>
                <w:rFonts w:eastAsia="Times New Roman" w:cs="Times New Roman"/>
                <w:b/>
                <w:bCs/>
                <w:u w:val="single"/>
              </w:rPr>
            </w:pPr>
            <w:r>
              <w:rPr>
                <w:rFonts w:eastAsia="Times New Roman" w:cs="Times New Roman"/>
                <w:b/>
                <w:bCs/>
                <w:u w:val="single"/>
              </w:rPr>
              <w:t>Number   </w:t>
            </w:r>
          </w:p>
        </w:tc>
        <w:tc>
          <w:tcPr>
            <w:tcW w:w="0" w:type="auto"/>
            <w:vAlign w:val="center"/>
            <w:hideMark/>
          </w:tcPr>
          <w:p>
            <w:pPr>
              <w:jc w:val="center"/>
              <w:rPr>
                <w:rFonts w:eastAsia="Times New Roman" w:cs="Times New Roman"/>
                <w:b/>
                <w:bCs/>
                <w:u w:val="single"/>
              </w:rPr>
            </w:pPr>
            <w:r>
              <w:rPr>
                <w:rFonts w:eastAsia="Times New Roman" w:cs="Times New Roman"/>
                <w:b/>
                <w:bCs/>
                <w:u w:val="single"/>
              </w:rPr>
              <w:t>Title</w:t>
            </w:r>
          </w:p>
        </w:tc>
        <w:tc>
          <w:tcPr>
            <w:tcW w:w="0" w:type="auto"/>
            <w:vAlign w:val="center"/>
            <w:hideMark/>
          </w:tcPr>
          <w:p>
            <w:pPr>
              <w:jc w:val="center"/>
              <w:rPr>
                <w:rFonts w:eastAsia="Times New Roman" w:cs="Times New Roman"/>
                <w:b/>
                <w:bCs/>
                <w:u w:val="single"/>
              </w:rPr>
            </w:pPr>
            <w:r>
              <w:rPr>
                <w:rFonts w:eastAsia="Times New Roman" w:cs="Times New Roman"/>
                <w:b/>
                <w:bCs/>
                <w:u w:val="single"/>
              </w:rPr>
              <w:t>Filed By    </w:t>
            </w:r>
          </w:p>
        </w:tc>
        <w:tc>
          <w:tcPr>
            <w:tcW w:w="0" w:type="auto"/>
            <w:vAlign w:val="center"/>
            <w:hideMark/>
          </w:tcPr>
          <w:p>
            <w:pPr>
              <w:jc w:val="center"/>
              <w:rPr>
                <w:rFonts w:eastAsia="Times New Roman" w:cs="Times New Roman"/>
                <w:b/>
                <w:bCs/>
                <w:u w:val="single"/>
              </w:rPr>
            </w:pPr>
            <w:r>
              <w:rPr>
                <w:rFonts w:eastAsia="Times New Roman" w:cs="Times New Roman"/>
                <w:b/>
                <w:bCs/>
                <w:u w:val="single"/>
              </w:rPr>
              <w:t>Last Action</w:t>
            </w:r>
          </w:p>
        </w:tc>
        <w:tc>
          <w:tcPr>
            <w:tcW w:w="0" w:type="auto"/>
            <w:vAlign w:val="center"/>
          </w:tcPr>
          <w:p>
            <w:pPr>
              <w:jc w:val="center"/>
              <w:rPr>
                <w:rFonts w:eastAsia="Times New Roman" w:cs="Times New Roman"/>
                <w:b/>
                <w:bCs/>
              </w:rPr>
            </w:pPr>
          </w:p>
        </w:tc>
      </w:tr>
      <w:tr>
        <w:trPr>
          <w:tblCellSpacing w:w="15" w:type="dxa"/>
        </w:trPr>
        <w:tc>
          <w:tcPr>
            <w:tcW w:w="0" w:type="auto"/>
            <w:vAlign w:val="center"/>
            <w:hideMark/>
          </w:tcPr>
          <w:p>
            <w:pPr>
              <w:jc w:val="center"/>
              <w:rPr>
                <w:rFonts w:eastAsia="Times New Roman" w:cs="Times New Roman"/>
                <w:b/>
                <w:bCs/>
              </w:rPr>
            </w:pPr>
            <w:hyperlink r:id="rId8" w:history="1">
              <w:r>
                <w:rPr>
                  <w:rFonts w:eastAsia="Times New Roman" w:cs="Times New Roman"/>
                  <w:b/>
                  <w:bCs/>
                  <w:color w:val="0000FF"/>
                  <w:u w:val="single"/>
                </w:rPr>
                <w:t>HB 0063</w:t>
              </w:r>
            </w:hyperlink>
          </w:p>
        </w:tc>
        <w:tc>
          <w:tcPr>
            <w:tcW w:w="0" w:type="auto"/>
            <w:vAlign w:val="center"/>
            <w:hideMark/>
          </w:tcPr>
          <w:p>
            <w:pPr>
              <w:rPr>
                <w:rFonts w:eastAsia="Times New Roman" w:cs="Times New Roman"/>
              </w:rPr>
            </w:pPr>
            <w:r>
              <w:rPr>
                <w:rFonts w:eastAsia="Times New Roman" w:cs="Times New Roman"/>
              </w:rPr>
              <w:t>Public-Private Partnerships</w:t>
            </w:r>
          </w:p>
        </w:tc>
        <w:tc>
          <w:tcPr>
            <w:tcW w:w="0" w:type="auto"/>
            <w:vAlign w:val="center"/>
            <w:hideMark/>
          </w:tcPr>
          <w:p>
            <w:pPr>
              <w:rPr>
                <w:rFonts w:eastAsia="Times New Roman" w:cs="Times New Roman"/>
              </w:rPr>
            </w:pPr>
            <w:r>
              <w:rPr>
                <w:rFonts w:eastAsia="Times New Roman" w:cs="Times New Roman"/>
              </w:rPr>
              <w:t xml:space="preserve">Steube </w:t>
            </w:r>
          </w:p>
        </w:tc>
        <w:tc>
          <w:tcPr>
            <w:tcW w:w="0" w:type="auto"/>
            <w:vAlign w:val="center"/>
            <w:hideMark/>
          </w:tcPr>
          <w:p>
            <w:pPr>
              <w:rPr>
                <w:rFonts w:eastAsia="Times New Roman" w:cs="Times New Roman"/>
              </w:rPr>
            </w:pPr>
            <w:r>
              <w:rPr>
                <w:rFonts w:eastAsia="Times New Roman" w:cs="Times New Roman"/>
              </w:rPr>
              <w:t xml:space="preserve">Last Action: 3/3/2015 H CS by Government Operations Subcommittee read 1st time -HJ 123 </w:t>
            </w:r>
            <w:r>
              <w:rPr>
                <w:rFonts w:eastAsia="Times New Roman" w:cs="Times New Roman"/>
              </w:rPr>
              <w:br/>
              <w:t xml:space="preserve">Location: In committee/council (LGAS)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9" w:history="1">
              <w:r>
                <w:rPr>
                  <w:rFonts w:eastAsia="Times New Roman" w:cs="Times New Roman"/>
                  <w:b/>
                  <w:bCs/>
                  <w:color w:val="0000FF"/>
                  <w:u w:val="single"/>
                </w:rPr>
                <w:t>HB 0065</w:t>
              </w:r>
            </w:hyperlink>
          </w:p>
        </w:tc>
        <w:tc>
          <w:tcPr>
            <w:tcW w:w="0" w:type="auto"/>
            <w:vAlign w:val="center"/>
            <w:hideMark/>
          </w:tcPr>
          <w:p>
            <w:pPr>
              <w:rPr>
                <w:rFonts w:eastAsia="Times New Roman" w:cs="Times New Roman"/>
              </w:rPr>
            </w:pPr>
            <w:r>
              <w:rPr>
                <w:rFonts w:eastAsia="Times New Roman" w:cs="Times New Roman"/>
              </w:rPr>
              <w:t>Public Records &amp; Public Meetings</w:t>
            </w:r>
          </w:p>
        </w:tc>
        <w:tc>
          <w:tcPr>
            <w:tcW w:w="0" w:type="auto"/>
            <w:vAlign w:val="center"/>
            <w:hideMark/>
          </w:tcPr>
          <w:p>
            <w:pPr>
              <w:rPr>
                <w:rFonts w:eastAsia="Times New Roman" w:cs="Times New Roman"/>
              </w:rPr>
            </w:pPr>
            <w:r>
              <w:rPr>
                <w:rFonts w:eastAsia="Times New Roman" w:cs="Times New Roman"/>
              </w:rPr>
              <w:t xml:space="preserve">Steube </w:t>
            </w:r>
          </w:p>
        </w:tc>
        <w:tc>
          <w:tcPr>
            <w:tcW w:w="0" w:type="auto"/>
            <w:vAlign w:val="center"/>
            <w:hideMark/>
          </w:tcPr>
          <w:p>
            <w:pPr>
              <w:rPr>
                <w:rFonts w:eastAsia="Times New Roman" w:cs="Times New Roman"/>
              </w:rPr>
            </w:pPr>
            <w:r>
              <w:rPr>
                <w:rFonts w:eastAsia="Times New Roman" w:cs="Times New Roman"/>
              </w:rPr>
              <w:t xml:space="preserve">Last Action: 3/3/2015 H CS by Government Operations Subcommittee read 1st time -HJ 123 </w:t>
            </w:r>
            <w:r>
              <w:rPr>
                <w:rFonts w:eastAsia="Times New Roman" w:cs="Times New Roman"/>
              </w:rPr>
              <w:br/>
              <w:t xml:space="preserve">Location: In committee/council (LGAS)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0" w:history="1">
              <w:r>
                <w:rPr>
                  <w:rFonts w:eastAsia="Times New Roman" w:cs="Times New Roman"/>
                  <w:b/>
                  <w:bCs/>
                  <w:color w:val="0000FF"/>
                  <w:u w:val="single"/>
                </w:rPr>
                <w:t>HB 0087</w:t>
              </w:r>
            </w:hyperlink>
          </w:p>
        </w:tc>
        <w:tc>
          <w:tcPr>
            <w:tcW w:w="0" w:type="auto"/>
            <w:vAlign w:val="center"/>
            <w:hideMark/>
          </w:tcPr>
          <w:p>
            <w:pPr>
              <w:rPr>
                <w:rFonts w:eastAsia="Times New Roman" w:cs="Times New Roman"/>
              </w:rPr>
            </w:pPr>
            <w:r>
              <w:rPr>
                <w:rFonts w:eastAsia="Times New Roman" w:cs="Times New Roman"/>
              </w:rPr>
              <w:t>Construction Defect Claims</w:t>
            </w:r>
          </w:p>
        </w:tc>
        <w:tc>
          <w:tcPr>
            <w:tcW w:w="0" w:type="auto"/>
            <w:vAlign w:val="center"/>
            <w:hideMark/>
          </w:tcPr>
          <w:p>
            <w:pPr>
              <w:rPr>
                <w:rFonts w:eastAsia="Times New Roman" w:cs="Times New Roman"/>
              </w:rPr>
            </w:pPr>
            <w:r>
              <w:rPr>
                <w:rFonts w:eastAsia="Times New Roman" w:cs="Times New Roman"/>
              </w:rPr>
              <w:t xml:space="preserve">Passidomo </w:t>
            </w:r>
          </w:p>
        </w:tc>
        <w:tc>
          <w:tcPr>
            <w:tcW w:w="0" w:type="auto"/>
            <w:vAlign w:val="center"/>
            <w:hideMark/>
          </w:tcPr>
          <w:p>
            <w:pPr>
              <w:rPr>
                <w:rFonts w:eastAsia="Times New Roman" w:cs="Times New Roman"/>
              </w:rPr>
            </w:pPr>
            <w:r>
              <w:rPr>
                <w:rFonts w:eastAsia="Times New Roman" w:cs="Times New Roman"/>
              </w:rPr>
              <w:t xml:space="preserve">Last Action: 3/6/2015 H On Committee agenda-- Business and Professions Subcommittee, 03/10/15, 12:30 pm, 12 HOB </w:t>
            </w:r>
            <w:r>
              <w:rPr>
                <w:rFonts w:eastAsia="Times New Roman" w:cs="Times New Roman"/>
              </w:rPr>
              <w:br/>
              <w:t xml:space="preserve">Location: On agenda (BPS) </w:t>
            </w:r>
          </w:p>
          <w:p>
            <w:pPr>
              <w:rPr>
                <w:rFonts w:eastAsia="Times New Roman" w:cs="Times New Roman"/>
                <w:b/>
                <w:u w:val="single"/>
              </w:rPr>
            </w:pPr>
            <w:r>
              <w:rPr>
                <w:rFonts w:eastAsia="Times New Roman" w:cs="Times New Roman"/>
                <w:b/>
                <w:u w:val="single"/>
              </w:rPr>
              <w:t>Companion Bill: Senate Bill 418</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1" w:history="1">
              <w:r>
                <w:rPr>
                  <w:rFonts w:eastAsia="Times New Roman" w:cs="Times New Roman"/>
                  <w:b/>
                  <w:bCs/>
                  <w:color w:val="0000FF"/>
                  <w:u w:val="single"/>
                </w:rPr>
                <w:t>HB 0113</w:t>
              </w:r>
            </w:hyperlink>
          </w:p>
        </w:tc>
        <w:tc>
          <w:tcPr>
            <w:tcW w:w="0" w:type="auto"/>
            <w:vAlign w:val="center"/>
            <w:hideMark/>
          </w:tcPr>
          <w:p>
            <w:pPr>
              <w:rPr>
                <w:rFonts w:eastAsia="Times New Roman" w:cs="Times New Roman"/>
              </w:rPr>
            </w:pPr>
            <w:r>
              <w:rPr>
                <w:rFonts w:eastAsia="Times New Roman" w:cs="Times New Roman"/>
              </w:rPr>
              <w:t>Local Government Construction Preferences</w:t>
            </w:r>
          </w:p>
        </w:tc>
        <w:tc>
          <w:tcPr>
            <w:tcW w:w="0" w:type="auto"/>
            <w:vAlign w:val="center"/>
            <w:hideMark/>
          </w:tcPr>
          <w:p>
            <w:pPr>
              <w:rPr>
                <w:rFonts w:eastAsia="Times New Roman" w:cs="Times New Roman"/>
              </w:rPr>
            </w:pPr>
            <w:r>
              <w:rPr>
                <w:rFonts w:eastAsia="Times New Roman" w:cs="Times New Roman"/>
              </w:rPr>
              <w:t xml:space="preserve">Perry </w:t>
            </w:r>
          </w:p>
        </w:tc>
        <w:tc>
          <w:tcPr>
            <w:tcW w:w="0" w:type="auto"/>
            <w:vAlign w:val="center"/>
            <w:hideMark/>
          </w:tcPr>
          <w:p>
            <w:pPr>
              <w:rPr>
                <w:rFonts w:eastAsia="Times New Roman" w:cs="Times New Roman"/>
              </w:rPr>
            </w:pPr>
            <w:r>
              <w:rPr>
                <w:rFonts w:eastAsia="Times New Roman" w:cs="Times New Roman"/>
              </w:rPr>
              <w:t xml:space="preserve">Last Action: 3/5/2015 H Now in Appropriations Committee -HJ 180 </w:t>
            </w:r>
            <w:r>
              <w:rPr>
                <w:rFonts w:eastAsia="Times New Roman" w:cs="Times New Roman"/>
              </w:rPr>
              <w:br/>
              <w:t xml:space="preserve">Location: In committee/council (APC)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2" w:history="1">
              <w:r>
                <w:rPr>
                  <w:rFonts w:eastAsia="Times New Roman" w:cs="Times New Roman"/>
                  <w:b/>
                  <w:bCs/>
                  <w:color w:val="0000FF"/>
                  <w:u w:val="single"/>
                </w:rPr>
                <w:t>HB 0163</w:t>
              </w:r>
            </w:hyperlink>
          </w:p>
        </w:tc>
        <w:tc>
          <w:tcPr>
            <w:tcW w:w="0" w:type="auto"/>
            <w:vAlign w:val="center"/>
            <w:hideMark/>
          </w:tcPr>
          <w:p>
            <w:pPr>
              <w:rPr>
                <w:rFonts w:eastAsia="Times New Roman" w:cs="Times New Roman"/>
              </w:rPr>
            </w:pPr>
            <w:r>
              <w:rPr>
                <w:rFonts w:eastAsia="Times New Roman" w:cs="Times New Roman"/>
              </w:rPr>
              <w:t>Public Records/Contractors</w:t>
            </w:r>
          </w:p>
        </w:tc>
        <w:tc>
          <w:tcPr>
            <w:tcW w:w="0" w:type="auto"/>
            <w:vAlign w:val="center"/>
            <w:hideMark/>
          </w:tcPr>
          <w:p>
            <w:pPr>
              <w:rPr>
                <w:rFonts w:eastAsia="Times New Roman" w:cs="Times New Roman"/>
              </w:rPr>
            </w:pPr>
            <w:r>
              <w:rPr>
                <w:rFonts w:eastAsia="Times New Roman" w:cs="Times New Roman"/>
              </w:rPr>
              <w:t xml:space="preserve">Beshears </w:t>
            </w:r>
          </w:p>
        </w:tc>
        <w:tc>
          <w:tcPr>
            <w:tcW w:w="0" w:type="auto"/>
            <w:vAlign w:val="center"/>
            <w:hideMark/>
          </w:tcPr>
          <w:p>
            <w:pPr>
              <w:rPr>
                <w:rFonts w:eastAsia="Times New Roman" w:cs="Times New Roman"/>
              </w:rPr>
            </w:pPr>
            <w:r>
              <w:rPr>
                <w:rFonts w:eastAsia="Times New Roman" w:cs="Times New Roman"/>
              </w:rPr>
              <w:t xml:space="preserve">Last Action: 3/6/2015 H Pending review of CS under Rule 7.19(c) </w:t>
            </w:r>
            <w:r>
              <w:rPr>
                <w:rFonts w:eastAsia="Times New Roman" w:cs="Times New Roman"/>
              </w:rPr>
              <w:br/>
              <w:t>Location: Pending Reference Review</w:t>
            </w:r>
          </w:p>
          <w:p>
            <w:pPr>
              <w:rPr>
                <w:rFonts w:eastAsia="Times New Roman" w:cs="Times New Roman"/>
              </w:rPr>
            </w:pPr>
            <w:r>
              <w:rPr>
                <w:rFonts w:eastAsia="Times New Roman" w:cs="Times New Roman"/>
              </w:rPr>
              <w:t xml:space="preserve">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3" w:history="1">
              <w:r>
                <w:rPr>
                  <w:rFonts w:eastAsia="Times New Roman" w:cs="Times New Roman"/>
                  <w:b/>
                  <w:bCs/>
                  <w:color w:val="0000FF"/>
                  <w:u w:val="single"/>
                </w:rPr>
                <w:t>HB 0181</w:t>
              </w:r>
            </w:hyperlink>
          </w:p>
        </w:tc>
        <w:tc>
          <w:tcPr>
            <w:tcW w:w="0" w:type="auto"/>
            <w:vAlign w:val="center"/>
            <w:hideMark/>
          </w:tcPr>
          <w:p>
            <w:pPr>
              <w:rPr>
                <w:rFonts w:eastAsia="Times New Roman" w:cs="Times New Roman"/>
              </w:rPr>
            </w:pPr>
            <w:r>
              <w:rPr>
                <w:rFonts w:eastAsia="Times New Roman" w:cs="Times New Roman"/>
              </w:rPr>
              <w:t>Educational Facilities</w:t>
            </w:r>
          </w:p>
        </w:tc>
        <w:tc>
          <w:tcPr>
            <w:tcW w:w="0" w:type="auto"/>
            <w:vAlign w:val="center"/>
            <w:hideMark/>
          </w:tcPr>
          <w:p>
            <w:pPr>
              <w:rPr>
                <w:rFonts w:eastAsia="Times New Roman" w:cs="Times New Roman"/>
              </w:rPr>
            </w:pPr>
            <w:r>
              <w:rPr>
                <w:rFonts w:eastAsia="Times New Roman" w:cs="Times New Roman"/>
              </w:rPr>
              <w:t xml:space="preserve">Bileca </w:t>
            </w:r>
          </w:p>
        </w:tc>
        <w:tc>
          <w:tcPr>
            <w:tcW w:w="0" w:type="auto"/>
            <w:vAlign w:val="center"/>
            <w:hideMark/>
          </w:tcPr>
          <w:p>
            <w:pPr>
              <w:rPr>
                <w:rFonts w:eastAsia="Times New Roman" w:cs="Times New Roman"/>
              </w:rPr>
            </w:pPr>
            <w:r>
              <w:rPr>
                <w:rFonts w:eastAsia="Times New Roman" w:cs="Times New Roman"/>
              </w:rPr>
              <w:t xml:space="preserve">Last Action: 3/3/2015 H Introduced -HJ 19 </w:t>
            </w:r>
            <w:r>
              <w:rPr>
                <w:rFonts w:eastAsia="Times New Roman" w:cs="Times New Roman"/>
              </w:rPr>
              <w:br/>
              <w:t xml:space="preserve">Location: In committee/council (KTS)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4" w:history="1">
              <w:r>
                <w:rPr>
                  <w:rFonts w:eastAsia="Times New Roman" w:cs="Times New Roman"/>
                  <w:b/>
                  <w:bCs/>
                  <w:color w:val="0000FF"/>
                  <w:u w:val="single"/>
                </w:rPr>
                <w:t>HB 0217</w:t>
              </w:r>
            </w:hyperlink>
          </w:p>
        </w:tc>
        <w:tc>
          <w:tcPr>
            <w:tcW w:w="0" w:type="auto"/>
            <w:vAlign w:val="center"/>
            <w:hideMark/>
          </w:tcPr>
          <w:p>
            <w:pPr>
              <w:rPr>
                <w:rFonts w:eastAsia="Times New Roman" w:cs="Times New Roman"/>
              </w:rPr>
            </w:pPr>
            <w:r>
              <w:rPr>
                <w:rFonts w:eastAsia="Times New Roman" w:cs="Times New Roman"/>
              </w:rPr>
              <w:t>Engineers</w:t>
            </w:r>
          </w:p>
        </w:tc>
        <w:tc>
          <w:tcPr>
            <w:tcW w:w="0" w:type="auto"/>
            <w:vAlign w:val="center"/>
            <w:hideMark/>
          </w:tcPr>
          <w:p>
            <w:pPr>
              <w:rPr>
                <w:rFonts w:eastAsia="Times New Roman" w:cs="Times New Roman"/>
              </w:rPr>
            </w:pPr>
            <w:r>
              <w:rPr>
                <w:rFonts w:eastAsia="Times New Roman" w:cs="Times New Roman"/>
              </w:rPr>
              <w:t xml:space="preserve">Van Zant </w:t>
            </w:r>
          </w:p>
        </w:tc>
        <w:tc>
          <w:tcPr>
            <w:tcW w:w="0" w:type="auto"/>
            <w:vAlign w:val="center"/>
            <w:hideMark/>
          </w:tcPr>
          <w:p>
            <w:pPr>
              <w:rPr>
                <w:rFonts w:eastAsia="Times New Roman" w:cs="Times New Roman"/>
              </w:rPr>
            </w:pPr>
            <w:r>
              <w:rPr>
                <w:rFonts w:eastAsia="Times New Roman" w:cs="Times New Roman"/>
              </w:rPr>
              <w:t xml:space="preserve">Last Action: 3/5/2015 H CS/CS by- Regulatory Affairs Committee; YEAS 17 NAYS 0 </w:t>
            </w:r>
            <w:r>
              <w:rPr>
                <w:rFonts w:eastAsia="Times New Roman" w:cs="Times New Roman"/>
              </w:rPr>
              <w:br/>
              <w:t xml:space="preserve">Location: Acted on by committee/council, pending report (RAC)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5" w:history="1">
              <w:r>
                <w:rPr>
                  <w:rFonts w:eastAsia="Times New Roman" w:cs="Times New Roman"/>
                  <w:b/>
                  <w:bCs/>
                  <w:color w:val="0000FF"/>
                  <w:u w:val="single"/>
                </w:rPr>
                <w:t>HB 0219</w:t>
              </w:r>
            </w:hyperlink>
          </w:p>
        </w:tc>
        <w:tc>
          <w:tcPr>
            <w:tcW w:w="0" w:type="auto"/>
            <w:vAlign w:val="center"/>
            <w:hideMark/>
          </w:tcPr>
          <w:p>
            <w:pPr>
              <w:rPr>
                <w:rFonts w:eastAsia="Times New Roman" w:cs="Times New Roman"/>
              </w:rPr>
            </w:pPr>
            <w:r>
              <w:rPr>
                <w:rFonts w:eastAsia="Times New Roman" w:cs="Times New Roman"/>
              </w:rPr>
              <w:t>Utilities Regulation</w:t>
            </w:r>
          </w:p>
        </w:tc>
        <w:tc>
          <w:tcPr>
            <w:tcW w:w="0" w:type="auto"/>
            <w:vAlign w:val="center"/>
            <w:hideMark/>
          </w:tcPr>
          <w:p>
            <w:pPr>
              <w:rPr>
                <w:rFonts w:eastAsia="Times New Roman" w:cs="Times New Roman"/>
              </w:rPr>
            </w:pPr>
            <w:r>
              <w:rPr>
                <w:rFonts w:eastAsia="Times New Roman" w:cs="Times New Roman"/>
              </w:rPr>
              <w:t xml:space="preserve">Peters </w:t>
            </w:r>
          </w:p>
        </w:tc>
        <w:tc>
          <w:tcPr>
            <w:tcW w:w="0" w:type="auto"/>
            <w:vAlign w:val="center"/>
            <w:hideMark/>
          </w:tcPr>
          <w:p>
            <w:pPr>
              <w:rPr>
                <w:rFonts w:eastAsia="Times New Roman" w:cs="Times New Roman"/>
              </w:rPr>
            </w:pPr>
            <w:r>
              <w:rPr>
                <w:rFonts w:eastAsia="Times New Roman" w:cs="Times New Roman"/>
              </w:rPr>
              <w:t xml:space="preserve">Last Action: 3/3/2015 H Introduced -HJ 22 </w:t>
            </w:r>
            <w:r>
              <w:rPr>
                <w:rFonts w:eastAsia="Times New Roman" w:cs="Times New Roman"/>
              </w:rPr>
              <w:br/>
              <w:t xml:space="preserve">Location: In committee/council (EUS)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6" w:history="1">
              <w:r>
                <w:rPr>
                  <w:rFonts w:eastAsia="Times New Roman" w:cs="Times New Roman"/>
                  <w:b/>
                  <w:bCs/>
                  <w:color w:val="0000FF"/>
                  <w:u w:val="single"/>
                </w:rPr>
                <w:t>SB 0284</w:t>
              </w:r>
            </w:hyperlink>
          </w:p>
        </w:tc>
        <w:tc>
          <w:tcPr>
            <w:tcW w:w="0" w:type="auto"/>
            <w:vAlign w:val="center"/>
            <w:hideMark/>
          </w:tcPr>
          <w:p>
            <w:pPr>
              <w:rPr>
                <w:rFonts w:eastAsia="Times New Roman" w:cs="Times New Roman"/>
              </w:rPr>
            </w:pPr>
            <w:r>
              <w:rPr>
                <w:rFonts w:eastAsia="Times New Roman" w:cs="Times New Roman"/>
              </w:rPr>
              <w:t>Permitting</w:t>
            </w:r>
          </w:p>
        </w:tc>
        <w:tc>
          <w:tcPr>
            <w:tcW w:w="0" w:type="auto"/>
            <w:vAlign w:val="center"/>
            <w:hideMark/>
          </w:tcPr>
          <w:p>
            <w:pPr>
              <w:rPr>
                <w:rFonts w:eastAsia="Times New Roman" w:cs="Times New Roman"/>
              </w:rPr>
            </w:pPr>
            <w:r>
              <w:rPr>
                <w:rFonts w:eastAsia="Times New Roman" w:cs="Times New Roman"/>
              </w:rPr>
              <w:t xml:space="preserve">Diaz de la </w:t>
            </w:r>
            <w:r>
              <w:rPr>
                <w:rFonts w:eastAsia="Times New Roman" w:cs="Times New Roman"/>
              </w:rPr>
              <w:lastRenderedPageBreak/>
              <w:t xml:space="preserve">Portilla </w:t>
            </w:r>
          </w:p>
        </w:tc>
        <w:tc>
          <w:tcPr>
            <w:tcW w:w="0" w:type="auto"/>
            <w:vAlign w:val="center"/>
            <w:hideMark/>
          </w:tcPr>
          <w:p>
            <w:pPr>
              <w:rPr>
                <w:rFonts w:eastAsia="Times New Roman" w:cs="Times New Roman"/>
              </w:rPr>
            </w:pPr>
            <w:r>
              <w:rPr>
                <w:rFonts w:eastAsia="Times New Roman" w:cs="Times New Roman"/>
              </w:rPr>
              <w:lastRenderedPageBreak/>
              <w:t xml:space="preserve">Last Action: 3/3/2015 S Introduced -SJ 50 </w:t>
            </w:r>
            <w:r>
              <w:rPr>
                <w:rFonts w:eastAsia="Times New Roman" w:cs="Times New Roman"/>
              </w:rPr>
              <w:br/>
            </w:r>
            <w:r>
              <w:rPr>
                <w:rFonts w:eastAsia="Times New Roman" w:cs="Times New Roman"/>
              </w:rPr>
              <w:lastRenderedPageBreak/>
              <w:t>Location: In committee/council (EP)</w:t>
            </w:r>
          </w:p>
          <w:p>
            <w:pPr>
              <w:rPr>
                <w:rFonts w:eastAsia="Times New Roman" w:cs="Times New Roman"/>
              </w:rPr>
            </w:pPr>
            <w:r>
              <w:rPr>
                <w:rFonts w:eastAsia="Times New Roman" w:cs="Times New Roman"/>
              </w:rPr>
              <w:t xml:space="preserve">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7" w:history="1">
              <w:r>
                <w:rPr>
                  <w:rFonts w:eastAsia="Times New Roman" w:cs="Times New Roman"/>
                  <w:b/>
                  <w:bCs/>
                  <w:color w:val="0000FF"/>
                  <w:u w:val="single"/>
                </w:rPr>
                <w:t>SB 0338</w:t>
              </w:r>
            </w:hyperlink>
          </w:p>
        </w:tc>
        <w:tc>
          <w:tcPr>
            <w:tcW w:w="0" w:type="auto"/>
            <w:vAlign w:val="center"/>
            <w:hideMark/>
          </w:tcPr>
          <w:p>
            <w:pPr>
              <w:rPr>
                <w:rFonts w:eastAsia="Times New Roman" w:cs="Times New Roman"/>
              </w:rPr>
            </w:pPr>
            <w:r>
              <w:rPr>
                <w:rFonts w:eastAsia="Times New Roman" w:cs="Times New Roman"/>
              </w:rPr>
              <w:t>Engineers</w:t>
            </w:r>
          </w:p>
        </w:tc>
        <w:tc>
          <w:tcPr>
            <w:tcW w:w="0" w:type="auto"/>
            <w:vAlign w:val="center"/>
            <w:hideMark/>
          </w:tcPr>
          <w:p>
            <w:pPr>
              <w:rPr>
                <w:rFonts w:eastAsia="Times New Roman" w:cs="Times New Roman"/>
              </w:rPr>
            </w:pPr>
            <w:r>
              <w:rPr>
                <w:rFonts w:eastAsia="Times New Roman" w:cs="Times New Roman"/>
              </w:rPr>
              <w:t xml:space="preserve">Altman </w:t>
            </w:r>
          </w:p>
        </w:tc>
        <w:tc>
          <w:tcPr>
            <w:tcW w:w="0" w:type="auto"/>
            <w:vAlign w:val="center"/>
            <w:hideMark/>
          </w:tcPr>
          <w:p>
            <w:pPr>
              <w:rPr>
                <w:rFonts w:eastAsia="Times New Roman" w:cs="Times New Roman"/>
              </w:rPr>
            </w:pPr>
            <w:r>
              <w:rPr>
                <w:rFonts w:eastAsia="Times New Roman" w:cs="Times New Roman"/>
              </w:rPr>
              <w:t xml:space="preserve">Last Action: 3/6/2015 S On Committee agenda-- Regulated Industries, 03/11/15, 2:00 pm, 110 Senate Office Building </w:t>
            </w:r>
            <w:r>
              <w:rPr>
                <w:rFonts w:eastAsia="Times New Roman" w:cs="Times New Roman"/>
              </w:rPr>
              <w:br/>
              <w:t>Location: On agenda (RI)</w:t>
            </w:r>
          </w:p>
          <w:p>
            <w:pPr>
              <w:rPr>
                <w:rFonts w:eastAsia="Times New Roman" w:cs="Times New Roman"/>
              </w:rPr>
            </w:pPr>
            <w:r>
              <w:rPr>
                <w:rFonts w:eastAsia="Times New Roman" w:cs="Times New Roman"/>
              </w:rPr>
              <w:t xml:space="preserve">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8" w:history="1">
              <w:r>
                <w:rPr>
                  <w:rFonts w:eastAsia="Times New Roman" w:cs="Times New Roman"/>
                  <w:b/>
                  <w:bCs/>
                  <w:color w:val="0000FF"/>
                  <w:u w:val="single"/>
                </w:rPr>
                <w:t>SB 0348</w:t>
              </w:r>
            </w:hyperlink>
          </w:p>
        </w:tc>
        <w:tc>
          <w:tcPr>
            <w:tcW w:w="0" w:type="auto"/>
            <w:vAlign w:val="center"/>
            <w:hideMark/>
          </w:tcPr>
          <w:p>
            <w:pPr>
              <w:rPr>
                <w:rFonts w:eastAsia="Times New Roman" w:cs="Times New Roman"/>
              </w:rPr>
            </w:pPr>
            <w:r>
              <w:rPr>
                <w:rFonts w:eastAsia="Times New Roman" w:cs="Times New Roman"/>
              </w:rPr>
              <w:t>Purchasers of Condominium Units</w:t>
            </w:r>
          </w:p>
        </w:tc>
        <w:tc>
          <w:tcPr>
            <w:tcW w:w="0" w:type="auto"/>
            <w:vAlign w:val="center"/>
            <w:hideMark/>
          </w:tcPr>
          <w:p>
            <w:pPr>
              <w:rPr>
                <w:rFonts w:eastAsia="Times New Roman" w:cs="Times New Roman"/>
              </w:rPr>
            </w:pPr>
            <w:r>
              <w:rPr>
                <w:rFonts w:eastAsia="Times New Roman" w:cs="Times New Roman"/>
              </w:rPr>
              <w:t xml:space="preserve">Ring </w:t>
            </w:r>
          </w:p>
        </w:tc>
        <w:tc>
          <w:tcPr>
            <w:tcW w:w="0" w:type="auto"/>
            <w:vAlign w:val="center"/>
            <w:hideMark/>
          </w:tcPr>
          <w:p>
            <w:pPr>
              <w:rPr>
                <w:rFonts w:eastAsia="Times New Roman" w:cs="Times New Roman"/>
              </w:rPr>
            </w:pPr>
            <w:r>
              <w:rPr>
                <w:rFonts w:eastAsia="Times New Roman" w:cs="Times New Roman"/>
              </w:rPr>
              <w:t xml:space="preserve">Last Action: 3/3/2015 S Introduced -SJ 54 </w:t>
            </w:r>
            <w:r>
              <w:rPr>
                <w:rFonts w:eastAsia="Times New Roman" w:cs="Times New Roman"/>
              </w:rPr>
              <w:br/>
              <w:t xml:space="preserve">Location: In committee/council (RI)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19" w:history="1">
              <w:r>
                <w:rPr>
                  <w:rFonts w:eastAsia="Times New Roman" w:cs="Times New Roman"/>
                  <w:b/>
                  <w:bCs/>
                  <w:color w:val="0000FF"/>
                  <w:u w:val="single"/>
                </w:rPr>
                <w:t>SJR 0400</w:t>
              </w:r>
            </w:hyperlink>
          </w:p>
        </w:tc>
        <w:tc>
          <w:tcPr>
            <w:tcW w:w="0" w:type="auto"/>
            <w:vAlign w:val="center"/>
            <w:hideMark/>
          </w:tcPr>
          <w:p>
            <w:pPr>
              <w:rPr>
                <w:rFonts w:eastAsia="Times New Roman" w:cs="Times New Roman"/>
              </w:rPr>
            </w:pPr>
            <w:r>
              <w:rPr>
                <w:rFonts w:eastAsia="Times New Roman" w:cs="Times New Roman"/>
              </w:rPr>
              <w:t>Renewable Energy Source Device/Taxation</w:t>
            </w:r>
          </w:p>
        </w:tc>
        <w:tc>
          <w:tcPr>
            <w:tcW w:w="0" w:type="auto"/>
            <w:vAlign w:val="center"/>
            <w:hideMark/>
          </w:tcPr>
          <w:p>
            <w:pPr>
              <w:rPr>
                <w:rFonts w:eastAsia="Times New Roman" w:cs="Times New Roman"/>
              </w:rPr>
            </w:pPr>
            <w:r>
              <w:rPr>
                <w:rFonts w:eastAsia="Times New Roman" w:cs="Times New Roman"/>
              </w:rPr>
              <w:t xml:space="preserve">Brandes </w:t>
            </w:r>
          </w:p>
        </w:tc>
        <w:tc>
          <w:tcPr>
            <w:tcW w:w="0" w:type="auto"/>
            <w:vAlign w:val="center"/>
            <w:hideMark/>
          </w:tcPr>
          <w:p>
            <w:pPr>
              <w:rPr>
                <w:rFonts w:eastAsia="Times New Roman" w:cs="Times New Roman"/>
              </w:rPr>
            </w:pPr>
            <w:r>
              <w:rPr>
                <w:rFonts w:eastAsia="Times New Roman" w:cs="Times New Roman"/>
              </w:rPr>
              <w:t xml:space="preserve">Last Action: 3/5/2015 S On Committee agenda-- Communications, Energy, and Public Utilities, 03/10/15, 4:00 pm, 301 Senate Office Building </w:t>
            </w:r>
            <w:r>
              <w:rPr>
                <w:rFonts w:eastAsia="Times New Roman" w:cs="Times New Roman"/>
              </w:rPr>
              <w:br/>
              <w:t xml:space="preserve">Location: On agenda (CU)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0" w:history="1">
              <w:r>
                <w:rPr>
                  <w:rFonts w:eastAsia="Times New Roman" w:cs="Times New Roman"/>
                  <w:b/>
                  <w:bCs/>
                  <w:color w:val="0000FF"/>
                  <w:u w:val="single"/>
                </w:rPr>
                <w:t>SB 0402</w:t>
              </w:r>
            </w:hyperlink>
          </w:p>
        </w:tc>
        <w:tc>
          <w:tcPr>
            <w:tcW w:w="0" w:type="auto"/>
            <w:vAlign w:val="center"/>
            <w:hideMark/>
          </w:tcPr>
          <w:p>
            <w:pPr>
              <w:rPr>
                <w:rFonts w:eastAsia="Times New Roman" w:cs="Times New Roman"/>
              </w:rPr>
            </w:pPr>
            <w:r>
              <w:rPr>
                <w:rFonts w:eastAsia="Times New Roman" w:cs="Times New Roman"/>
              </w:rPr>
              <w:t>Renewable Energy Source Devices</w:t>
            </w:r>
          </w:p>
        </w:tc>
        <w:tc>
          <w:tcPr>
            <w:tcW w:w="0" w:type="auto"/>
            <w:vAlign w:val="center"/>
            <w:hideMark/>
          </w:tcPr>
          <w:p>
            <w:pPr>
              <w:rPr>
                <w:rFonts w:eastAsia="Times New Roman" w:cs="Times New Roman"/>
              </w:rPr>
            </w:pPr>
            <w:r>
              <w:rPr>
                <w:rFonts w:eastAsia="Times New Roman" w:cs="Times New Roman"/>
              </w:rPr>
              <w:t xml:space="preserve">Brandes </w:t>
            </w:r>
          </w:p>
        </w:tc>
        <w:tc>
          <w:tcPr>
            <w:tcW w:w="0" w:type="auto"/>
            <w:vAlign w:val="center"/>
            <w:hideMark/>
          </w:tcPr>
          <w:p>
            <w:pPr>
              <w:rPr>
                <w:rFonts w:eastAsia="Times New Roman" w:cs="Times New Roman"/>
              </w:rPr>
            </w:pPr>
            <w:r>
              <w:rPr>
                <w:rFonts w:eastAsia="Times New Roman" w:cs="Times New Roman"/>
              </w:rPr>
              <w:t xml:space="preserve">Last Action: 3/5/2015 S On Committee agenda-- Communications, Energy, and Public Utilities, 03/10/15, 4:00 pm, 301 Senate Office Building </w:t>
            </w:r>
            <w:r>
              <w:rPr>
                <w:rFonts w:eastAsia="Times New Roman" w:cs="Times New Roman"/>
              </w:rPr>
              <w:br/>
              <w:t xml:space="preserve">Location: On agenda (CU)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1" w:history="1">
              <w:r>
                <w:rPr>
                  <w:rFonts w:eastAsia="Times New Roman" w:cs="Times New Roman"/>
                  <w:b/>
                  <w:bCs/>
                  <w:color w:val="0000FF"/>
                  <w:u w:val="single"/>
                </w:rPr>
                <w:t>SB 0412</w:t>
              </w:r>
            </w:hyperlink>
          </w:p>
        </w:tc>
        <w:tc>
          <w:tcPr>
            <w:tcW w:w="0" w:type="auto"/>
            <w:vAlign w:val="center"/>
            <w:hideMark/>
          </w:tcPr>
          <w:p>
            <w:pPr>
              <w:rPr>
                <w:rFonts w:eastAsia="Times New Roman" w:cs="Times New Roman"/>
              </w:rPr>
            </w:pPr>
            <w:r>
              <w:rPr>
                <w:rFonts w:eastAsia="Times New Roman" w:cs="Times New Roman"/>
              </w:rPr>
              <w:t>Alarm Systems</w:t>
            </w:r>
          </w:p>
        </w:tc>
        <w:tc>
          <w:tcPr>
            <w:tcW w:w="0" w:type="auto"/>
            <w:vAlign w:val="center"/>
            <w:hideMark/>
          </w:tcPr>
          <w:p>
            <w:pPr>
              <w:rPr>
                <w:rFonts w:eastAsia="Times New Roman" w:cs="Times New Roman"/>
              </w:rPr>
            </w:pPr>
            <w:r>
              <w:rPr>
                <w:rFonts w:eastAsia="Times New Roman" w:cs="Times New Roman"/>
              </w:rPr>
              <w:t xml:space="preserve">Diaz de la Portilla </w:t>
            </w:r>
          </w:p>
        </w:tc>
        <w:tc>
          <w:tcPr>
            <w:tcW w:w="0" w:type="auto"/>
            <w:vAlign w:val="center"/>
            <w:hideMark/>
          </w:tcPr>
          <w:p>
            <w:pPr>
              <w:rPr>
                <w:rFonts w:eastAsia="Times New Roman" w:cs="Times New Roman"/>
              </w:rPr>
            </w:pPr>
            <w:r>
              <w:rPr>
                <w:rFonts w:eastAsia="Times New Roman" w:cs="Times New Roman"/>
              </w:rPr>
              <w:t xml:space="preserve">Last Action: 3/3/2015 S Introduced -SJ 60 </w:t>
            </w:r>
            <w:r>
              <w:rPr>
                <w:rFonts w:eastAsia="Times New Roman" w:cs="Times New Roman"/>
              </w:rPr>
              <w:br/>
              <w:t xml:space="preserve">Location: In committee/council (CJ)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2" w:history="1">
              <w:r>
                <w:rPr>
                  <w:rFonts w:eastAsia="Times New Roman" w:cs="Times New Roman"/>
                  <w:b/>
                  <w:bCs/>
                  <w:color w:val="0000FF"/>
                  <w:u w:val="single"/>
                </w:rPr>
                <w:t>HB 0413</w:t>
              </w:r>
            </w:hyperlink>
          </w:p>
        </w:tc>
        <w:tc>
          <w:tcPr>
            <w:tcW w:w="0" w:type="auto"/>
            <w:vAlign w:val="center"/>
            <w:hideMark/>
          </w:tcPr>
          <w:p>
            <w:pPr>
              <w:rPr>
                <w:rFonts w:eastAsia="Times New Roman" w:cs="Times New Roman"/>
              </w:rPr>
            </w:pPr>
            <w:r>
              <w:rPr>
                <w:rFonts w:eastAsia="Times New Roman" w:cs="Times New Roman"/>
              </w:rPr>
              <w:t>Low-Voltage Alarm Systems</w:t>
            </w:r>
          </w:p>
        </w:tc>
        <w:tc>
          <w:tcPr>
            <w:tcW w:w="0" w:type="auto"/>
            <w:vAlign w:val="center"/>
            <w:hideMark/>
          </w:tcPr>
          <w:p>
            <w:pPr>
              <w:rPr>
                <w:rFonts w:eastAsia="Times New Roman" w:cs="Times New Roman"/>
              </w:rPr>
            </w:pPr>
            <w:r>
              <w:rPr>
                <w:rFonts w:eastAsia="Times New Roman" w:cs="Times New Roman"/>
              </w:rPr>
              <w:t xml:space="preserve">Cortes </w:t>
            </w:r>
          </w:p>
        </w:tc>
        <w:tc>
          <w:tcPr>
            <w:tcW w:w="0" w:type="auto"/>
            <w:vAlign w:val="center"/>
            <w:hideMark/>
          </w:tcPr>
          <w:p>
            <w:pPr>
              <w:rPr>
                <w:rFonts w:eastAsia="Times New Roman" w:cs="Times New Roman"/>
              </w:rPr>
            </w:pPr>
            <w:r>
              <w:rPr>
                <w:rFonts w:eastAsia="Times New Roman" w:cs="Times New Roman"/>
              </w:rPr>
              <w:t xml:space="preserve">Last Action: 3/3/2015 H Now in Regulatory Affairs Committee -HJ 170 </w:t>
            </w:r>
            <w:r>
              <w:rPr>
                <w:rFonts w:eastAsia="Times New Roman" w:cs="Times New Roman"/>
              </w:rPr>
              <w:br/>
              <w:t xml:space="preserve">Location: In committee/council (RAC)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3" w:history="1">
              <w:r>
                <w:rPr>
                  <w:rFonts w:eastAsia="Times New Roman" w:cs="Times New Roman"/>
                  <w:b/>
                  <w:bCs/>
                  <w:color w:val="0000FF"/>
                  <w:u w:val="single"/>
                </w:rPr>
                <w:t>SB 0418</w:t>
              </w:r>
            </w:hyperlink>
          </w:p>
        </w:tc>
        <w:tc>
          <w:tcPr>
            <w:tcW w:w="0" w:type="auto"/>
            <w:vAlign w:val="center"/>
            <w:hideMark/>
          </w:tcPr>
          <w:p>
            <w:pPr>
              <w:rPr>
                <w:rFonts w:eastAsia="Times New Roman" w:cs="Times New Roman"/>
              </w:rPr>
            </w:pPr>
            <w:r>
              <w:rPr>
                <w:rFonts w:eastAsia="Times New Roman" w:cs="Times New Roman"/>
              </w:rPr>
              <w:t>Construction Defect Claims</w:t>
            </w:r>
          </w:p>
        </w:tc>
        <w:tc>
          <w:tcPr>
            <w:tcW w:w="0" w:type="auto"/>
            <w:vAlign w:val="center"/>
            <w:hideMark/>
          </w:tcPr>
          <w:p>
            <w:pPr>
              <w:rPr>
                <w:rFonts w:eastAsia="Times New Roman" w:cs="Times New Roman"/>
              </w:rPr>
            </w:pPr>
            <w:r>
              <w:rPr>
                <w:rFonts w:eastAsia="Times New Roman" w:cs="Times New Roman"/>
              </w:rPr>
              <w:t xml:space="preserve">Richter </w:t>
            </w:r>
          </w:p>
        </w:tc>
        <w:tc>
          <w:tcPr>
            <w:tcW w:w="0" w:type="auto"/>
            <w:vAlign w:val="center"/>
            <w:hideMark/>
          </w:tcPr>
          <w:p>
            <w:pPr>
              <w:rPr>
                <w:rFonts w:eastAsia="Times New Roman" w:cs="Times New Roman"/>
              </w:rPr>
            </w:pPr>
            <w:r>
              <w:rPr>
                <w:rFonts w:eastAsia="Times New Roman" w:cs="Times New Roman"/>
              </w:rPr>
              <w:t xml:space="preserve">Last Action: 3/3/2015 S Introduced -SJ 60 </w:t>
            </w:r>
            <w:r>
              <w:rPr>
                <w:rFonts w:eastAsia="Times New Roman" w:cs="Times New Roman"/>
              </w:rPr>
              <w:br/>
              <w:t xml:space="preserve">Location: In committee/council (RI) </w:t>
            </w:r>
          </w:p>
          <w:p>
            <w:pPr>
              <w:rPr>
                <w:rFonts w:eastAsia="Times New Roman" w:cs="Times New Roman"/>
                <w:b/>
              </w:rPr>
            </w:pPr>
            <w:r>
              <w:rPr>
                <w:rFonts w:eastAsia="Times New Roman" w:cs="Times New Roman"/>
                <w:b/>
              </w:rPr>
              <w:t>Companion Bill House Bill 87</w:t>
            </w:r>
          </w:p>
          <w:p>
            <w:pPr>
              <w:rPr>
                <w:rFonts w:eastAsia="Times New Roman" w:cs="Times New Roman"/>
                <w:b/>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4" w:history="1">
              <w:r>
                <w:rPr>
                  <w:rFonts w:eastAsia="Times New Roman" w:cs="Times New Roman"/>
                  <w:b/>
                  <w:bCs/>
                  <w:color w:val="0000FF"/>
                  <w:u w:val="single"/>
                </w:rPr>
                <w:t>SB 0466</w:t>
              </w:r>
            </w:hyperlink>
          </w:p>
        </w:tc>
        <w:tc>
          <w:tcPr>
            <w:tcW w:w="0" w:type="auto"/>
            <w:vAlign w:val="center"/>
            <w:hideMark/>
          </w:tcPr>
          <w:p>
            <w:pPr>
              <w:rPr>
                <w:rFonts w:eastAsia="Times New Roman" w:cs="Times New Roman"/>
              </w:rPr>
            </w:pPr>
            <w:r>
              <w:rPr>
                <w:rFonts w:eastAsia="Times New Roman" w:cs="Times New Roman"/>
              </w:rPr>
              <w:t>Low-voltage Alarm Systems</w:t>
            </w:r>
          </w:p>
        </w:tc>
        <w:tc>
          <w:tcPr>
            <w:tcW w:w="0" w:type="auto"/>
            <w:vAlign w:val="center"/>
            <w:hideMark/>
          </w:tcPr>
          <w:p>
            <w:pPr>
              <w:rPr>
                <w:rFonts w:eastAsia="Times New Roman" w:cs="Times New Roman"/>
              </w:rPr>
            </w:pPr>
            <w:r>
              <w:rPr>
                <w:rFonts w:eastAsia="Times New Roman" w:cs="Times New Roman"/>
              </w:rPr>
              <w:t xml:space="preserve">Flores </w:t>
            </w:r>
          </w:p>
        </w:tc>
        <w:tc>
          <w:tcPr>
            <w:tcW w:w="0" w:type="auto"/>
            <w:vAlign w:val="center"/>
            <w:hideMark/>
          </w:tcPr>
          <w:p>
            <w:pPr>
              <w:rPr>
                <w:rFonts w:eastAsia="Times New Roman" w:cs="Times New Roman"/>
              </w:rPr>
            </w:pPr>
            <w:r>
              <w:rPr>
                <w:rFonts w:eastAsia="Times New Roman" w:cs="Times New Roman"/>
              </w:rPr>
              <w:t xml:space="preserve">Last Action: 3/6/2015 S Now in Community Affairs </w:t>
            </w:r>
            <w:r>
              <w:rPr>
                <w:rFonts w:eastAsia="Times New Roman" w:cs="Times New Roman"/>
              </w:rPr>
              <w:br/>
              <w:t xml:space="preserve">Location: In committee/council (CA)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5" w:history="1">
              <w:r>
                <w:rPr>
                  <w:rFonts w:eastAsia="Times New Roman" w:cs="Times New Roman"/>
                  <w:b/>
                  <w:bCs/>
                  <w:color w:val="0000FF"/>
                  <w:u w:val="single"/>
                </w:rPr>
                <w:t>HB 0491</w:t>
              </w:r>
            </w:hyperlink>
          </w:p>
        </w:tc>
        <w:tc>
          <w:tcPr>
            <w:tcW w:w="0" w:type="auto"/>
            <w:vAlign w:val="center"/>
            <w:hideMark/>
          </w:tcPr>
          <w:p>
            <w:pPr>
              <w:rPr>
                <w:rFonts w:eastAsia="Times New Roman" w:cs="Times New Roman"/>
              </w:rPr>
            </w:pPr>
            <w:r>
              <w:rPr>
                <w:rFonts w:eastAsia="Times New Roman" w:cs="Times New Roman"/>
              </w:rPr>
              <w:t>Property Insurance Appraisal Umpires and Property Insurance Appraisers</w:t>
            </w:r>
          </w:p>
        </w:tc>
        <w:tc>
          <w:tcPr>
            <w:tcW w:w="0" w:type="auto"/>
            <w:vAlign w:val="center"/>
            <w:hideMark/>
          </w:tcPr>
          <w:p>
            <w:pPr>
              <w:rPr>
                <w:rFonts w:eastAsia="Times New Roman" w:cs="Times New Roman"/>
              </w:rPr>
            </w:pPr>
            <w:r>
              <w:rPr>
                <w:rFonts w:eastAsia="Times New Roman" w:cs="Times New Roman"/>
              </w:rPr>
              <w:t xml:space="preserve">Artiles </w:t>
            </w:r>
          </w:p>
        </w:tc>
        <w:tc>
          <w:tcPr>
            <w:tcW w:w="0" w:type="auto"/>
            <w:vAlign w:val="center"/>
            <w:hideMark/>
          </w:tcPr>
          <w:p>
            <w:pPr>
              <w:rPr>
                <w:rFonts w:eastAsia="Times New Roman" w:cs="Times New Roman"/>
              </w:rPr>
            </w:pPr>
            <w:r>
              <w:rPr>
                <w:rFonts w:eastAsia="Times New Roman" w:cs="Times New Roman"/>
              </w:rPr>
              <w:t xml:space="preserve">Last Action: 3/3/2015 H Introduced -HJ 42 </w:t>
            </w:r>
            <w:r>
              <w:rPr>
                <w:rFonts w:eastAsia="Times New Roman" w:cs="Times New Roman"/>
              </w:rPr>
              <w:br/>
              <w:t xml:space="preserve">Location: In committee/council (IBS)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6" w:history="1">
              <w:r>
                <w:rPr>
                  <w:rFonts w:eastAsia="Times New Roman" w:cs="Times New Roman"/>
                  <w:b/>
                  <w:bCs/>
                  <w:color w:val="0000FF"/>
                  <w:u w:val="single"/>
                </w:rPr>
                <w:t>HB 0501</w:t>
              </w:r>
            </w:hyperlink>
          </w:p>
        </w:tc>
        <w:tc>
          <w:tcPr>
            <w:tcW w:w="0" w:type="auto"/>
            <w:vAlign w:val="center"/>
            <w:hideMark/>
          </w:tcPr>
          <w:p>
            <w:pPr>
              <w:rPr>
                <w:rFonts w:eastAsia="Times New Roman" w:cs="Times New Roman"/>
              </w:rPr>
            </w:pPr>
            <w:r>
              <w:rPr>
                <w:rFonts w:eastAsia="Times New Roman" w:cs="Times New Roman"/>
              </w:rPr>
              <w:t>Limitation of Actions</w:t>
            </w:r>
          </w:p>
        </w:tc>
        <w:tc>
          <w:tcPr>
            <w:tcW w:w="0" w:type="auto"/>
            <w:vAlign w:val="center"/>
            <w:hideMark/>
          </w:tcPr>
          <w:p>
            <w:pPr>
              <w:rPr>
                <w:rFonts w:eastAsia="Times New Roman" w:cs="Times New Roman"/>
              </w:rPr>
            </w:pPr>
            <w:r>
              <w:rPr>
                <w:rFonts w:eastAsia="Times New Roman" w:cs="Times New Roman"/>
              </w:rPr>
              <w:t xml:space="preserve">Fant </w:t>
            </w:r>
          </w:p>
        </w:tc>
        <w:tc>
          <w:tcPr>
            <w:tcW w:w="0" w:type="auto"/>
            <w:vAlign w:val="center"/>
            <w:hideMark/>
          </w:tcPr>
          <w:p>
            <w:pPr>
              <w:rPr>
                <w:rFonts w:eastAsia="Times New Roman" w:cs="Times New Roman"/>
              </w:rPr>
            </w:pPr>
            <w:r>
              <w:rPr>
                <w:rFonts w:eastAsia="Times New Roman" w:cs="Times New Roman"/>
              </w:rPr>
              <w:t xml:space="preserve">Last Action: 3/3/2015 H CS by Civil Justice Subcommittee read 1st time -HJ 129 </w:t>
            </w:r>
            <w:r>
              <w:rPr>
                <w:rFonts w:eastAsia="Times New Roman" w:cs="Times New Roman"/>
              </w:rPr>
              <w:br/>
              <w:t xml:space="preserve">Location: In committee/council (JDC)  </w:t>
            </w:r>
          </w:p>
          <w:p>
            <w:pPr>
              <w:rPr>
                <w:rFonts w:eastAsia="Times New Roman" w:cs="Times New Roman"/>
                <w:b/>
                <w:u w:val="single"/>
              </w:rPr>
            </w:pPr>
            <w:r>
              <w:rPr>
                <w:rFonts w:eastAsia="Times New Roman" w:cs="Times New Roman"/>
                <w:b/>
                <w:u w:val="single"/>
              </w:rPr>
              <w:lastRenderedPageBreak/>
              <w:t>Companion Bill: Senate Bill 1158</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7" w:history="1">
              <w:r>
                <w:rPr>
                  <w:rFonts w:eastAsia="Times New Roman" w:cs="Times New Roman"/>
                  <w:b/>
                  <w:bCs/>
                  <w:color w:val="0000FF"/>
                  <w:u w:val="single"/>
                </w:rPr>
                <w:t>HB 0509</w:t>
              </w:r>
            </w:hyperlink>
          </w:p>
        </w:tc>
        <w:tc>
          <w:tcPr>
            <w:tcW w:w="0" w:type="auto"/>
            <w:vAlign w:val="center"/>
            <w:hideMark/>
          </w:tcPr>
          <w:p>
            <w:pPr>
              <w:rPr>
                <w:rFonts w:eastAsia="Times New Roman" w:cs="Times New Roman"/>
              </w:rPr>
            </w:pPr>
            <w:r>
              <w:rPr>
                <w:rFonts w:eastAsia="Times New Roman" w:cs="Times New Roman"/>
              </w:rPr>
              <w:t>Solar Energy</w:t>
            </w:r>
          </w:p>
        </w:tc>
        <w:tc>
          <w:tcPr>
            <w:tcW w:w="0" w:type="auto"/>
            <w:vAlign w:val="center"/>
            <w:hideMark/>
          </w:tcPr>
          <w:p>
            <w:pPr>
              <w:rPr>
                <w:rFonts w:eastAsia="Times New Roman" w:cs="Times New Roman"/>
              </w:rPr>
            </w:pPr>
            <w:r>
              <w:rPr>
                <w:rFonts w:eastAsia="Times New Roman" w:cs="Times New Roman"/>
              </w:rPr>
              <w:t xml:space="preserve">Cortes </w:t>
            </w:r>
          </w:p>
        </w:tc>
        <w:tc>
          <w:tcPr>
            <w:tcW w:w="0" w:type="auto"/>
            <w:vAlign w:val="center"/>
            <w:hideMark/>
          </w:tcPr>
          <w:p>
            <w:pPr>
              <w:rPr>
                <w:rFonts w:eastAsia="Times New Roman" w:cs="Times New Roman"/>
              </w:rPr>
            </w:pPr>
            <w:r>
              <w:rPr>
                <w:rFonts w:eastAsia="Times New Roman" w:cs="Times New Roman"/>
              </w:rPr>
              <w:t xml:space="preserve">Last Action: 2/20/2015 H Withdrawn prior to introduction -HJ 43 </w:t>
            </w:r>
            <w:r>
              <w:rPr>
                <w:rFonts w:eastAsia="Times New Roman" w:cs="Times New Roman"/>
              </w:rPr>
              <w:br/>
              <w:t xml:space="preserve">Location: Withdrawn from consideration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8" w:history="1">
              <w:r>
                <w:rPr>
                  <w:rFonts w:eastAsia="Times New Roman" w:cs="Times New Roman"/>
                  <w:b/>
                  <w:bCs/>
                  <w:color w:val="0000FF"/>
                  <w:u w:val="single"/>
                </w:rPr>
                <w:t>HB 0525</w:t>
              </w:r>
            </w:hyperlink>
          </w:p>
        </w:tc>
        <w:tc>
          <w:tcPr>
            <w:tcW w:w="0" w:type="auto"/>
            <w:vAlign w:val="center"/>
            <w:hideMark/>
          </w:tcPr>
          <w:p>
            <w:pPr>
              <w:rPr>
                <w:rFonts w:eastAsia="Times New Roman" w:cs="Times New Roman"/>
              </w:rPr>
            </w:pPr>
            <w:r>
              <w:rPr>
                <w:rFonts w:eastAsia="Times New Roman" w:cs="Times New Roman"/>
              </w:rPr>
              <w:t>Florida Building Code</w:t>
            </w:r>
          </w:p>
        </w:tc>
        <w:tc>
          <w:tcPr>
            <w:tcW w:w="0" w:type="auto"/>
            <w:vAlign w:val="center"/>
            <w:hideMark/>
          </w:tcPr>
          <w:p>
            <w:pPr>
              <w:rPr>
                <w:rFonts w:eastAsia="Times New Roman" w:cs="Times New Roman"/>
              </w:rPr>
            </w:pPr>
            <w:r>
              <w:rPr>
                <w:rFonts w:eastAsia="Times New Roman" w:cs="Times New Roman"/>
              </w:rPr>
              <w:t xml:space="preserve">Jacobs </w:t>
            </w:r>
          </w:p>
        </w:tc>
        <w:tc>
          <w:tcPr>
            <w:tcW w:w="0" w:type="auto"/>
            <w:vAlign w:val="center"/>
            <w:hideMark/>
          </w:tcPr>
          <w:p>
            <w:pPr>
              <w:rPr>
                <w:rFonts w:eastAsia="Times New Roman" w:cs="Times New Roman"/>
              </w:rPr>
            </w:pPr>
            <w:r>
              <w:rPr>
                <w:rFonts w:eastAsia="Times New Roman" w:cs="Times New Roman"/>
              </w:rPr>
              <w:t xml:space="preserve">Last Action: 3/3/2015 H Introduced -HJ 44 </w:t>
            </w:r>
            <w:r>
              <w:rPr>
                <w:rFonts w:eastAsia="Times New Roman" w:cs="Times New Roman"/>
              </w:rPr>
              <w:br/>
              <w:t xml:space="preserve">Location: In committee/council (BPS)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29" w:history="1">
              <w:r>
                <w:rPr>
                  <w:rFonts w:eastAsia="Times New Roman" w:cs="Times New Roman"/>
                  <w:b/>
                  <w:bCs/>
                  <w:color w:val="0000FF"/>
                  <w:u w:val="single"/>
                </w:rPr>
                <w:t>HB 0543</w:t>
              </w:r>
            </w:hyperlink>
          </w:p>
        </w:tc>
        <w:tc>
          <w:tcPr>
            <w:tcW w:w="0" w:type="auto"/>
            <w:vAlign w:val="center"/>
            <w:hideMark/>
          </w:tcPr>
          <w:p>
            <w:pPr>
              <w:rPr>
                <w:rFonts w:eastAsia="Times New Roman" w:cs="Times New Roman"/>
              </w:rPr>
            </w:pPr>
            <w:r>
              <w:rPr>
                <w:rFonts w:eastAsia="Times New Roman" w:cs="Times New Roman"/>
              </w:rPr>
              <w:t>Alarm Systems</w:t>
            </w:r>
          </w:p>
        </w:tc>
        <w:tc>
          <w:tcPr>
            <w:tcW w:w="0" w:type="auto"/>
            <w:vAlign w:val="center"/>
            <w:hideMark/>
          </w:tcPr>
          <w:p>
            <w:pPr>
              <w:rPr>
                <w:rFonts w:eastAsia="Times New Roman" w:cs="Times New Roman"/>
              </w:rPr>
            </w:pPr>
            <w:r>
              <w:rPr>
                <w:rFonts w:eastAsia="Times New Roman" w:cs="Times New Roman"/>
              </w:rPr>
              <w:t xml:space="preserve">Rodriguez </w:t>
            </w:r>
          </w:p>
        </w:tc>
        <w:tc>
          <w:tcPr>
            <w:tcW w:w="0" w:type="auto"/>
            <w:vAlign w:val="center"/>
            <w:hideMark/>
          </w:tcPr>
          <w:p>
            <w:pPr>
              <w:rPr>
                <w:rFonts w:eastAsia="Times New Roman" w:cs="Times New Roman"/>
              </w:rPr>
            </w:pPr>
            <w:r>
              <w:rPr>
                <w:rFonts w:eastAsia="Times New Roman" w:cs="Times New Roman"/>
              </w:rPr>
              <w:t xml:space="preserve">Last Action: 3/3/2015 H Introduced -HJ 45 </w:t>
            </w:r>
            <w:r>
              <w:rPr>
                <w:rFonts w:eastAsia="Times New Roman" w:cs="Times New Roman"/>
              </w:rPr>
              <w:br/>
              <w:t xml:space="preserve">Location: In committee/council (BPS)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30" w:history="1">
              <w:r>
                <w:rPr>
                  <w:rFonts w:eastAsia="Times New Roman" w:cs="Times New Roman"/>
                  <w:b/>
                  <w:bCs/>
                  <w:color w:val="0000FF"/>
                  <w:u w:val="single"/>
                </w:rPr>
                <w:t>SB 0592</w:t>
              </w:r>
            </w:hyperlink>
          </w:p>
        </w:tc>
        <w:tc>
          <w:tcPr>
            <w:tcW w:w="0" w:type="auto"/>
            <w:vAlign w:val="center"/>
            <w:hideMark/>
          </w:tcPr>
          <w:p>
            <w:pPr>
              <w:rPr>
                <w:rFonts w:eastAsia="Times New Roman" w:cs="Times New Roman"/>
              </w:rPr>
            </w:pPr>
            <w:r>
              <w:rPr>
                <w:rFonts w:eastAsia="Times New Roman" w:cs="Times New Roman"/>
              </w:rPr>
              <w:t>Florida Building Code</w:t>
            </w:r>
          </w:p>
        </w:tc>
        <w:tc>
          <w:tcPr>
            <w:tcW w:w="0" w:type="auto"/>
            <w:vAlign w:val="center"/>
            <w:hideMark/>
          </w:tcPr>
          <w:p>
            <w:pPr>
              <w:rPr>
                <w:rFonts w:eastAsia="Times New Roman" w:cs="Times New Roman"/>
              </w:rPr>
            </w:pPr>
            <w:r>
              <w:rPr>
                <w:rFonts w:eastAsia="Times New Roman" w:cs="Times New Roman"/>
              </w:rPr>
              <w:t xml:space="preserve">Sobel </w:t>
            </w:r>
          </w:p>
        </w:tc>
        <w:tc>
          <w:tcPr>
            <w:tcW w:w="0" w:type="auto"/>
            <w:vAlign w:val="center"/>
            <w:hideMark/>
          </w:tcPr>
          <w:p>
            <w:pPr>
              <w:rPr>
                <w:rFonts w:eastAsia="Times New Roman" w:cs="Times New Roman"/>
              </w:rPr>
            </w:pPr>
            <w:r>
              <w:rPr>
                <w:rFonts w:eastAsia="Times New Roman" w:cs="Times New Roman"/>
              </w:rPr>
              <w:t xml:space="preserve">Last Action: 3/3/2015 S Introduced -SJ 72 </w:t>
            </w:r>
            <w:r>
              <w:rPr>
                <w:rFonts w:eastAsia="Times New Roman" w:cs="Times New Roman"/>
              </w:rPr>
              <w:br/>
              <w:t>Location: In committee/council (CA)</w:t>
            </w:r>
          </w:p>
          <w:p>
            <w:pPr>
              <w:rPr>
                <w:rFonts w:eastAsia="Times New Roman" w:cs="Times New Roman"/>
              </w:rPr>
            </w:pPr>
            <w:r>
              <w:rPr>
                <w:rFonts w:eastAsia="Times New Roman" w:cs="Times New Roman"/>
              </w:rPr>
              <w:t xml:space="preserve"> </w:t>
            </w: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31" w:history="1">
              <w:r>
                <w:rPr>
                  <w:rFonts w:eastAsia="Times New Roman" w:cs="Times New Roman"/>
                  <w:b/>
                  <w:bCs/>
                  <w:color w:val="0000FF"/>
                  <w:u w:val="single"/>
                </w:rPr>
                <w:t>HB 0911</w:t>
              </w:r>
            </w:hyperlink>
          </w:p>
        </w:tc>
        <w:tc>
          <w:tcPr>
            <w:tcW w:w="0" w:type="auto"/>
            <w:vAlign w:val="center"/>
            <w:hideMark/>
          </w:tcPr>
          <w:p>
            <w:pPr>
              <w:rPr>
                <w:rFonts w:eastAsia="Times New Roman" w:cs="Times New Roman"/>
              </w:rPr>
            </w:pPr>
            <w:r>
              <w:rPr>
                <w:rFonts w:eastAsia="Times New Roman" w:cs="Times New Roman"/>
              </w:rPr>
              <w:t>Residential Construction</w:t>
            </w:r>
          </w:p>
        </w:tc>
        <w:tc>
          <w:tcPr>
            <w:tcW w:w="0" w:type="auto"/>
            <w:vAlign w:val="center"/>
            <w:hideMark/>
          </w:tcPr>
          <w:p>
            <w:pPr>
              <w:rPr>
                <w:rFonts w:eastAsia="Times New Roman" w:cs="Times New Roman"/>
              </w:rPr>
            </w:pPr>
            <w:r>
              <w:rPr>
                <w:rFonts w:eastAsia="Times New Roman" w:cs="Times New Roman"/>
              </w:rPr>
              <w:t xml:space="preserve">Dudley </w:t>
            </w:r>
          </w:p>
        </w:tc>
        <w:tc>
          <w:tcPr>
            <w:tcW w:w="0" w:type="auto"/>
            <w:vAlign w:val="center"/>
            <w:hideMark/>
          </w:tcPr>
          <w:p>
            <w:pPr>
              <w:rPr>
                <w:rFonts w:eastAsia="Times New Roman" w:cs="Times New Roman"/>
              </w:rPr>
            </w:pPr>
            <w:r>
              <w:rPr>
                <w:rFonts w:eastAsia="Times New Roman" w:cs="Times New Roman"/>
              </w:rPr>
              <w:t xml:space="preserve">Last Action: 3/3/2015 H Referred to Energy and Utilities Subcommittee; Business and Professions Subcommittee; Government Operations Appropriations Subcommittee; Regulatory Affairs Committee -HJ 76 </w:t>
            </w:r>
            <w:r>
              <w:rPr>
                <w:rFonts w:eastAsia="Times New Roman" w:cs="Times New Roman"/>
              </w:rPr>
              <w:br/>
              <w:t xml:space="preserve">Location: In committee/council (EUS) </w:t>
            </w:r>
          </w:p>
          <w:p>
            <w:pPr>
              <w:rPr>
                <w:rFonts w:eastAsia="Times New Roman" w:cs="Times New Roman"/>
              </w:rPr>
            </w:pPr>
          </w:p>
        </w:tc>
        <w:tc>
          <w:tcPr>
            <w:tcW w:w="0" w:type="auto"/>
            <w:vAlign w:val="center"/>
          </w:tcPr>
          <w:p>
            <w:pPr>
              <w:rPr>
                <w:rFonts w:eastAsia="Times New Roman" w:cs="Times New Roman"/>
              </w:rPr>
            </w:pPr>
          </w:p>
        </w:tc>
      </w:tr>
      <w:tr>
        <w:trPr>
          <w:tblCellSpacing w:w="15" w:type="dxa"/>
        </w:trPr>
        <w:tc>
          <w:tcPr>
            <w:tcW w:w="0" w:type="auto"/>
            <w:vAlign w:val="center"/>
            <w:hideMark/>
          </w:tcPr>
          <w:p>
            <w:pPr>
              <w:jc w:val="center"/>
              <w:rPr>
                <w:rFonts w:eastAsia="Times New Roman" w:cs="Times New Roman"/>
                <w:b/>
                <w:bCs/>
              </w:rPr>
            </w:pPr>
            <w:hyperlink r:id="rId32" w:history="1">
              <w:r>
                <w:rPr>
                  <w:rFonts w:eastAsia="Times New Roman" w:cs="Times New Roman"/>
                  <w:b/>
                  <w:bCs/>
                  <w:color w:val="0000FF"/>
                  <w:u w:val="single"/>
                </w:rPr>
                <w:t>SB 1158</w:t>
              </w:r>
            </w:hyperlink>
          </w:p>
        </w:tc>
        <w:tc>
          <w:tcPr>
            <w:tcW w:w="0" w:type="auto"/>
            <w:vAlign w:val="center"/>
            <w:hideMark/>
          </w:tcPr>
          <w:p>
            <w:pPr>
              <w:rPr>
                <w:rFonts w:eastAsia="Times New Roman" w:cs="Times New Roman"/>
              </w:rPr>
            </w:pPr>
            <w:r>
              <w:rPr>
                <w:rFonts w:eastAsia="Times New Roman" w:cs="Times New Roman"/>
              </w:rPr>
              <w:t>Limitation of Actions</w:t>
            </w:r>
          </w:p>
        </w:tc>
        <w:tc>
          <w:tcPr>
            <w:tcW w:w="0" w:type="auto"/>
            <w:vAlign w:val="center"/>
            <w:hideMark/>
          </w:tcPr>
          <w:p>
            <w:pPr>
              <w:rPr>
                <w:rFonts w:eastAsia="Times New Roman" w:cs="Times New Roman"/>
              </w:rPr>
            </w:pPr>
            <w:r>
              <w:rPr>
                <w:rFonts w:eastAsia="Times New Roman" w:cs="Times New Roman"/>
              </w:rPr>
              <w:t xml:space="preserve">Stargel </w:t>
            </w:r>
          </w:p>
        </w:tc>
        <w:tc>
          <w:tcPr>
            <w:tcW w:w="0" w:type="auto"/>
            <w:vAlign w:val="center"/>
            <w:hideMark/>
          </w:tcPr>
          <w:p>
            <w:pPr>
              <w:rPr>
                <w:rFonts w:eastAsia="Times New Roman" w:cs="Times New Roman"/>
              </w:rPr>
            </w:pPr>
            <w:r>
              <w:rPr>
                <w:rFonts w:eastAsia="Times New Roman" w:cs="Times New Roman"/>
              </w:rPr>
              <w:t xml:space="preserve">Last Action: 3/3/2015 S Introduced -SJ 112 </w:t>
            </w:r>
            <w:r>
              <w:rPr>
                <w:rFonts w:eastAsia="Times New Roman" w:cs="Times New Roman"/>
              </w:rPr>
              <w:br/>
              <w:t xml:space="preserve">Location: In committee/council (JU) </w:t>
            </w:r>
          </w:p>
          <w:p>
            <w:pPr>
              <w:rPr>
                <w:rFonts w:eastAsia="Times New Roman" w:cs="Times New Roman"/>
                <w:b/>
                <w:u w:val="single"/>
              </w:rPr>
            </w:pPr>
            <w:r>
              <w:rPr>
                <w:rFonts w:eastAsia="Times New Roman" w:cs="Times New Roman"/>
                <w:b/>
                <w:u w:val="single"/>
              </w:rPr>
              <w:t>Companion Bill: House Bill 501</w:t>
            </w:r>
          </w:p>
        </w:tc>
        <w:tc>
          <w:tcPr>
            <w:tcW w:w="0" w:type="auto"/>
            <w:vAlign w:val="center"/>
          </w:tcPr>
          <w:p>
            <w:pPr>
              <w:rPr>
                <w:rFonts w:eastAsia="Times New Roman" w:cs="Times New Roman"/>
              </w:rPr>
            </w:pPr>
          </w:p>
        </w:tc>
      </w:tr>
    </w:tbl>
    <w:p>
      <w:pPr>
        <w:spacing w:before="100" w:beforeAutospacing="1" w:after="100" w:afterAutospacing="1"/>
        <w:outlineLvl w:val="2"/>
        <w:rPr>
          <w:rFonts w:eastAsia="Times New Roman" w:cs="Times New Roman"/>
          <w:b/>
          <w:bCs/>
          <w:sz w:val="27"/>
          <w:szCs w:val="27"/>
        </w:rPr>
      </w:pP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t>Senators</w:t>
      </w:r>
    </w:p>
    <w:p>
      <w:pPr>
        <w:spacing w:before="100" w:beforeAutospacing="1" w:after="100" w:afterAutospacing="1"/>
        <w:rPr>
          <w:rFonts w:eastAsia="Times New Roman" w:cs="Times New Roman"/>
          <w:vanish/>
        </w:rPr>
      </w:pPr>
      <w:r>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33" w:history="1">
        <w:r>
          <w:rPr>
            <w:rFonts w:eastAsia="Times New Roman" w:cs="Times New Roman"/>
            <w:vanish/>
            <w:color w:val="0000FF"/>
            <w:u w:val="single"/>
          </w:rPr>
          <w:t>email frequency settings</w:t>
        </w:r>
      </w:hyperlink>
      <w:r>
        <w:rPr>
          <w:rFonts w:eastAsia="Times New Roman" w:cs="Times New Roman"/>
          <w:vanish/>
        </w:rPr>
        <w:t>.</w:t>
      </w:r>
    </w:p>
    <w:p>
      <w:pPr>
        <w:spacing w:before="100" w:beforeAutospacing="1" w:after="100" w:afterAutospacing="1"/>
        <w:rPr>
          <w:rFonts w:eastAsia="Times New Roman" w:cs="Times New Roman"/>
          <w:vanish/>
        </w:rPr>
      </w:pPr>
      <w:r>
        <w:rPr>
          <w:rFonts w:eastAsia="Times New Roman" w:cs="Times New Roman"/>
          <w:vanish/>
        </w:rPr>
        <w:t>You are not tracking any Senators. </w:t>
      </w: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t>Committees</w:t>
      </w:r>
    </w:p>
    <w:p>
      <w:pPr>
        <w:spacing w:before="100" w:beforeAutospacing="1" w:after="100" w:afterAutospacing="1"/>
        <w:rPr>
          <w:rFonts w:eastAsia="Times New Roman" w:cs="Times New Roman"/>
          <w:vanish/>
        </w:rPr>
      </w:pPr>
      <w:r>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34" w:history="1">
        <w:r>
          <w:rPr>
            <w:rFonts w:eastAsia="Times New Roman" w:cs="Times New Roman"/>
            <w:vanish/>
            <w:color w:val="0000FF"/>
            <w:u w:val="single"/>
          </w:rPr>
          <w:t>email frequency settings</w:t>
        </w:r>
      </w:hyperlink>
      <w:r>
        <w:rPr>
          <w:rFonts w:eastAsia="Times New Roman" w:cs="Times New Roman"/>
          <w:vanish/>
        </w:rPr>
        <w:t>.</w:t>
      </w:r>
    </w:p>
    <w:p>
      <w:pPr>
        <w:spacing w:before="100" w:beforeAutospacing="1" w:after="100" w:afterAutospacing="1"/>
        <w:rPr>
          <w:rFonts w:eastAsia="Times New Roman" w:cs="Times New Roman"/>
          <w:vanish/>
        </w:rPr>
      </w:pPr>
      <w:r>
        <w:rPr>
          <w:rFonts w:eastAsia="Times New Roman" w:cs="Times New Roman"/>
          <w:vanish/>
        </w:rPr>
        <w:t>You are not tracking any Committees. </w:t>
      </w: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lastRenderedPageBreak/>
        <w:t>Offices</w:t>
      </w:r>
    </w:p>
    <w:p>
      <w:pPr>
        <w:spacing w:before="100" w:beforeAutospacing="1" w:after="100" w:afterAutospacing="1"/>
        <w:rPr>
          <w:rFonts w:eastAsia="Times New Roman" w:cs="Times New Roman"/>
          <w:vanish/>
        </w:rPr>
      </w:pPr>
      <w:r>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35" w:history="1">
        <w:r>
          <w:rPr>
            <w:rFonts w:eastAsia="Times New Roman" w:cs="Times New Roman"/>
            <w:vanish/>
            <w:color w:val="0000FF"/>
            <w:u w:val="single"/>
          </w:rPr>
          <w:t>email frequency settings</w:t>
        </w:r>
      </w:hyperlink>
      <w:r>
        <w:rPr>
          <w:rFonts w:eastAsia="Times New Roman" w:cs="Times New Roman"/>
          <w:vanish/>
        </w:rPr>
        <w:t>.</w:t>
      </w:r>
    </w:p>
    <w:p>
      <w:pPr>
        <w:spacing w:before="100" w:beforeAutospacing="1" w:after="100" w:afterAutospacing="1"/>
        <w:rPr>
          <w:rFonts w:eastAsia="Times New Roman" w:cs="Times New Roman"/>
          <w:vanish/>
        </w:rPr>
      </w:pPr>
      <w:r>
        <w:rPr>
          <w:rFonts w:eastAsia="Times New Roman" w:cs="Times New Roman"/>
          <w:vanish/>
        </w:rPr>
        <w:t>You are not tracking any Offices. </w:t>
      </w: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t>Media</w:t>
      </w:r>
    </w:p>
    <w:p>
      <w:pPr>
        <w:spacing w:before="100" w:beforeAutospacing="1" w:after="100" w:afterAutospacing="1"/>
        <w:rPr>
          <w:rFonts w:eastAsia="Times New Roman" w:cs="Times New Roman"/>
          <w:vanish/>
        </w:rPr>
      </w:pPr>
      <w:r>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36" w:history="1">
        <w:r>
          <w:rPr>
            <w:rFonts w:eastAsia="Times New Roman" w:cs="Times New Roman"/>
            <w:vanish/>
            <w:color w:val="0000FF"/>
            <w:u w:val="single"/>
          </w:rPr>
          <w:t>email frequency settings</w:t>
        </w:r>
      </w:hyperlink>
      <w:r>
        <w:rPr>
          <w:rFonts w:eastAsia="Times New Roman" w:cs="Times New Roman"/>
          <w:vanish/>
        </w:rPr>
        <w:t>.</w:t>
      </w:r>
    </w:p>
    <w:p>
      <w:pPr>
        <w:spacing w:before="100" w:beforeAutospacing="1" w:after="100" w:afterAutospacing="1"/>
        <w:rPr>
          <w:rFonts w:eastAsia="Times New Roman" w:cs="Times New Roman"/>
          <w:vanish/>
        </w:rPr>
      </w:pPr>
      <w:r>
        <w:rPr>
          <w:rFonts w:eastAsia="Times New Roman" w:cs="Times New Roman"/>
          <w:vanish/>
        </w:rPr>
        <w:t>You are not tracking any Media. </w:t>
      </w:r>
    </w:p>
    <w:p>
      <w:pPr>
        <w:spacing w:before="100" w:beforeAutospacing="1" w:after="100" w:afterAutospacing="1"/>
        <w:rPr>
          <w:rFonts w:eastAsia="Times New Roman" w:cs="Times New Roman"/>
          <w:vanish/>
        </w:rPr>
      </w:pPr>
      <w:r>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pPr>
        <w:spacing w:before="100" w:beforeAutospacing="1" w:after="100" w:afterAutospacing="1"/>
        <w:rPr>
          <w:rFonts w:eastAsia="Times New Roman" w:cs="Times New Roman"/>
          <w:vanish/>
        </w:rPr>
      </w:pPr>
      <w:r>
        <w:rPr>
          <w:rFonts w:eastAsia="Times New Roman" w:cs="Times New Roman"/>
          <w:vanish/>
        </w:rPr>
        <w:t>You are not tracking any Senators. </w:t>
      </w: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t>Committees</w:t>
      </w:r>
    </w:p>
    <w:p>
      <w:pPr>
        <w:spacing w:before="100" w:beforeAutospacing="1" w:after="100" w:afterAutospacing="1"/>
        <w:rPr>
          <w:rFonts w:eastAsia="Times New Roman" w:cs="Times New Roman"/>
          <w:vanish/>
        </w:rPr>
      </w:pPr>
      <w:r>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pPr>
        <w:spacing w:before="100" w:beforeAutospacing="1" w:after="100" w:afterAutospacing="1"/>
        <w:rPr>
          <w:rFonts w:eastAsia="Times New Roman" w:cs="Times New Roman"/>
          <w:vanish/>
        </w:rPr>
      </w:pPr>
      <w:r>
        <w:rPr>
          <w:rFonts w:eastAsia="Times New Roman" w:cs="Times New Roman"/>
          <w:vanish/>
        </w:rPr>
        <w:t>You are not tracking any Committees. </w:t>
      </w: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t>Offices</w:t>
      </w:r>
    </w:p>
    <w:p>
      <w:pPr>
        <w:spacing w:before="100" w:beforeAutospacing="1" w:after="100" w:afterAutospacing="1"/>
        <w:rPr>
          <w:rFonts w:eastAsia="Times New Roman" w:cs="Times New Roman"/>
          <w:vanish/>
        </w:rPr>
      </w:pPr>
      <w:r>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pPr>
        <w:spacing w:before="100" w:beforeAutospacing="1" w:after="100" w:afterAutospacing="1"/>
        <w:rPr>
          <w:rFonts w:eastAsia="Times New Roman" w:cs="Times New Roman"/>
          <w:vanish/>
        </w:rPr>
      </w:pPr>
      <w:r>
        <w:rPr>
          <w:rFonts w:eastAsia="Times New Roman" w:cs="Times New Roman"/>
          <w:vanish/>
        </w:rPr>
        <w:t>You are not tracking any Offices. </w:t>
      </w:r>
    </w:p>
    <w:p>
      <w:pPr>
        <w:spacing w:before="100" w:beforeAutospacing="1" w:after="100" w:afterAutospacing="1"/>
        <w:outlineLvl w:val="2"/>
        <w:rPr>
          <w:rFonts w:eastAsia="Times New Roman" w:cs="Times New Roman"/>
          <w:b/>
          <w:bCs/>
          <w:vanish/>
          <w:sz w:val="27"/>
          <w:szCs w:val="27"/>
        </w:rPr>
      </w:pPr>
      <w:r>
        <w:rPr>
          <w:rFonts w:eastAsia="Times New Roman" w:cs="Times New Roman"/>
          <w:b/>
          <w:bCs/>
          <w:vanish/>
          <w:sz w:val="27"/>
          <w:szCs w:val="27"/>
        </w:rPr>
        <w:t>Media</w:t>
      </w:r>
    </w:p>
    <w:p>
      <w:pPr>
        <w:spacing w:before="100" w:beforeAutospacing="1" w:after="100" w:afterAutospacing="1"/>
        <w:rPr>
          <w:rFonts w:eastAsia="Times New Roman" w:cs="Times New Roman"/>
          <w:vanish/>
        </w:rPr>
      </w:pPr>
      <w:r>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pPr>
        <w:spacing w:before="100" w:beforeAutospacing="1" w:after="100" w:afterAutospacing="1"/>
        <w:rPr>
          <w:rFonts w:eastAsia="Times New Roman" w:cs="Times New Roman"/>
          <w:vanish/>
        </w:rPr>
      </w:pPr>
      <w:r>
        <w:rPr>
          <w:rFonts w:eastAsia="Times New Roman" w:cs="Times New Roman"/>
          <w:vanish/>
        </w:rPr>
        <w:t>You are not tracking any Media. </w:t>
      </w:r>
    </w:p>
    <w:p>
      <w:pPr>
        <w:pStyle w:val="BlockText"/>
      </w:pPr>
      <w:r>
        <w:t>Respectfully submitted,</w:t>
      </w:r>
    </w:p>
    <w:p>
      <w:pPr>
        <w:pStyle w:val="BlockText"/>
      </w:pPr>
      <w:r>
        <w:t>Fred R. Dudley, Esq.</w:t>
      </w:r>
    </w:p>
    <w:p>
      <w:pPr>
        <w:pStyle w:val="BlockText"/>
      </w:pPr>
      <w:r>
        <w:lastRenderedPageBreak/>
        <w:t>Seller E. Sellers, Esq.</w:t>
      </w:r>
    </w:p>
    <w:p>
      <w:pPr>
        <w:pStyle w:val="BlockText"/>
      </w:pPr>
      <w:r>
        <w:t>Tallahassee, Florida</w:t>
      </w:r>
    </w:p>
    <w:p>
      <w:pPr>
        <w:pStyle w:val="BlockText"/>
      </w:pPr>
      <w:r>
        <w:t>March 10, 2015</w:t>
      </w:r>
    </w:p>
    <w:sectPr>
      <w:footerReference w:type="default" r:id="rId37"/>
      <w:footerReference w:type="first" r:id="rId38"/>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sz w:val="24"/>
      </w:rPr>
    </w:pPr>
    <w:r>
      <w:tab/>
    </w:r>
    <w:fldSimple w:instr=" PAGE   \* MERGEFORMAT ">
      <w:r>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r>
      <w:rPr>
        <w:rStyle w:val="DocID"/>
      </w:rPr>
      <w:instrText>#12612613_v1</w:instrText>
    </w:r>
    <w:r>
      <w:instrText xml:space="preserve"> ""</w:instrText>
    </w:r>
    <w:r>
      <w:rPr>
        <w:sz w:val="20"/>
      </w:rPr>
      <w:instrText xml:space="preserve"> </w:instrText>
    </w:r>
    <w:r>
      <w:rPr>
        <w:sz w:val="20"/>
      </w:rPr>
      <w:fldChar w:fldCharType="separate"/>
    </w:r>
    <w:r>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BlockText"/>
      </w:pPr>
      <w:r>
        <w:rPr>
          <w:rStyle w:val="FootnoteReference"/>
        </w:rPr>
        <w:footnoteRef/>
      </w:r>
      <w:r>
        <w:t xml:space="preserve"> The Florida Building Commission is </w:t>
      </w:r>
      <w:r>
        <w:rPr>
          <w:b/>
          <w:u w:val="single"/>
        </w:rPr>
        <w:t>not</w:t>
      </w:r>
      <w:r>
        <w:t xml:space="preserve"> allowed to grant variances or waivers from the Florida Building Code, expect as to handicapped accessibility issues.</w:t>
      </w:r>
    </w:p>
    <w:p>
      <w:pPr>
        <w:pStyle w:val="BlockText"/>
      </w:pPr>
    </w:p>
    <w:p>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06C845F6"/>
    <w:multiLevelType w:val="hybridMultilevel"/>
    <w:tmpl w:val="7C08CEA8"/>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1E0D0B"/>
    <w:multiLevelType w:val="hybridMultilevel"/>
    <w:tmpl w:val="DFE6063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B702DC"/>
    <w:multiLevelType w:val="hybridMultilevel"/>
    <w:tmpl w:val="D74AB1A4"/>
    <w:lvl w:ilvl="0" w:tplc="3CA63BF8">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0E0A57"/>
    <w:multiLevelType w:val="hybridMultilevel"/>
    <w:tmpl w:val="15469CD4"/>
    <w:lvl w:ilvl="0" w:tplc="7E4CA22E">
      <w:start w:val="1"/>
      <w:numFmt w:val="decimal"/>
      <w:lvlText w:val="%1."/>
      <w:lvlJc w:val="left"/>
      <w:pPr>
        <w:ind w:left="1080" w:hanging="360"/>
      </w:pPr>
      <w:rPr>
        <w:rFonts w:hint="default"/>
      </w:rPr>
    </w:lvl>
    <w:lvl w:ilvl="1" w:tplc="C2C82888">
      <w:start w:val="1"/>
      <w:numFmt w:val="lowerRoman"/>
      <w:lvlText w:val="%2."/>
      <w:lvlJc w:val="left"/>
      <w:pPr>
        <w:ind w:left="1800" w:hanging="360"/>
      </w:pPr>
      <w:rPr>
        <w:rFonts w:ascii="Times New Roman" w:eastAsiaTheme="minorEastAsia" w:hAnsi="Times New Roman" w:cstheme="minorBidi"/>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81DD0"/>
    <w:multiLevelType w:val="hybridMultilevel"/>
    <w:tmpl w:val="C1A67A6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4"/>
  </w:num>
  <w:num w:numId="4">
    <w:abstractNumId w:val="39"/>
  </w:num>
  <w:num w:numId="5">
    <w:abstractNumId w:val="29"/>
  </w:num>
  <w:num w:numId="6">
    <w:abstractNumId w:val="40"/>
  </w:num>
  <w:num w:numId="7">
    <w:abstractNumId w:val="10"/>
  </w:num>
  <w:num w:numId="8">
    <w:abstractNumId w:val="15"/>
  </w:num>
  <w:num w:numId="9">
    <w:abstractNumId w:val="3"/>
  </w:num>
  <w:num w:numId="10">
    <w:abstractNumId w:val="1"/>
  </w:num>
  <w:num w:numId="11">
    <w:abstractNumId w:val="21"/>
  </w:num>
  <w:num w:numId="12">
    <w:abstractNumId w:val="4"/>
  </w:num>
  <w:num w:numId="13">
    <w:abstractNumId w:val="24"/>
  </w:num>
  <w:num w:numId="14">
    <w:abstractNumId w:val="11"/>
  </w:num>
  <w:num w:numId="15">
    <w:abstractNumId w:val="18"/>
  </w:num>
  <w:num w:numId="16">
    <w:abstractNumId w:val="20"/>
  </w:num>
  <w:num w:numId="17">
    <w:abstractNumId w:val="38"/>
  </w:num>
  <w:num w:numId="18">
    <w:abstractNumId w:val="12"/>
  </w:num>
  <w:num w:numId="19">
    <w:abstractNumId w:val="26"/>
  </w:num>
  <w:num w:numId="20">
    <w:abstractNumId w:val="23"/>
  </w:num>
  <w:num w:numId="21">
    <w:abstractNumId w:val="5"/>
  </w:num>
  <w:num w:numId="22">
    <w:abstractNumId w:val="9"/>
  </w:num>
  <w:num w:numId="23">
    <w:abstractNumId w:val="28"/>
  </w:num>
  <w:num w:numId="24">
    <w:abstractNumId w:val="35"/>
  </w:num>
  <w:num w:numId="25">
    <w:abstractNumId w:val="7"/>
  </w:num>
  <w:num w:numId="26">
    <w:abstractNumId w:val="32"/>
  </w:num>
  <w:num w:numId="27">
    <w:abstractNumId w:val="27"/>
  </w:num>
  <w:num w:numId="28">
    <w:abstractNumId w:val="14"/>
  </w:num>
  <w:num w:numId="29">
    <w:abstractNumId w:val="33"/>
  </w:num>
  <w:num w:numId="30">
    <w:abstractNumId w:val="16"/>
  </w:num>
  <w:num w:numId="31">
    <w:abstractNumId w:val="37"/>
  </w:num>
  <w:num w:numId="32">
    <w:abstractNumId w:val="25"/>
  </w:num>
  <w:num w:numId="33">
    <w:abstractNumId w:val="13"/>
  </w:num>
  <w:num w:numId="34">
    <w:abstractNumId w:val="31"/>
  </w:num>
  <w:num w:numId="35">
    <w:abstractNumId w:val="36"/>
  </w:num>
  <w:num w:numId="36">
    <w:abstractNumId w:val="30"/>
  </w:num>
  <w:num w:numId="37">
    <w:abstractNumId w:val="8"/>
  </w:num>
  <w:num w:numId="38">
    <w:abstractNumId w:val="22"/>
  </w:num>
  <w:num w:numId="39">
    <w:abstractNumId w:val="6"/>
  </w:num>
  <w:num w:numId="40">
    <w:abstractNumId w:val="19"/>
  </w:num>
  <w:num w:numId="41">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docVars>
    <w:docVar w:name="LegacyDocID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
      <w:bCs/>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semiHidden/>
    <w:rPr>
      <w:rFonts w:eastAsiaTheme="majorEastAsia" w:cstheme="majorBidi"/>
      <w:bCs/>
      <w:iCs/>
    </w:rPr>
  </w:style>
  <w:style w:type="character" w:customStyle="1" w:styleId="Heading5Char">
    <w:name w:val="Heading 5 Char"/>
    <w:basedOn w:val="DefaultParagraphFont"/>
    <w:link w:val="Heading5"/>
    <w:uiPriority w:val="9"/>
    <w:semiHidden/>
    <w:rPr>
      <w:rFonts w:eastAsiaTheme="majorEastAsia" w:cstheme="majorBidi"/>
    </w:rPr>
  </w:style>
  <w:style w:type="character" w:customStyle="1" w:styleId="Heading6Char">
    <w:name w:val="Heading 6 Char"/>
    <w:basedOn w:val="DefaultParagraphFont"/>
    <w:link w:val="Heading6"/>
    <w:uiPriority w:val="9"/>
    <w:semiHidden/>
    <w:rPr>
      <w:rFonts w:eastAsiaTheme="majorEastAsia" w:cstheme="majorBidi"/>
      <w:iCs/>
    </w:rPr>
  </w:style>
  <w:style w:type="character" w:customStyle="1" w:styleId="Heading7Char">
    <w:name w:val="Heading 7 Char"/>
    <w:basedOn w:val="DefaultParagraphFont"/>
    <w:link w:val="Heading7"/>
    <w:uiPriority w:val="9"/>
    <w:semiHidden/>
    <w:rPr>
      <w:rFonts w:eastAsiaTheme="majorEastAsia" w:cstheme="majorBidi"/>
      <w:iCs/>
    </w:rPr>
  </w:style>
  <w:style w:type="character" w:customStyle="1" w:styleId="Heading8Char">
    <w:name w:val="Heading 8 Char"/>
    <w:basedOn w:val="DefaultParagraphFont"/>
    <w:link w:val="Heading8"/>
    <w:uiPriority w:val="9"/>
    <w:semiHidden/>
    <w:rPr>
      <w:rFonts w:eastAsiaTheme="majorEastAsia" w:cstheme="majorBidi"/>
      <w:szCs w:val="20"/>
    </w:rPr>
  </w:style>
  <w:style w:type="character" w:customStyle="1" w:styleId="Heading9Char">
    <w:name w:val="Heading 9 Char"/>
    <w:basedOn w:val="DefaultParagraphFont"/>
    <w:link w:val="Heading9"/>
    <w:uiPriority w:val="9"/>
    <w:semiHidden/>
    <w:rPr>
      <w:rFonts w:eastAsiaTheme="majorEastAsia" w:cstheme="majorBidi"/>
      <w:iCs/>
      <w:szCs w:val="20"/>
    </w:rPr>
  </w:style>
  <w:style w:type="paragraph" w:styleId="BlockText">
    <w:name w:val="Block Text"/>
    <w:basedOn w:val="Normal"/>
    <w:qFormat/>
    <w:pPr>
      <w:jc w:val="both"/>
    </w:pPr>
    <w:rPr>
      <w:rFonts w:eastAsiaTheme="minorEastAsia"/>
      <w:iCs/>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Pr>
      <w:rFonts w:eastAsiaTheme="majorEastAsia" w:cstheme="majorBidi"/>
      <w:kern w:val="28"/>
      <w:szCs w:val="52"/>
      <w:u w:val="single"/>
    </w:rPr>
  </w:style>
  <w:style w:type="paragraph" w:styleId="Subtitle">
    <w:name w:val="Subtitle"/>
    <w:basedOn w:val="Normal"/>
    <w:next w:val="BodyText"/>
    <w:link w:val="SubtitleChar"/>
    <w:uiPriority w:val="11"/>
    <w:qFormat/>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Pr>
      <w:rFonts w:eastAsiaTheme="majorEastAsia" w:cstheme="majorBidi"/>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pPr>
      <w:jc w:val="center"/>
    </w:pPr>
    <w:rPr>
      <w:rFonts w:eastAsia="Times New Roman" w:cs="Times New Roman"/>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pPr>
      <w:ind w:left="2635" w:right="432" w:hanging="720"/>
    </w:pPr>
    <w:rPr>
      <w:rFonts w:eastAsia="Times New Roman" w:cs="Times New Roman"/>
      <w:noProof/>
      <w:szCs w:val="20"/>
    </w:rPr>
  </w:style>
  <w:style w:type="paragraph" w:styleId="TOCHeading">
    <w:name w:val="TOC Heading"/>
    <w:basedOn w:val="Normal"/>
    <w:semiHidden/>
    <w:unhideWhenUsed/>
    <w:qFormat/>
    <w:pPr>
      <w:spacing w:after="240"/>
      <w:jc w:val="center"/>
    </w:pPr>
    <w:rPr>
      <w:rFonts w:eastAsia="Times New Roman" w:cs="Times New Roman"/>
      <w:b/>
      <w:szCs w:val="20"/>
    </w:rPr>
  </w:style>
  <w:style w:type="paragraph" w:customStyle="1" w:styleId="TOCPage">
    <w:name w:val="TOC Page"/>
    <w:basedOn w:val="Normal"/>
    <w:semiHidden/>
    <w:unhideWhenUsed/>
    <w:pPr>
      <w:spacing w:after="240"/>
      <w:jc w:val="right"/>
    </w:pPr>
    <w:rPr>
      <w:rFonts w:eastAsia="Times New Roman" w:cs="Times New Roman"/>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8"/>
      </w:numPr>
      <w:spacing w:after="240"/>
    </w:pPr>
  </w:style>
  <w:style w:type="paragraph" w:customStyle="1" w:styleId="ListalphaB0">
    <w:name w:val="List alpha B"/>
    <w:basedOn w:val="Normal"/>
    <w:pPr>
      <w:numPr>
        <w:numId w:val="3"/>
      </w:numPr>
      <w:spacing w:after="240"/>
    </w:pPr>
    <w:rPr>
      <w:rFonts w:eastAsia="Times New Roman" w:cs="Times New Roman"/>
    </w:rPr>
  </w:style>
  <w:style w:type="paragraph" w:customStyle="1" w:styleId="Listalpha">
    <w:name w:val="List alpha"/>
    <w:basedOn w:val="Normal"/>
    <w:pPr>
      <w:numPr>
        <w:numId w:val="4"/>
      </w:numPr>
      <w:spacing w:after="240"/>
    </w:pPr>
    <w:rPr>
      <w:rFonts w:eastAsia="Times New Roman" w:cs="Times New Roman"/>
    </w:rPr>
  </w:style>
  <w:style w:type="paragraph" w:customStyle="1" w:styleId="ListALPHAB">
    <w:name w:val="List ALPHA B"/>
    <w:basedOn w:val="Normal"/>
    <w:pPr>
      <w:numPr>
        <w:numId w:val="5"/>
      </w:numPr>
      <w:spacing w:after="240"/>
      <w:jc w:val="both"/>
      <w:outlineLvl w:val="0"/>
    </w:pPr>
    <w:rPr>
      <w:rFonts w:eastAsia="Times New Roman" w:cs="Times New Roman"/>
    </w:rPr>
  </w:style>
  <w:style w:type="paragraph" w:customStyle="1" w:styleId="ListALPHA0">
    <w:name w:val="List ALPHA"/>
    <w:basedOn w:val="Normal"/>
    <w:pPr>
      <w:numPr>
        <w:numId w:val="6"/>
      </w:numPr>
      <w:spacing w:after="240"/>
      <w:jc w:val="both"/>
      <w:outlineLvl w:val="0"/>
    </w:pPr>
    <w:rPr>
      <w:rFonts w:eastAsia="Times New Roman" w:cs="Times New Roman"/>
    </w:r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2"/>
      </w:numPr>
      <w:spacing w:line="480" w:lineRule="auto"/>
      <w:contextualSpacing/>
    </w:pPr>
  </w:style>
  <w:style w:type="paragraph" w:customStyle="1" w:styleId="ListNumberB">
    <w:name w:val="List Number B"/>
    <w:basedOn w:val="Normal"/>
    <w:qFormat/>
    <w:pPr>
      <w:numPr>
        <w:numId w:val="7"/>
      </w:numPr>
      <w:spacing w:after="240"/>
    </w:pPr>
  </w:style>
  <w:style w:type="paragraph" w:styleId="ListBullet">
    <w:name w:val="List Bullet"/>
    <w:basedOn w:val="Normal"/>
    <w:pPr>
      <w:numPr>
        <w:numId w:val="9"/>
      </w:numPr>
      <w:contextualSpacing/>
    </w:pPr>
  </w:style>
  <w:style w:type="paragraph" w:styleId="ListBullet2">
    <w:name w:val="List Bullet 2"/>
    <w:basedOn w:val="Normal"/>
    <w:pPr>
      <w:numPr>
        <w:numId w:val="10"/>
      </w:numPr>
      <w:contextualSpacing/>
    </w:pPr>
  </w:style>
  <w:style w:type="paragraph" w:styleId="ListParagraph">
    <w:name w:val="List Paragraph"/>
    <w:basedOn w:val="Normal"/>
    <w:uiPriority w:val="34"/>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semiHidden/>
    <w:unhideWhenUsed/>
    <w:rPr>
      <w:color w:val="003366"/>
      <w:u w:val="single"/>
    </w:rPr>
  </w:style>
  <w:style w:type="character" w:styleId="FollowedHyperlink">
    <w:name w:val="FollowedHyperlink"/>
    <w:basedOn w:val="DefaultParagraphFont"/>
    <w:uiPriority w:val="99"/>
    <w:semiHidden/>
    <w:unhideWhenUsed/>
    <w:rPr>
      <w:color w:val="003366"/>
      <w:u w:val="single"/>
    </w:rPr>
  </w:style>
  <w:style w:type="paragraph" w:customStyle="1" w:styleId="Header1">
    <w:name w:val="Header1"/>
    <w:basedOn w:val="Normal"/>
    <w:pPr>
      <w:shd w:val="clear" w:color="auto" w:fill="003366"/>
      <w:spacing w:before="100" w:beforeAutospacing="1" w:after="100" w:afterAutospacing="1"/>
    </w:pPr>
    <w:rPr>
      <w:rFonts w:eastAsia="Times New Roman" w:cs="Times New Roman"/>
    </w:rPr>
  </w:style>
  <w:style w:type="paragraph" w:customStyle="1" w:styleId="tablive">
    <w:name w:val="tab_live"/>
    <w:basedOn w:val="Normal"/>
    <w:pPr>
      <w:shd w:val="clear" w:color="auto" w:fill="FFFFFF"/>
      <w:spacing w:before="100" w:beforeAutospacing="1" w:after="100" w:afterAutospacing="1"/>
    </w:pPr>
    <w:rPr>
      <w:rFonts w:eastAsia="Times New Roman" w:cs="Times New Roman"/>
    </w:rPr>
  </w:style>
  <w:style w:type="paragraph" w:customStyle="1" w:styleId="tabdead">
    <w:name w:val="tab_dead"/>
    <w:basedOn w:val="Normal"/>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pPr>
      <w:spacing w:before="100" w:beforeAutospacing="1" w:after="100" w:afterAutospacing="1"/>
    </w:pPr>
    <w:rPr>
      <w:rFonts w:eastAsia="Times New Roman" w:cs="Times New Roman"/>
      <w:color w:val="CC0000"/>
    </w:rPr>
  </w:style>
  <w:style w:type="paragraph" w:customStyle="1" w:styleId="green">
    <w:name w:val="green"/>
    <w:basedOn w:val="Normal"/>
    <w:pPr>
      <w:spacing w:before="100" w:beforeAutospacing="1" w:after="100" w:afterAutospacing="1"/>
    </w:pPr>
    <w:rPr>
      <w:rFonts w:eastAsia="Times New Roman" w:cs="Times New Roman"/>
      <w:color w:val="339900"/>
    </w:rPr>
  </w:style>
  <w:style w:type="paragraph" w:customStyle="1" w:styleId="dead">
    <w:name w:val="dead"/>
    <w:basedOn w:val="Normal"/>
    <w:pPr>
      <w:spacing w:before="100" w:beforeAutospacing="1" w:after="100" w:afterAutospacing="1"/>
    </w:pPr>
    <w:rPr>
      <w:rFonts w:eastAsia="Times New Roman" w:cs="Times New Roman"/>
      <w:color w:val="666666"/>
    </w:rPr>
  </w:style>
  <w:style w:type="paragraph" w:customStyle="1" w:styleId="live">
    <w:name w:val="live"/>
    <w:basedOn w:val="Normal"/>
    <w:pPr>
      <w:spacing w:before="100" w:beforeAutospacing="1" w:after="100" w:afterAutospacing="1"/>
    </w:pPr>
    <w:rPr>
      <w:rFonts w:eastAsia="Times New Roman" w:cs="Times New Roman"/>
    </w:rPr>
  </w:style>
  <w:style w:type="paragraph" w:customStyle="1" w:styleId="orgname">
    <w:name w:val="org_name"/>
    <w:basedOn w:val="Normal"/>
    <w:pPr>
      <w:spacing w:before="100" w:beforeAutospacing="1" w:after="100" w:afterAutospacing="1"/>
      <w:jc w:val="right"/>
    </w:pPr>
    <w:rPr>
      <w:rFonts w:eastAsia="Times New Roman" w:cs="Times New Roman"/>
      <w:color w:val="FFFFFF"/>
    </w:rPr>
  </w:style>
  <w:style w:type="paragraph" w:customStyle="1" w:styleId="formwidth">
    <w:name w:val="form_width"/>
    <w:basedOn w:val="Normal"/>
    <w:pPr>
      <w:spacing w:before="100" w:beforeAutospacing="1" w:after="100" w:afterAutospacing="1"/>
    </w:pPr>
    <w:rPr>
      <w:rFonts w:eastAsia="Times New Roman" w:cs="Times New Roman"/>
    </w:rPr>
  </w:style>
  <w:style w:type="paragraph" w:customStyle="1" w:styleId="box">
    <w:name w:val="box"/>
    <w:basedOn w:val="Normal"/>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pPr>
      <w:spacing w:before="100" w:beforeAutospacing="1" w:after="100" w:afterAutospacing="1"/>
    </w:pPr>
    <w:rPr>
      <w:rFonts w:ascii="Arial" w:eastAsia="Times New Roman" w:hAnsi="Arial" w:cs="Arial"/>
      <w:sz w:val="15"/>
      <w:szCs w:val="15"/>
    </w:rPr>
  </w:style>
  <w:style w:type="paragraph" w:customStyle="1" w:styleId="large">
    <w:name w:val="large"/>
    <w:basedOn w:val="Normal"/>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pPr>
      <w:spacing w:before="225" w:after="150"/>
      <w:ind w:left="150" w:right="150"/>
    </w:pPr>
    <w:rPr>
      <w:rFonts w:ascii="Arial" w:eastAsia="Times New Roman" w:hAnsi="Arial" w:cs="Arial"/>
      <w:b/>
      <w:bCs/>
      <w:sz w:val="27"/>
      <w:szCs w:val="27"/>
    </w:rPr>
  </w:style>
  <w:style w:type="paragraph" w:customStyle="1" w:styleId="navlarge">
    <w:name w:val="nav_large"/>
    <w:basedOn w:val="Normal"/>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pPr>
      <w:spacing w:before="100" w:beforeAutospacing="1" w:after="100" w:afterAutospacing="1"/>
    </w:pPr>
    <w:rPr>
      <w:rFonts w:eastAsia="Times New Roman" w:cs="Times New Roman"/>
    </w:rPr>
  </w:style>
  <w:style w:type="paragraph" w:customStyle="1" w:styleId="message">
    <w:name w:val="message"/>
    <w:basedOn w:val="Normal"/>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pPr>
      <w:spacing w:before="150"/>
    </w:pPr>
    <w:rPr>
      <w:rFonts w:ascii="Arial" w:eastAsia="Times New Roman" w:hAnsi="Arial" w:cs="Arial"/>
      <w:b/>
      <w:bCs/>
      <w:sz w:val="27"/>
      <w:szCs w:val="27"/>
    </w:rPr>
  </w:style>
  <w:style w:type="paragraph" w:customStyle="1" w:styleId="articledate">
    <w:name w:val="article_date"/>
    <w:basedOn w:val="Normal"/>
    <w:pPr>
      <w:spacing w:after="150"/>
    </w:pPr>
    <w:rPr>
      <w:rFonts w:eastAsia="Times New Roman" w:cs="Times New Roman"/>
      <w:color w:val="666666"/>
    </w:rPr>
  </w:style>
  <w:style w:type="paragraph" w:customStyle="1" w:styleId="pagerlive">
    <w:name w:val="pager_live"/>
    <w:basedOn w:val="Normal"/>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pPr>
      <w:spacing w:before="75"/>
      <w:ind w:left="195"/>
    </w:pPr>
    <w:rPr>
      <w:rFonts w:eastAsia="Times New Roman" w:cs="Times New Roman"/>
      <w:color w:val="DDDDDD"/>
    </w:rPr>
  </w:style>
  <w:style w:type="paragraph" w:customStyle="1" w:styleId="bulletlistnobullet">
    <w:name w:val="bullet_list_no_bullet"/>
    <w:basedOn w:val="Normal"/>
    <w:pPr>
      <w:spacing w:before="75"/>
    </w:pPr>
    <w:rPr>
      <w:rFonts w:eastAsia="Times New Roman" w:cs="Times New Roman"/>
      <w:color w:val="DDDDDD"/>
    </w:rPr>
  </w:style>
  <w:style w:type="paragraph" w:customStyle="1" w:styleId="iconmenu">
    <w:name w:val="icon_menu"/>
    <w:basedOn w:val="Normal"/>
    <w:rPr>
      <w:rFonts w:eastAsia="Times New Roman" w:cs="Times New Roman"/>
      <w:b/>
      <w:bCs/>
      <w:sz w:val="18"/>
      <w:szCs w:val="18"/>
    </w:rPr>
  </w:style>
  <w:style w:type="paragraph" w:customStyle="1" w:styleId="contentcopyright">
    <w:name w:val="content_copyright"/>
    <w:basedOn w:val="Normal"/>
    <w:pPr>
      <w:spacing w:before="300"/>
      <w:ind w:left="300" w:right="300"/>
    </w:pPr>
    <w:rPr>
      <w:rFonts w:eastAsia="Times New Roman" w:cs="Times New Roman"/>
      <w:color w:val="666666"/>
    </w:rPr>
  </w:style>
  <w:style w:type="paragraph" w:customStyle="1" w:styleId="eventicon1">
    <w:name w:val="event_icon_1"/>
    <w:basedOn w:val="Normal"/>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pPr>
      <w:spacing w:before="100" w:beforeAutospacing="1" w:after="100" w:afterAutospacing="1"/>
    </w:pPr>
    <w:rPr>
      <w:rFonts w:eastAsia="Times New Roman" w:cs="Times New Roman"/>
    </w:rPr>
  </w:style>
  <w:style w:type="paragraph" w:customStyle="1" w:styleId="Header2">
    <w:name w:val="Header2"/>
    <w:basedOn w:val="Normal"/>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Pr>
      <w:rFonts w:eastAsia="Times New Roman" w:cs="Times New Roman"/>
    </w:rPr>
  </w:style>
  <w:style w:type="paragraph" w:customStyle="1" w:styleId="sponsored-event-content">
    <w:name w:val="sponsored-event-content"/>
    <w:basedOn w:val="Normal"/>
    <w:rPr>
      <w:rFonts w:eastAsia="Times New Roman" w:cs="Times New Roman"/>
      <w:vanish/>
    </w:rPr>
  </w:style>
  <w:style w:type="paragraph" w:customStyle="1" w:styleId="sponsored-event-click">
    <w:name w:val="sponsored-event-click"/>
    <w:basedOn w:val="Normal"/>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pPr>
      <w:ind w:left="50" w:right="50"/>
      <w:textAlignment w:val="top"/>
    </w:pPr>
    <w:rPr>
      <w:rFonts w:eastAsia="Times New Roman" w:cs="Times New Roman"/>
    </w:rPr>
  </w:style>
  <w:style w:type="paragraph" w:customStyle="1" w:styleId="tooltip">
    <w:name w:val="tooltip"/>
    <w:basedOn w:val="Normal"/>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pPr>
      <w:spacing w:before="100" w:beforeAutospacing="1" w:after="100" w:afterAutospacing="1"/>
    </w:pPr>
    <w:rPr>
      <w:rFonts w:eastAsia="Times New Roman" w:cs="Times New Roman"/>
      <w:sz w:val="12"/>
      <w:szCs w:val="12"/>
    </w:rPr>
  </w:style>
  <w:style w:type="paragraph" w:customStyle="1" w:styleId="large-tooltip">
    <w:name w:val="large-tooltip"/>
    <w:basedOn w:val="Normal"/>
    <w:pPr>
      <w:spacing w:before="100" w:beforeAutospacing="1" w:after="100" w:afterAutospacing="1"/>
    </w:pPr>
    <w:rPr>
      <w:rFonts w:eastAsia="Times New Roman" w:cs="Times New Roman"/>
      <w:b/>
      <w:bCs/>
      <w:sz w:val="13"/>
      <w:szCs w:val="13"/>
    </w:rPr>
  </w:style>
  <w:style w:type="paragraph" w:customStyle="1" w:styleId="more-items">
    <w:name w:val="more-items"/>
    <w:basedOn w:val="Normal"/>
    <w:pPr>
      <w:spacing w:before="100" w:beforeAutospacing="1" w:after="200"/>
      <w:jc w:val="right"/>
    </w:pPr>
    <w:rPr>
      <w:rFonts w:eastAsia="Times New Roman" w:cs="Times New Roman"/>
      <w:b/>
      <w:bCs/>
    </w:rPr>
  </w:style>
  <w:style w:type="paragraph" w:customStyle="1" w:styleId="button-link">
    <w:name w:val="button-link"/>
    <w:basedOn w:val="Normal"/>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character" w:customStyle="1" w:styleId="tiny1">
    <w:name w:val="tiny1"/>
    <w:basedOn w:val="DefaultParagraphFont"/>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NoList1">
    <w:name w:val="No List1"/>
    <w:next w:val="NoList"/>
    <w:uiPriority w:val="99"/>
    <w:semiHidden/>
    <w:unhideWhenUsed/>
  </w:style>
  <w:style w:type="paragraph" w:customStyle="1" w:styleId="filter">
    <w:name w:val="filter"/>
    <w:basedOn w:val="Normal"/>
    <w:pPr>
      <w:spacing w:before="100" w:beforeAutospacing="1" w:after="100" w:afterAutospacing="1"/>
    </w:pPr>
    <w:rPr>
      <w:rFonts w:eastAsia="Times New Roman" w:cs="Times New Roman"/>
    </w:rPr>
  </w:style>
  <w:style w:type="paragraph" w:customStyle="1" w:styleId="grid-50">
    <w:name w:val="grid-50"/>
    <w:basedOn w:val="Normal"/>
    <w:pPr>
      <w:spacing w:before="100" w:beforeAutospacing="1" w:after="100" w:afterAutospacing="1"/>
    </w:pPr>
    <w:rPr>
      <w:rFonts w:eastAsia="Times New Roman" w:cs="Times New Roman"/>
    </w:rPr>
  </w:style>
  <w:style w:type="paragraph" w:customStyle="1" w:styleId="grid-100">
    <w:name w:val="grid-100"/>
    <w:basedOn w:val="Normal"/>
    <w:pPr>
      <w:spacing w:before="100" w:beforeAutospacing="1" w:after="100" w:afterAutospacing="1"/>
    </w:pPr>
    <w:rPr>
      <w:rFonts w:eastAsia="Times New Roman" w:cs="Times New Roman"/>
    </w:rPr>
  </w:style>
  <w:style w:type="character" w:customStyle="1" w:styleId="Title1">
    <w:name w:val="Title1"/>
    <w:basedOn w:val="DefaultParagraphFont"/>
  </w:style>
  <w:style w:type="character" w:customStyle="1" w:styleId="billnumber">
    <w:name w:val="billnumber"/>
    <w:basedOn w:val="DefaultParagraphFont"/>
  </w:style>
  <w:style w:type="character" w:customStyle="1" w:styleId="billtitle">
    <w:name w:val="billtitle"/>
    <w:basedOn w:val="DefaultParagraphFont"/>
  </w:style>
  <w:style w:type="character" w:customStyle="1" w:styleId="newwindowico16">
    <w:name w:val="newwindowico16"/>
    <w:basedOn w:val="DefaultParagraphFont"/>
  </w:style>
  <w:style w:type="paragraph" w:customStyle="1" w:styleId="bold">
    <w:name w:val="bold"/>
    <w:basedOn w:val="Normal"/>
    <w:pPr>
      <w:spacing w:before="100" w:beforeAutospacing="1" w:after="100" w:afterAutospacing="1"/>
    </w:pPr>
    <w:rPr>
      <w:rFonts w:eastAsia="Times New Roman" w:cs="Times New Roman"/>
    </w:rPr>
  </w:style>
  <w:style w:type="paragraph" w:customStyle="1" w:styleId="seal">
    <w:name w:val="seal"/>
    <w:basedOn w:val="Normal"/>
    <w:pPr>
      <w:spacing w:before="100" w:beforeAutospacing="1" w:after="100" w:afterAutospacing="1"/>
    </w:pPr>
    <w:rPr>
      <w:rFonts w:eastAsia="Times New Roman" w:cs="Times New Roman"/>
    </w:rPr>
  </w:style>
  <w:style w:type="character" w:customStyle="1" w:styleId="newwindowwhiteico16">
    <w:name w:val="newwindowwhiteico16"/>
    <w:basedOn w:val="DefaultParagraphFont"/>
  </w:style>
  <w:style w:type="character" w:customStyle="1" w:styleId="noprint">
    <w:name w:val="noprint"/>
    <w:basedOn w:val="DefaultParagraphFont"/>
  </w:style>
</w:styles>
</file>

<file path=word/webSettings.xml><?xml version="1.0" encoding="utf-8"?>
<w:webSettings xmlns:r="http://schemas.openxmlformats.org/officeDocument/2006/relationships" xmlns:w="http://schemas.openxmlformats.org/wordprocessingml/2006/main">
  <w:divs>
    <w:div w:id="69665394">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senate.gov/Session/Bill/2015/0063" TargetMode="External"/><Relationship Id="rId13" Type="http://schemas.openxmlformats.org/officeDocument/2006/relationships/hyperlink" Target="http://www.flsenate.gov/Session/Bill/2015/0181" TargetMode="External"/><Relationship Id="rId18" Type="http://schemas.openxmlformats.org/officeDocument/2006/relationships/hyperlink" Target="http://www.flsenate.gov/Session/Bill/2015/0348" TargetMode="External"/><Relationship Id="rId26" Type="http://schemas.openxmlformats.org/officeDocument/2006/relationships/hyperlink" Target="http://www.flsenate.gov/Session/Bill/2015/050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lsenate.gov/Session/Bill/2015/0412" TargetMode="External"/><Relationship Id="rId34" Type="http://schemas.openxmlformats.org/officeDocument/2006/relationships/hyperlink" Target="http://www.flsenate.gov/Tracker/ManageAccount/EmailFrequency" TargetMode="External"/><Relationship Id="rId7" Type="http://schemas.openxmlformats.org/officeDocument/2006/relationships/endnotes" Target="endnotes.xml"/><Relationship Id="rId12" Type="http://schemas.openxmlformats.org/officeDocument/2006/relationships/hyperlink" Target="http://www.flsenate.gov/Session/Bill/2015/0163" TargetMode="External"/><Relationship Id="rId17" Type="http://schemas.openxmlformats.org/officeDocument/2006/relationships/hyperlink" Target="http://www.flsenate.gov/Session/Bill/2015/0338" TargetMode="External"/><Relationship Id="rId25" Type="http://schemas.openxmlformats.org/officeDocument/2006/relationships/hyperlink" Target="http://www.flsenate.gov/Session/Bill/2015/0491" TargetMode="External"/><Relationship Id="rId33" Type="http://schemas.openxmlformats.org/officeDocument/2006/relationships/hyperlink" Target="http://www.flsenate.gov/Tracker/ManageAccount/EmailFrequency"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lsenate.gov/Session/Bill/2015/0284" TargetMode="External"/><Relationship Id="rId20" Type="http://schemas.openxmlformats.org/officeDocument/2006/relationships/hyperlink" Target="http://www.flsenate.gov/Session/Bill/2015/0402" TargetMode="External"/><Relationship Id="rId29" Type="http://schemas.openxmlformats.org/officeDocument/2006/relationships/hyperlink" Target="http://www.flsenate.gov/Session/Bill/2015/0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senate.gov/Session/Bill/2015/0113" TargetMode="External"/><Relationship Id="rId24" Type="http://schemas.openxmlformats.org/officeDocument/2006/relationships/hyperlink" Target="http://www.flsenate.gov/Session/Bill/2015/0466" TargetMode="External"/><Relationship Id="rId32" Type="http://schemas.openxmlformats.org/officeDocument/2006/relationships/hyperlink" Target="http://www.flsenate.gov/Session/Bill/2015/115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lsenate.gov/Session/Bill/2015/0219" TargetMode="External"/><Relationship Id="rId23" Type="http://schemas.openxmlformats.org/officeDocument/2006/relationships/hyperlink" Target="http://www.flsenate.gov/Session/Bill/2015/0418" TargetMode="External"/><Relationship Id="rId28" Type="http://schemas.openxmlformats.org/officeDocument/2006/relationships/hyperlink" Target="http://www.flsenate.gov/Session/Bill/2015/0525" TargetMode="External"/><Relationship Id="rId36" Type="http://schemas.openxmlformats.org/officeDocument/2006/relationships/hyperlink" Target="http://www.flsenate.gov/Tracker/ManageAccount/EmailFrequency" TargetMode="External"/><Relationship Id="rId10" Type="http://schemas.openxmlformats.org/officeDocument/2006/relationships/hyperlink" Target="http://www.flsenate.gov/Session/Bill/2015/0087" TargetMode="External"/><Relationship Id="rId19" Type="http://schemas.openxmlformats.org/officeDocument/2006/relationships/hyperlink" Target="http://www.flsenate.gov/Session/Bill/2015/0400" TargetMode="External"/><Relationship Id="rId31" Type="http://schemas.openxmlformats.org/officeDocument/2006/relationships/hyperlink" Target="http://www.flsenate.gov/Session/Bill/2015/0911" TargetMode="External"/><Relationship Id="rId4" Type="http://schemas.openxmlformats.org/officeDocument/2006/relationships/settings" Target="settings.xml"/><Relationship Id="rId9" Type="http://schemas.openxmlformats.org/officeDocument/2006/relationships/hyperlink" Target="http://www.flsenate.gov/Session/Bill/2015/0065" TargetMode="External"/><Relationship Id="rId14" Type="http://schemas.openxmlformats.org/officeDocument/2006/relationships/hyperlink" Target="http://www.flsenate.gov/Session/Bill/2015/0217" TargetMode="External"/><Relationship Id="rId22" Type="http://schemas.openxmlformats.org/officeDocument/2006/relationships/hyperlink" Target="http://www.flsenate.gov/Session/Bill/2015/0413" TargetMode="External"/><Relationship Id="rId27" Type="http://schemas.openxmlformats.org/officeDocument/2006/relationships/hyperlink" Target="http://www.flsenate.gov/Session/Bill/2015/0509" TargetMode="External"/><Relationship Id="rId30" Type="http://schemas.openxmlformats.org/officeDocument/2006/relationships/hyperlink" Target="http://www.flsenate.gov/Session/Bill/2015/0592" TargetMode="External"/><Relationship Id="rId35" Type="http://schemas.openxmlformats.org/officeDocument/2006/relationships/hyperlink" Target="http://www.flsenate.gov/Tracker/ManageAccount/EmailFrequ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0499F-26BB-4331-BCC3-BB43EC1C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3883</Words>
  <Characters>25499</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29324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2013-12-09T14:05:00Z</cp:lastPrinted>
  <dcterms:created xsi:type="dcterms:W3CDTF">2015-03-09T14:22:00Z</dcterms:created>
  <dcterms:modified xsi:type="dcterms:W3CDTF">2015-03-09T14:22:00Z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