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61" w:rsidRPr="00B82F44" w:rsidRDefault="002C4661" w:rsidP="002C4661">
      <w:pPr>
        <w:pStyle w:val="BlockText"/>
        <w:jc w:val="center"/>
        <w:rPr>
          <w:b/>
          <w:sz w:val="28"/>
          <w:szCs w:val="28"/>
        </w:rPr>
      </w:pPr>
      <w:r w:rsidRPr="00B82F44">
        <w:rPr>
          <w:b/>
          <w:sz w:val="28"/>
          <w:szCs w:val="28"/>
        </w:rPr>
        <w:t>The Florida Bar: Real Property, Probate and Trust Law Section</w:t>
      </w:r>
    </w:p>
    <w:p w:rsidR="002C4661" w:rsidRDefault="002C4661" w:rsidP="002C4661">
      <w:pPr>
        <w:pStyle w:val="BlockText"/>
        <w:jc w:val="center"/>
        <w:rPr>
          <w:b/>
          <w:sz w:val="28"/>
          <w:szCs w:val="28"/>
        </w:rPr>
      </w:pPr>
      <w:r w:rsidRPr="00B82F44">
        <w:rPr>
          <w:b/>
          <w:sz w:val="28"/>
          <w:szCs w:val="28"/>
        </w:rPr>
        <w:t>Construction Law Committee</w:t>
      </w:r>
    </w:p>
    <w:p w:rsidR="002C4661" w:rsidRDefault="002C4661" w:rsidP="002C4661">
      <w:pPr>
        <w:pStyle w:val="BlockText"/>
        <w:jc w:val="center"/>
        <w:rPr>
          <w:b/>
          <w:sz w:val="28"/>
          <w:szCs w:val="28"/>
        </w:rPr>
      </w:pPr>
    </w:p>
    <w:p w:rsidR="00000245" w:rsidRDefault="00BF02D7" w:rsidP="002C4661">
      <w:pPr>
        <w:pStyle w:val="BlockText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Small Business Sub</w:t>
      </w:r>
      <w:r w:rsidR="00A125A7">
        <w:rPr>
          <w:rFonts w:cs="Times New Roman"/>
          <w:b/>
          <w:u w:val="single"/>
        </w:rPr>
        <w:t>-</w:t>
      </w:r>
      <w:r>
        <w:rPr>
          <w:rFonts w:cs="Times New Roman"/>
          <w:b/>
          <w:u w:val="single"/>
        </w:rPr>
        <w:t>Committee</w:t>
      </w:r>
    </w:p>
    <w:p w:rsidR="002C4661" w:rsidRDefault="00A54F1E" w:rsidP="003C45BB">
      <w:pPr>
        <w:pStyle w:val="BlockText"/>
        <w:jc w:val="center"/>
        <w:rPr>
          <w:rFonts w:cs="Times New Roman"/>
        </w:rPr>
      </w:pPr>
      <w:r>
        <w:rPr>
          <w:rFonts w:cs="Times New Roman"/>
        </w:rPr>
        <w:t>February 9, 2015 Report</w:t>
      </w:r>
    </w:p>
    <w:p w:rsidR="00A04360" w:rsidRDefault="00A04360" w:rsidP="003C45BB">
      <w:pPr>
        <w:pStyle w:val="BlockText"/>
        <w:jc w:val="center"/>
        <w:rPr>
          <w:rFonts w:cs="Times New Roman"/>
        </w:rPr>
      </w:pPr>
      <w:r>
        <w:rPr>
          <w:rFonts w:cs="Times New Roman"/>
        </w:rPr>
        <w:t xml:space="preserve">Subcommittee Chair: </w:t>
      </w:r>
      <w:r>
        <w:rPr>
          <w:rFonts w:cs="Times New Roman"/>
        </w:rPr>
        <w:tab/>
      </w:r>
      <w:r>
        <w:rPr>
          <w:rFonts w:cs="Times New Roman"/>
        </w:rPr>
        <w:tab/>
        <w:t>Lisa Colon Heron</w:t>
      </w:r>
    </w:p>
    <w:p w:rsidR="00A04360" w:rsidRDefault="00A04360" w:rsidP="00A04360">
      <w:pPr>
        <w:pStyle w:val="BlockText"/>
        <w:jc w:val="left"/>
        <w:rPr>
          <w:rFonts w:cs="Times New Roman"/>
        </w:rPr>
      </w:pP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  <w:r w:rsidR="0062221C">
        <w:rPr>
          <w:rFonts w:cs="Times New Roman"/>
        </w:rPr>
        <w:t xml:space="preserve">   </w:t>
      </w:r>
      <w:r>
        <w:rPr>
          <w:rFonts w:cs="Times New Roman"/>
        </w:rPr>
        <w:t>Smith Currie &amp; Hancock, LLP</w:t>
      </w:r>
    </w:p>
    <w:p w:rsidR="002C4661" w:rsidRDefault="002C4661" w:rsidP="002C4661">
      <w:pPr>
        <w:pStyle w:val="BlockText"/>
        <w:rPr>
          <w:sz w:val="28"/>
          <w:szCs w:val="28"/>
        </w:rPr>
      </w:pPr>
    </w:p>
    <w:p w:rsidR="00A54F1E" w:rsidRPr="00A04360" w:rsidRDefault="00A54F1E" w:rsidP="00A04360">
      <w:pPr>
        <w:pStyle w:val="BlockText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A04360">
        <w:rPr>
          <w:b/>
          <w:sz w:val="28"/>
          <w:szCs w:val="28"/>
          <w:u w:val="single"/>
        </w:rPr>
        <w:t>Federal</w:t>
      </w:r>
    </w:p>
    <w:p w:rsidR="00A54F1E" w:rsidRDefault="00A54F1E" w:rsidP="002C4661">
      <w:pPr>
        <w:pStyle w:val="BlockText"/>
        <w:rPr>
          <w:sz w:val="28"/>
          <w:szCs w:val="28"/>
        </w:rPr>
      </w:pPr>
    </w:p>
    <w:p w:rsidR="00A54F1E" w:rsidRPr="00A04360" w:rsidRDefault="00A54F1E" w:rsidP="002C4661">
      <w:pPr>
        <w:pStyle w:val="BlockText"/>
        <w:rPr>
          <w:i/>
          <w:sz w:val="28"/>
          <w:szCs w:val="28"/>
        </w:rPr>
      </w:pPr>
      <w:r w:rsidRPr="00A04360">
        <w:rPr>
          <w:i/>
          <w:sz w:val="28"/>
          <w:szCs w:val="28"/>
        </w:rPr>
        <w:t>Small Business Administration</w:t>
      </w:r>
    </w:p>
    <w:p w:rsidR="00A54F1E" w:rsidRDefault="00A54F1E" w:rsidP="002C4661">
      <w:pPr>
        <w:pStyle w:val="BlockText"/>
        <w:rPr>
          <w:sz w:val="28"/>
          <w:szCs w:val="28"/>
        </w:rPr>
      </w:pPr>
    </w:p>
    <w:p w:rsidR="00A54F1E" w:rsidRDefault="00A54F1E" w:rsidP="002C4661">
      <w:pPr>
        <w:pStyle w:val="BlockText"/>
        <w:rPr>
          <w:sz w:val="28"/>
          <w:szCs w:val="28"/>
        </w:rPr>
      </w:pPr>
      <w:r>
        <w:rPr>
          <w:sz w:val="28"/>
          <w:szCs w:val="28"/>
        </w:rPr>
        <w:t>On February 5, 2015, the SBA issued proposed rules to :</w:t>
      </w:r>
    </w:p>
    <w:p w:rsidR="00A54F1E" w:rsidRDefault="00A54F1E" w:rsidP="002C4661">
      <w:pPr>
        <w:pStyle w:val="BlockText"/>
        <w:rPr>
          <w:sz w:val="28"/>
          <w:szCs w:val="28"/>
        </w:rPr>
      </w:pPr>
    </w:p>
    <w:p w:rsidR="00A54F1E" w:rsidRDefault="00A54F1E" w:rsidP="00A54F1E">
      <w:pPr>
        <w:pStyle w:val="Block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Establish a government wide mentor-protégé program for all small business concerns that is consistent with the SBA’s mentor-protégé program for participants in the SBA’s 8(a) Business Development Program and to adopt minor changes to the mentor-protégé provisions of the 8(a) Business Development program in order to make the mentor-protégé rules for each of the programs consistent as possible;</w:t>
      </w:r>
    </w:p>
    <w:p w:rsidR="00A54F1E" w:rsidRDefault="00A54F1E" w:rsidP="00A54F1E">
      <w:pPr>
        <w:pStyle w:val="BlockText"/>
        <w:ind w:left="1080"/>
        <w:rPr>
          <w:sz w:val="28"/>
          <w:szCs w:val="28"/>
        </w:rPr>
      </w:pPr>
    </w:p>
    <w:p w:rsidR="00A54F1E" w:rsidRDefault="00A54F1E" w:rsidP="00A54F1E">
      <w:pPr>
        <w:pStyle w:val="Block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Amend the current joint venture provisions to clarify the considerations for creating and operating joint ventures.  Currently two business that joint venture to perform federal contracts will be considered affiliated. A finding of affiliation with a large business can cost a small business its size </w:t>
      </w:r>
      <w:r w:rsidR="00A04360">
        <w:rPr>
          <w:sz w:val="28"/>
          <w:szCs w:val="28"/>
        </w:rPr>
        <w:t>status</w:t>
      </w:r>
      <w:r>
        <w:rPr>
          <w:sz w:val="28"/>
          <w:szCs w:val="28"/>
        </w:rPr>
        <w:t xml:space="preserve"> and prevent it from pursing small business set aside contracts. </w:t>
      </w:r>
    </w:p>
    <w:p w:rsidR="00EE32EB" w:rsidRDefault="00EE32EB" w:rsidP="00EE32EB">
      <w:pPr>
        <w:pStyle w:val="ListParagraph"/>
        <w:rPr>
          <w:sz w:val="28"/>
          <w:szCs w:val="28"/>
        </w:rPr>
      </w:pPr>
    </w:p>
    <w:p w:rsidR="00EE32EB" w:rsidRDefault="00EE32EB" w:rsidP="00EE32EB">
      <w:pPr>
        <w:pStyle w:val="BlockTex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Under the current rules </w:t>
      </w:r>
      <w:r w:rsidR="00A04360">
        <w:rPr>
          <w:sz w:val="28"/>
          <w:szCs w:val="28"/>
        </w:rPr>
        <w:t>a</w:t>
      </w:r>
      <w:r>
        <w:rPr>
          <w:sz w:val="28"/>
          <w:szCs w:val="28"/>
        </w:rPr>
        <w:t xml:space="preserve">n 8(a) small business in a mentor protégé can joint venture with a SBA approved large business and still qualify as a small business for any federal government contract without a finding of </w:t>
      </w:r>
      <w:r w:rsidR="0062221C">
        <w:rPr>
          <w:sz w:val="28"/>
          <w:szCs w:val="28"/>
        </w:rPr>
        <w:t>affiliation</w:t>
      </w:r>
      <w:bookmarkStart w:id="0" w:name="_GoBack"/>
      <w:bookmarkEnd w:id="0"/>
      <w:r w:rsidR="00A04360">
        <w:rPr>
          <w:sz w:val="28"/>
          <w:szCs w:val="28"/>
        </w:rPr>
        <w:t>.</w:t>
      </w:r>
    </w:p>
    <w:p w:rsidR="00EE32EB" w:rsidRDefault="00EE32EB" w:rsidP="00EE32EB">
      <w:pPr>
        <w:pStyle w:val="BlockText"/>
        <w:ind w:left="1080"/>
        <w:rPr>
          <w:sz w:val="28"/>
          <w:szCs w:val="28"/>
        </w:rPr>
      </w:pPr>
    </w:p>
    <w:p w:rsidR="00EE32EB" w:rsidRDefault="00EE32EB" w:rsidP="00EE32EB">
      <w:pPr>
        <w:pStyle w:val="BlockText"/>
        <w:ind w:left="1080"/>
        <w:rPr>
          <w:sz w:val="28"/>
          <w:szCs w:val="28"/>
        </w:rPr>
      </w:pPr>
      <w:r>
        <w:rPr>
          <w:sz w:val="28"/>
          <w:szCs w:val="28"/>
        </w:rPr>
        <w:t>The SBA’s proposed rules would expand this shield of affiliation by adding a new mentor-protégé program that includes all small business (HubZones, Women-Owned Small Business  (WOSB and EDOSBs) and Service-Disabled Veteran Owned Small Business) Under the proposed rules all small business concerns will have the opportunity to enter into a SBA approved mentor-protégé to compete</w:t>
      </w:r>
      <w:r w:rsidR="00A04360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small business set aside contracts. </w:t>
      </w:r>
    </w:p>
    <w:p w:rsidR="00622710" w:rsidRDefault="00622710" w:rsidP="00EE32EB">
      <w:pPr>
        <w:pStyle w:val="BlockText"/>
        <w:ind w:left="1080"/>
        <w:rPr>
          <w:sz w:val="28"/>
          <w:szCs w:val="28"/>
        </w:rPr>
      </w:pPr>
    </w:p>
    <w:p w:rsidR="00622710" w:rsidRDefault="00622710" w:rsidP="00EE32EB">
      <w:pPr>
        <w:pStyle w:val="BlockText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Comments are due April 6, 2015. </w:t>
      </w:r>
    </w:p>
    <w:p w:rsidR="00A04360" w:rsidRDefault="00A04360" w:rsidP="00622710">
      <w:pPr>
        <w:pStyle w:val="BlockText"/>
        <w:rPr>
          <w:sz w:val="28"/>
          <w:szCs w:val="28"/>
        </w:rPr>
      </w:pPr>
    </w:p>
    <w:p w:rsidR="00EE32EB" w:rsidRPr="00A04360" w:rsidRDefault="00622710" w:rsidP="00A04360">
      <w:pPr>
        <w:pStyle w:val="BlockText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A04360">
        <w:rPr>
          <w:b/>
          <w:sz w:val="28"/>
          <w:szCs w:val="28"/>
          <w:u w:val="single"/>
        </w:rPr>
        <w:t>Florida</w:t>
      </w:r>
    </w:p>
    <w:p w:rsidR="00622710" w:rsidRDefault="00622710" w:rsidP="00622710">
      <w:pPr>
        <w:pStyle w:val="BlockText"/>
        <w:rPr>
          <w:sz w:val="28"/>
          <w:szCs w:val="28"/>
        </w:rPr>
      </w:pPr>
    </w:p>
    <w:p w:rsidR="00622710" w:rsidRDefault="00622710" w:rsidP="00A04360">
      <w:pPr>
        <w:pStyle w:val="BlockText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On January 22, 2015 the NAACP Florida State Conference released a statewide Economic Development Report Card as a result of a study of the records of several private and state agencies. It is a part of </w:t>
      </w:r>
      <w:r w:rsidR="00A04360">
        <w:rPr>
          <w:sz w:val="28"/>
          <w:szCs w:val="28"/>
        </w:rPr>
        <w:t>the NAACP’s</w:t>
      </w:r>
      <w:r>
        <w:rPr>
          <w:sz w:val="28"/>
          <w:szCs w:val="28"/>
        </w:rPr>
        <w:t xml:space="preserve"> effort to raise awareness of diversity and inclusion</w:t>
      </w:r>
      <w:r w:rsidR="00A04360">
        <w:rPr>
          <w:sz w:val="28"/>
          <w:szCs w:val="28"/>
        </w:rPr>
        <w:t>. T</w:t>
      </w:r>
      <w:r>
        <w:rPr>
          <w:sz w:val="28"/>
          <w:szCs w:val="28"/>
        </w:rPr>
        <w:t>he NAACP examined the employment, advertising and spending with minority, women and veteran owned business</w:t>
      </w:r>
      <w:r w:rsidR="00A04360">
        <w:rPr>
          <w:sz w:val="28"/>
          <w:szCs w:val="28"/>
        </w:rPr>
        <w:t xml:space="preserve"> records. </w:t>
      </w:r>
      <w:r>
        <w:rPr>
          <w:sz w:val="28"/>
          <w:szCs w:val="28"/>
        </w:rPr>
        <w:t xml:space="preserve"> </w:t>
      </w:r>
      <w:r w:rsidR="00A04360">
        <w:rPr>
          <w:sz w:val="28"/>
          <w:szCs w:val="28"/>
        </w:rPr>
        <w:t xml:space="preserve">Summary results of the findings and recommendations are attached. </w:t>
      </w:r>
    </w:p>
    <w:p w:rsidR="0062221C" w:rsidRDefault="0062221C" w:rsidP="00A04360">
      <w:pPr>
        <w:pStyle w:val="BlockText"/>
        <w:ind w:firstLine="360"/>
        <w:rPr>
          <w:sz w:val="28"/>
          <w:szCs w:val="28"/>
        </w:rPr>
      </w:pPr>
    </w:p>
    <w:p w:rsidR="0062221C" w:rsidRDefault="0062221C" w:rsidP="00A04360">
      <w:pPr>
        <w:pStyle w:val="BlockText"/>
        <w:ind w:firstLine="360"/>
        <w:rPr>
          <w:sz w:val="28"/>
          <w:szCs w:val="28"/>
        </w:rPr>
      </w:pPr>
    </w:p>
    <w:p w:rsidR="0062221C" w:rsidRDefault="0062221C" w:rsidP="0062221C">
      <w:pPr>
        <w:pStyle w:val="BlockText"/>
        <w:ind w:firstLine="36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2221C">
        <w:rPr>
          <w:rFonts w:ascii="Arial Unicode MS" w:eastAsia="Arial Unicode MS" w:hAnsi="Arial Unicode MS" w:cs="Arial Unicode MS"/>
          <w:b/>
          <w:sz w:val="28"/>
          <w:szCs w:val="28"/>
        </w:rPr>
        <w:t xml:space="preserve">NEXT MEETING </w:t>
      </w:r>
    </w:p>
    <w:p w:rsidR="0062221C" w:rsidRPr="0062221C" w:rsidRDefault="0062221C" w:rsidP="0062221C">
      <w:pPr>
        <w:pStyle w:val="BlockText"/>
        <w:ind w:firstLine="36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2221C">
        <w:rPr>
          <w:rFonts w:ascii="Arial Unicode MS" w:eastAsia="Arial Unicode MS" w:hAnsi="Arial Unicode MS" w:cs="Arial Unicode MS"/>
          <w:b/>
          <w:sz w:val="28"/>
          <w:szCs w:val="28"/>
        </w:rPr>
        <w:t xml:space="preserve">FEBRUARY 25, 2015 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@</w:t>
      </w:r>
      <w:r w:rsidRPr="0062221C">
        <w:rPr>
          <w:rFonts w:ascii="Arial Unicode MS" w:eastAsia="Arial Unicode MS" w:hAnsi="Arial Unicode MS" w:cs="Arial Unicode MS"/>
          <w:b/>
          <w:sz w:val="28"/>
          <w:szCs w:val="28"/>
        </w:rPr>
        <w:t xml:space="preserve"> 12 PM EST.</w:t>
      </w:r>
    </w:p>
    <w:p w:rsidR="0062221C" w:rsidRPr="0062221C" w:rsidRDefault="0062221C" w:rsidP="0062221C">
      <w:pPr>
        <w:ind w:firstLine="360"/>
        <w:jc w:val="center"/>
        <w:rPr>
          <w:rFonts w:ascii="Arial Unicode MS" w:eastAsia="Arial Unicode MS" w:hAnsi="Arial Unicode MS" w:cs="Arial Unicode MS"/>
          <w:b/>
          <w:bCs/>
        </w:rPr>
      </w:pPr>
      <w:r w:rsidRPr="0062221C">
        <w:rPr>
          <w:rFonts w:ascii="Arial Unicode MS" w:eastAsia="Arial Unicode MS" w:hAnsi="Arial Unicode MS" w:cs="Arial Unicode MS"/>
          <w:b/>
          <w:bCs/>
        </w:rPr>
        <w:t>Call-in</w:t>
      </w:r>
      <w:r w:rsidRPr="0062221C">
        <w:rPr>
          <w:rFonts w:ascii="Arial Unicode MS" w:eastAsia="Arial Unicode MS" w:hAnsi="Arial Unicode MS" w:cs="Arial Unicode MS"/>
          <w:b/>
          <w:bCs/>
        </w:rPr>
        <w:t xml:space="preserve"> number and password: 888-376-5050 / Pin 7542148521.</w:t>
      </w:r>
    </w:p>
    <w:p w:rsidR="0062221C" w:rsidRPr="0062221C" w:rsidRDefault="0062221C" w:rsidP="0062221C">
      <w:pPr>
        <w:pStyle w:val="BlockText"/>
        <w:ind w:firstLine="36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sectPr w:rsidR="0062221C" w:rsidRPr="00622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E6" w:rsidRDefault="003D37E6" w:rsidP="003439C1">
      <w:r>
        <w:separator/>
      </w:r>
    </w:p>
  </w:endnote>
  <w:endnote w:type="continuationSeparator" w:id="0">
    <w:p w:rsidR="003D37E6" w:rsidRDefault="003D37E6" w:rsidP="003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0" w:rsidRDefault="00A04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664568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439C1" w:rsidRPr="003439C1" w:rsidRDefault="003439C1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C1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2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439C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22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43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39C1" w:rsidRDefault="003439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0" w:rsidRDefault="00A04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E6" w:rsidRDefault="003D37E6" w:rsidP="003439C1">
      <w:r>
        <w:separator/>
      </w:r>
    </w:p>
  </w:footnote>
  <w:footnote w:type="continuationSeparator" w:id="0">
    <w:p w:rsidR="003D37E6" w:rsidRDefault="003D37E6" w:rsidP="0034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0" w:rsidRDefault="00A04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0" w:rsidRDefault="00A043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0" w:rsidRDefault="00A04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1FD9"/>
    <w:multiLevelType w:val="hybridMultilevel"/>
    <w:tmpl w:val="0360CAB2"/>
    <w:lvl w:ilvl="0" w:tplc="3522A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25AED"/>
    <w:multiLevelType w:val="hybridMultilevel"/>
    <w:tmpl w:val="41E8BDD4"/>
    <w:lvl w:ilvl="0" w:tplc="629EE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A544C"/>
    <w:multiLevelType w:val="hybridMultilevel"/>
    <w:tmpl w:val="E9FE4DD8"/>
    <w:lvl w:ilvl="0" w:tplc="7EB2F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A0"/>
    <w:rsid w:val="00041FE3"/>
    <w:rsid w:val="00052A4F"/>
    <w:rsid w:val="00073F95"/>
    <w:rsid w:val="0009119F"/>
    <w:rsid w:val="000C7B0B"/>
    <w:rsid w:val="000D4C20"/>
    <w:rsid w:val="000E1E9F"/>
    <w:rsid w:val="000F23D9"/>
    <w:rsid w:val="000F7180"/>
    <w:rsid w:val="00112A14"/>
    <w:rsid w:val="00115F52"/>
    <w:rsid w:val="00144058"/>
    <w:rsid w:val="00155770"/>
    <w:rsid w:val="001621F5"/>
    <w:rsid w:val="00173CFC"/>
    <w:rsid w:val="00187EBA"/>
    <w:rsid w:val="0019693E"/>
    <w:rsid w:val="0019766E"/>
    <w:rsid w:val="001B5EDE"/>
    <w:rsid w:val="001E7EDC"/>
    <w:rsid w:val="0021163C"/>
    <w:rsid w:val="00261FCD"/>
    <w:rsid w:val="00280A26"/>
    <w:rsid w:val="0028660B"/>
    <w:rsid w:val="002C4661"/>
    <w:rsid w:val="002C6C3B"/>
    <w:rsid w:val="002F5B1D"/>
    <w:rsid w:val="003127B3"/>
    <w:rsid w:val="00330B1A"/>
    <w:rsid w:val="003439C1"/>
    <w:rsid w:val="0035091A"/>
    <w:rsid w:val="003830CC"/>
    <w:rsid w:val="003C03B1"/>
    <w:rsid w:val="003C1D0A"/>
    <w:rsid w:val="003C45BB"/>
    <w:rsid w:val="003D37E6"/>
    <w:rsid w:val="003D6121"/>
    <w:rsid w:val="003E2C5E"/>
    <w:rsid w:val="003F106C"/>
    <w:rsid w:val="003F573B"/>
    <w:rsid w:val="004016CE"/>
    <w:rsid w:val="00410171"/>
    <w:rsid w:val="004505F2"/>
    <w:rsid w:val="004523B9"/>
    <w:rsid w:val="0049124E"/>
    <w:rsid w:val="004921FD"/>
    <w:rsid w:val="004B0295"/>
    <w:rsid w:val="004C7283"/>
    <w:rsid w:val="004D420D"/>
    <w:rsid w:val="004F418F"/>
    <w:rsid w:val="004F788B"/>
    <w:rsid w:val="00516596"/>
    <w:rsid w:val="00522B11"/>
    <w:rsid w:val="00523125"/>
    <w:rsid w:val="00535A6D"/>
    <w:rsid w:val="00553E2F"/>
    <w:rsid w:val="00574AD3"/>
    <w:rsid w:val="0057536B"/>
    <w:rsid w:val="005A3AE6"/>
    <w:rsid w:val="005B0894"/>
    <w:rsid w:val="006045F7"/>
    <w:rsid w:val="0062221C"/>
    <w:rsid w:val="00622710"/>
    <w:rsid w:val="00630113"/>
    <w:rsid w:val="0065429C"/>
    <w:rsid w:val="00670A83"/>
    <w:rsid w:val="00676DD2"/>
    <w:rsid w:val="006A2CC0"/>
    <w:rsid w:val="006D07DD"/>
    <w:rsid w:val="006E5597"/>
    <w:rsid w:val="006F38FA"/>
    <w:rsid w:val="00702CF8"/>
    <w:rsid w:val="00711616"/>
    <w:rsid w:val="007133E0"/>
    <w:rsid w:val="00734CE4"/>
    <w:rsid w:val="00743538"/>
    <w:rsid w:val="00747097"/>
    <w:rsid w:val="007541CF"/>
    <w:rsid w:val="00776417"/>
    <w:rsid w:val="007816DF"/>
    <w:rsid w:val="00785BAC"/>
    <w:rsid w:val="007B2919"/>
    <w:rsid w:val="007D38E6"/>
    <w:rsid w:val="007E4E16"/>
    <w:rsid w:val="008302DA"/>
    <w:rsid w:val="00867D12"/>
    <w:rsid w:val="008A0405"/>
    <w:rsid w:val="008C0C22"/>
    <w:rsid w:val="008F2EFB"/>
    <w:rsid w:val="008F3890"/>
    <w:rsid w:val="00946337"/>
    <w:rsid w:val="009975B9"/>
    <w:rsid w:val="009A25B4"/>
    <w:rsid w:val="009B52AB"/>
    <w:rsid w:val="009C1145"/>
    <w:rsid w:val="009F4151"/>
    <w:rsid w:val="00A0114F"/>
    <w:rsid w:val="00A04360"/>
    <w:rsid w:val="00A125A7"/>
    <w:rsid w:val="00A15F18"/>
    <w:rsid w:val="00A16849"/>
    <w:rsid w:val="00A409A0"/>
    <w:rsid w:val="00A462B0"/>
    <w:rsid w:val="00A54F1E"/>
    <w:rsid w:val="00A7196B"/>
    <w:rsid w:val="00A8557E"/>
    <w:rsid w:val="00AD2245"/>
    <w:rsid w:val="00AF2BFB"/>
    <w:rsid w:val="00B17E00"/>
    <w:rsid w:val="00B25217"/>
    <w:rsid w:val="00B634F1"/>
    <w:rsid w:val="00B75E09"/>
    <w:rsid w:val="00B838C3"/>
    <w:rsid w:val="00B847F1"/>
    <w:rsid w:val="00BC4C29"/>
    <w:rsid w:val="00BC6ACE"/>
    <w:rsid w:val="00BD257A"/>
    <w:rsid w:val="00BE5498"/>
    <w:rsid w:val="00BF02D7"/>
    <w:rsid w:val="00BF46CF"/>
    <w:rsid w:val="00C52107"/>
    <w:rsid w:val="00C54143"/>
    <w:rsid w:val="00C65BAC"/>
    <w:rsid w:val="00C67798"/>
    <w:rsid w:val="00C83020"/>
    <w:rsid w:val="00C9295F"/>
    <w:rsid w:val="00C972C6"/>
    <w:rsid w:val="00CB27B3"/>
    <w:rsid w:val="00CB3EB6"/>
    <w:rsid w:val="00CF4286"/>
    <w:rsid w:val="00D25A2E"/>
    <w:rsid w:val="00D36E5F"/>
    <w:rsid w:val="00D53484"/>
    <w:rsid w:val="00D565B5"/>
    <w:rsid w:val="00D61D61"/>
    <w:rsid w:val="00D63E96"/>
    <w:rsid w:val="00D67849"/>
    <w:rsid w:val="00DA180C"/>
    <w:rsid w:val="00DA5659"/>
    <w:rsid w:val="00DC2378"/>
    <w:rsid w:val="00DC7A84"/>
    <w:rsid w:val="00E1253C"/>
    <w:rsid w:val="00E12E86"/>
    <w:rsid w:val="00E40BAD"/>
    <w:rsid w:val="00E575C5"/>
    <w:rsid w:val="00E64915"/>
    <w:rsid w:val="00E762A8"/>
    <w:rsid w:val="00E873A0"/>
    <w:rsid w:val="00E973A8"/>
    <w:rsid w:val="00EC5E7C"/>
    <w:rsid w:val="00EC7888"/>
    <w:rsid w:val="00EE32EB"/>
    <w:rsid w:val="00EE626D"/>
    <w:rsid w:val="00EF0266"/>
    <w:rsid w:val="00EF2173"/>
    <w:rsid w:val="00EF6A7F"/>
    <w:rsid w:val="00F12594"/>
    <w:rsid w:val="00F17973"/>
    <w:rsid w:val="00F410BB"/>
    <w:rsid w:val="00F41DEF"/>
    <w:rsid w:val="00F4261C"/>
    <w:rsid w:val="00F71556"/>
    <w:rsid w:val="00F96255"/>
    <w:rsid w:val="00FD5BEE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qFormat/>
    <w:rsid w:val="002C4661"/>
    <w:pPr>
      <w:jc w:val="both"/>
    </w:pPr>
    <w:rPr>
      <w:rFonts w:ascii="Times New Roman" w:eastAsiaTheme="minorEastAsia" w:hAnsi="Times New Roman"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C1"/>
  </w:style>
  <w:style w:type="paragraph" w:styleId="Footer">
    <w:name w:val="footer"/>
    <w:basedOn w:val="Normal"/>
    <w:link w:val="FooterChar"/>
    <w:uiPriority w:val="99"/>
    <w:unhideWhenUsed/>
    <w:rsid w:val="0034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C1"/>
  </w:style>
  <w:style w:type="paragraph" w:styleId="ListParagraph">
    <w:name w:val="List Paragraph"/>
    <w:basedOn w:val="Normal"/>
    <w:uiPriority w:val="34"/>
    <w:qFormat/>
    <w:rsid w:val="00EE3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qFormat/>
    <w:rsid w:val="002C4661"/>
    <w:pPr>
      <w:jc w:val="both"/>
    </w:pPr>
    <w:rPr>
      <w:rFonts w:ascii="Times New Roman" w:eastAsiaTheme="minorEastAsia" w:hAnsi="Times New Roman"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C1"/>
  </w:style>
  <w:style w:type="paragraph" w:styleId="Footer">
    <w:name w:val="footer"/>
    <w:basedOn w:val="Normal"/>
    <w:link w:val="FooterChar"/>
    <w:uiPriority w:val="99"/>
    <w:unhideWhenUsed/>
    <w:rsid w:val="0034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C1"/>
  </w:style>
  <w:style w:type="paragraph" w:styleId="ListParagraph">
    <w:name w:val="List Paragraph"/>
    <w:basedOn w:val="Normal"/>
    <w:uiPriority w:val="34"/>
    <w:qFormat/>
    <w:rsid w:val="00EE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1965</Characters>
  <Application>Microsoft Office Word</Application>
  <DocSecurity>0</DocSecurity>
  <PresentationFormat/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CLC-SMALL BUSINESS COMMITTEE FEB 2015 REPORT (FL071410).DOCX</vt:lpstr>
    </vt:vector>
  </TitlesOfParts>
  <Company>Smith, Currie &amp; Hancock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CLC-SMALL BUSINESS COMMITTEE FEB 2015 REPORT (FL071410).DOCX</dc:title>
  <dc:subject>.</dc:subject>
  <dc:creator>Ceavers, Nicholas</dc:creator>
  <cp:lastModifiedBy>Heron, Lisa Colon</cp:lastModifiedBy>
  <cp:revision>4</cp:revision>
  <cp:lastPrinted>2014-08-11T13:24:00Z</cp:lastPrinted>
  <dcterms:created xsi:type="dcterms:W3CDTF">2015-02-09T16:10:00Z</dcterms:created>
  <dcterms:modified xsi:type="dcterms:W3CDTF">2015-02-09T16:14:00Z</dcterms:modified>
</cp:coreProperties>
</file>