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9A10B6" w:rsidRPr="00832A42" w:rsidRDefault="00F9535D" w:rsidP="00832A42">
      <w:pPr>
        <w:pStyle w:val="BlockText"/>
        <w:jc w:val="center"/>
        <w:rPr>
          <w:b/>
          <w:sz w:val="28"/>
          <w:szCs w:val="28"/>
        </w:rPr>
      </w:pPr>
      <w:r w:rsidRPr="00B82F44">
        <w:rPr>
          <w:b/>
          <w:sz w:val="28"/>
          <w:szCs w:val="28"/>
        </w:rPr>
        <w:t>Construction Law Committee</w:t>
      </w:r>
    </w:p>
    <w:p w:rsidR="009E1F25" w:rsidRPr="001476D7" w:rsidRDefault="009E1F25" w:rsidP="00D8155F">
      <w:pPr>
        <w:pStyle w:val="BlockText"/>
        <w:jc w:val="center"/>
        <w:rPr>
          <w:b/>
        </w:rPr>
      </w:pPr>
    </w:p>
    <w:p w:rsidR="00F9535D" w:rsidRPr="00DF255F" w:rsidRDefault="00DE5A5D" w:rsidP="00D8155F">
      <w:pPr>
        <w:pStyle w:val="BlockText"/>
        <w:jc w:val="center"/>
        <w:rPr>
          <w:b/>
          <w:i/>
          <w:sz w:val="28"/>
          <w:szCs w:val="28"/>
          <w:u w:val="single"/>
        </w:rPr>
      </w:pPr>
      <w:r w:rsidRPr="00DF255F">
        <w:rPr>
          <w:b/>
          <w:i/>
          <w:sz w:val="28"/>
          <w:szCs w:val="28"/>
          <w:u w:val="single"/>
        </w:rPr>
        <w:t>Construction Regulation</w:t>
      </w:r>
      <w:r w:rsidR="00F9535D" w:rsidRPr="00DF255F">
        <w:rPr>
          <w:b/>
          <w:i/>
          <w:sz w:val="28"/>
          <w:szCs w:val="28"/>
          <w:u w:val="single"/>
        </w:rPr>
        <w:t xml:space="preserve"> Subcommittee</w:t>
      </w:r>
      <w:r w:rsidR="00251EB1" w:rsidRPr="00DF255F">
        <w:rPr>
          <w:b/>
          <w:i/>
          <w:sz w:val="28"/>
          <w:szCs w:val="28"/>
          <w:u w:val="single"/>
        </w:rPr>
        <w:t xml:space="preserve"> Monthly Report</w:t>
      </w:r>
    </w:p>
    <w:p w:rsidR="00F9535D" w:rsidRDefault="001476D7" w:rsidP="00286B5F">
      <w:pPr>
        <w:pStyle w:val="BlockText"/>
        <w:jc w:val="center"/>
      </w:pPr>
      <w:r>
        <w:t>Month</w:t>
      </w:r>
      <w:r w:rsidR="00E66237">
        <w:t>s of October/November</w:t>
      </w:r>
      <w:r w:rsidR="007D14A8">
        <w:t xml:space="preserve"> </w:t>
      </w:r>
      <w:r w:rsidR="00DE4100">
        <w:t>2014</w:t>
      </w:r>
    </w:p>
    <w:p w:rsidR="006F4CE9" w:rsidRDefault="006F4CE9" w:rsidP="00D9771C">
      <w:pPr>
        <w:pStyle w:val="BlockText"/>
        <w:rPr>
          <w:b/>
          <w:u w:val="single"/>
        </w:rPr>
      </w:pPr>
    </w:p>
    <w:p w:rsidR="007F16BD" w:rsidRDefault="009F4440" w:rsidP="007D14A8">
      <w:pPr>
        <w:pStyle w:val="BlockText"/>
        <w:rPr>
          <w:b/>
          <w:u w:val="single"/>
        </w:rPr>
      </w:pPr>
      <w:r>
        <w:rPr>
          <w:b/>
          <w:u w:val="single"/>
        </w:rPr>
        <w:t xml:space="preserve">State </w:t>
      </w:r>
      <w:r w:rsidR="00DA30E3">
        <w:rPr>
          <w:b/>
          <w:u w:val="single"/>
        </w:rPr>
        <w:t xml:space="preserve">and Federal </w:t>
      </w:r>
      <w:r w:rsidR="00D9771C" w:rsidRPr="00D9771C">
        <w:rPr>
          <w:b/>
          <w:u w:val="single"/>
        </w:rPr>
        <w:t>Appellate Decisions:</w:t>
      </w:r>
    </w:p>
    <w:p w:rsidR="0034626F" w:rsidRDefault="0034626F" w:rsidP="007D14A8">
      <w:pPr>
        <w:pStyle w:val="BlockText"/>
        <w:rPr>
          <w:b/>
          <w:u w:val="single"/>
        </w:rPr>
      </w:pPr>
    </w:p>
    <w:p w:rsidR="004C5780" w:rsidRDefault="004C5780" w:rsidP="004C5780">
      <w:pPr>
        <w:jc w:val="both"/>
      </w:pPr>
      <w:r>
        <w:rPr>
          <w:lang w:val="en-CA"/>
        </w:rPr>
        <w:fldChar w:fldCharType="begin"/>
      </w:r>
      <w:r>
        <w:rPr>
          <w:lang w:val="en-CA"/>
        </w:rPr>
        <w:instrText xml:space="preserve"> SEQ CHAPTER \h \r 1</w:instrText>
      </w:r>
      <w:r>
        <w:rPr>
          <w:lang w:val="en-CA"/>
        </w:rPr>
        <w:fldChar w:fldCharType="end"/>
      </w:r>
      <w:r>
        <w:rPr>
          <w:u w:val="single"/>
        </w:rPr>
        <w:t>Transportation Engineering, Inc. v. Cruz</w:t>
      </w:r>
      <w:r>
        <w:t>, 20144 WL 5782251 (Fla. 5</w:t>
      </w:r>
      <w:r>
        <w:rPr>
          <w:vertAlign w:val="superscript"/>
        </w:rPr>
        <w:t>th</w:t>
      </w:r>
      <w:r>
        <w:t xml:space="preserve"> DCA November 7, 2014).</w:t>
      </w:r>
    </w:p>
    <w:p w:rsidR="00DF1ACD" w:rsidRDefault="00DF1ACD" w:rsidP="00DF1ACD">
      <w:pPr>
        <w:ind w:firstLine="720"/>
        <w:jc w:val="both"/>
      </w:pPr>
    </w:p>
    <w:p w:rsidR="004C5780" w:rsidRDefault="004C5780" w:rsidP="00DF1ACD">
      <w:pPr>
        <w:ind w:firstLine="720"/>
        <w:jc w:val="both"/>
      </w:pPr>
      <w:r>
        <w:t xml:space="preserve">This case presents an application of the </w:t>
      </w:r>
      <w:r>
        <w:rPr>
          <w:u w:val="single"/>
        </w:rPr>
        <w:t>Slavin</w:t>
      </w:r>
      <w:r>
        <w:t xml:space="preserve"> doctrine to an engineering company.  Ms. Cruz was killed when the vehicle she was riding in struck the unprotected end of a guardrail at a median cross-over on the Florida Turnpike.  The evidence was undisputed that the lack of a cushioned end of the guardrail was a patent defect and that DOT accepted the work of the contractor.  Ms. Cruz’s estate sued the DOT, the designing engineer, and the contractor for negligence.</w:t>
      </w:r>
    </w:p>
    <w:p w:rsidR="004C5780" w:rsidRDefault="004C5780" w:rsidP="004C5780">
      <w:pPr>
        <w:jc w:val="both"/>
      </w:pPr>
    </w:p>
    <w:p w:rsidR="004C5780" w:rsidRDefault="004C5780" w:rsidP="00DF1ACD">
      <w:pPr>
        <w:ind w:firstLine="720"/>
        <w:jc w:val="both"/>
      </w:pPr>
      <w:r>
        <w:t xml:space="preserve">The trial court granted the contractor’s motion for summary judgment based on the </w:t>
      </w:r>
      <w:r>
        <w:rPr>
          <w:u w:val="single"/>
        </w:rPr>
        <w:t>Slavin</w:t>
      </w:r>
      <w:r>
        <w:t xml:space="preserve"> doctrine. </w:t>
      </w:r>
      <w:r>
        <w:rPr>
          <w:i/>
          <w:iCs/>
        </w:rPr>
        <w:t xml:space="preserve">See </w:t>
      </w:r>
      <w:r>
        <w:rPr>
          <w:i/>
          <w:iCs/>
          <w:color w:val="0000FF"/>
        </w:rPr>
        <w:t xml:space="preserve">Slavin v. Kay, </w:t>
      </w:r>
      <w:r>
        <w:rPr>
          <w:color w:val="0000FF"/>
        </w:rPr>
        <w:t>108 So.2d 462 (Fla.1959)</w:t>
      </w:r>
      <w:r>
        <w:t xml:space="preserve">.  “Under the </w:t>
      </w:r>
      <w:r>
        <w:rPr>
          <w:i/>
          <w:iCs/>
        </w:rPr>
        <w:t xml:space="preserve">Slavin </w:t>
      </w:r>
      <w:r>
        <w:t xml:space="preserve">doctrine, a contractor cannot be held liable for injuries sustained by third parties when the injuries occur after the contractor completed its work, the owner of the property accepted the contractor's work, and the defects causing the injury were patent.” </w:t>
      </w:r>
      <w:r>
        <w:rPr>
          <w:i/>
          <w:iCs/>
          <w:color w:val="0000FF"/>
        </w:rPr>
        <w:t xml:space="preserve">Plaza v. Fisher Dev., Inc., </w:t>
      </w:r>
      <w:r>
        <w:rPr>
          <w:color w:val="0000FF"/>
        </w:rPr>
        <w:t>971 So.2d 918, 924 (Fla. 3d DCA 2007)</w:t>
      </w:r>
      <w:r>
        <w:t xml:space="preserve">; </w:t>
      </w:r>
      <w:r>
        <w:rPr>
          <w:i/>
          <w:iCs/>
        </w:rPr>
        <w:t xml:space="preserve">see also </w:t>
      </w:r>
      <w:r>
        <w:rPr>
          <w:i/>
          <w:iCs/>
          <w:color w:val="0000FF"/>
        </w:rPr>
        <w:t xml:space="preserve">Foreline Sec. Corp. v. Scott, </w:t>
      </w:r>
      <w:r>
        <w:rPr>
          <w:color w:val="0000FF"/>
        </w:rPr>
        <w:t xml:space="preserve">871 So.2d 906, 909 (Fla. 5th DCA 2004) </w:t>
      </w:r>
      <w:r>
        <w:t xml:space="preserve">(“The </w:t>
      </w:r>
      <w:r>
        <w:rPr>
          <w:i/>
          <w:iCs/>
        </w:rPr>
        <w:t xml:space="preserve">Slavin </w:t>
      </w:r>
      <w:r>
        <w:t xml:space="preserve">doctrine extinguishes the liability of a contractor for a defect by shifting the duty of care originally owed to others by the contractor to the accepting owner as long as any defects are patent.”).”  </w:t>
      </w:r>
    </w:p>
    <w:p w:rsidR="004C5780" w:rsidRDefault="004C5780" w:rsidP="004C5780">
      <w:pPr>
        <w:jc w:val="both"/>
      </w:pPr>
    </w:p>
    <w:p w:rsidR="004C5780" w:rsidRDefault="004C5780" w:rsidP="00DF1ACD">
      <w:pPr>
        <w:ind w:firstLine="720"/>
        <w:jc w:val="both"/>
      </w:pPr>
      <w:r>
        <w:t xml:space="preserve">The design engineer argued to the trial court that it too was entitled to summary judgment based upon </w:t>
      </w:r>
      <w:r>
        <w:rPr>
          <w:i/>
          <w:iCs/>
        </w:rPr>
        <w:t xml:space="preserve">Slavin </w:t>
      </w:r>
      <w:r>
        <w:t xml:space="preserve">and its progeny, relying primarily on </w:t>
      </w:r>
      <w:r>
        <w:rPr>
          <w:i/>
          <w:iCs/>
          <w:color w:val="0000FF"/>
        </w:rPr>
        <w:t xml:space="preserve">Easterday v. Masiello, </w:t>
      </w:r>
      <w:r>
        <w:rPr>
          <w:color w:val="0000FF"/>
        </w:rPr>
        <w:t>518 So.2d 260 (Fla.1988)</w:t>
      </w:r>
      <w:r>
        <w:t xml:space="preserve">.  The trial court denied the design engineer’s motion, but the appellate court reversed. “In </w:t>
      </w:r>
      <w:r>
        <w:rPr>
          <w:i/>
          <w:iCs/>
        </w:rPr>
        <w:t xml:space="preserve">Easterday, </w:t>
      </w:r>
      <w:r>
        <w:t xml:space="preserve">the Florida Supreme Court was presented with the certified question of whether </w:t>
      </w:r>
      <w:r>
        <w:rPr>
          <w:i/>
          <w:iCs/>
        </w:rPr>
        <w:t xml:space="preserve">Slavin </w:t>
      </w:r>
      <w:r>
        <w:t xml:space="preserve">precluded recovery against an architect and/or engineers for personal injury to a third party caused by a patent design defect in a structure. The court began its analysis by reasoning that if </w:t>
      </w:r>
      <w:r>
        <w:rPr>
          <w:i/>
          <w:iCs/>
        </w:rPr>
        <w:t xml:space="preserve">Slavin </w:t>
      </w:r>
      <w:r>
        <w:t xml:space="preserve">applied to contractors, “logic dictates that it would apply likewise to architects and engineers.” </w:t>
      </w:r>
      <w:r>
        <w:rPr>
          <w:i/>
          <w:iCs/>
          <w:color w:val="0000FF"/>
        </w:rPr>
        <w:t xml:space="preserve">Id. </w:t>
      </w:r>
      <w:r>
        <w:rPr>
          <w:color w:val="0000FF"/>
        </w:rPr>
        <w:t>at 260</w:t>
      </w:r>
      <w:r>
        <w:t xml:space="preserve">.  Without further analysis on that point, the court stated that the issue was not so much whether the court would extend the doctrine to engineers and architects, but whether </w:t>
      </w:r>
      <w:r>
        <w:rPr>
          <w:i/>
          <w:iCs/>
        </w:rPr>
        <w:t xml:space="preserve">Slavin </w:t>
      </w:r>
      <w:r>
        <w:t xml:space="preserve">was still good law. </w:t>
      </w:r>
      <w:r>
        <w:rPr>
          <w:i/>
          <w:iCs/>
          <w:color w:val="0000FF"/>
        </w:rPr>
        <w:t xml:space="preserve">Id. </w:t>
      </w:r>
      <w:r>
        <w:rPr>
          <w:color w:val="0000FF"/>
        </w:rPr>
        <w:t>at 261</w:t>
      </w:r>
      <w:r>
        <w:t xml:space="preserve">. The court then reaffirmed </w:t>
      </w:r>
      <w:r>
        <w:rPr>
          <w:i/>
          <w:iCs/>
        </w:rPr>
        <w:t xml:space="preserve">Slavin </w:t>
      </w:r>
      <w:r>
        <w:t xml:space="preserve">as the law in Florida with respect to contractors, architects, </w:t>
      </w:r>
      <w:r>
        <w:rPr>
          <w:i/>
          <w:iCs/>
        </w:rPr>
        <w:t xml:space="preserve">and engineers. </w:t>
      </w:r>
      <w:r>
        <w:rPr>
          <w:i/>
          <w:iCs/>
          <w:color w:val="0000FF"/>
        </w:rPr>
        <w:t xml:space="preserve">Id. </w:t>
      </w:r>
      <w:r>
        <w:rPr>
          <w:color w:val="0000FF"/>
        </w:rPr>
        <w:t>at 262</w:t>
      </w:r>
      <w:r>
        <w:t xml:space="preserve">.”  The appellate court stated that “based on </w:t>
      </w:r>
      <w:r>
        <w:rPr>
          <w:i/>
          <w:iCs/>
        </w:rPr>
        <w:t xml:space="preserve">Easterday, </w:t>
      </w:r>
      <w:r>
        <w:t xml:space="preserve">[the design engineer] has consistently and correctly argued that if </w:t>
      </w:r>
      <w:r>
        <w:rPr>
          <w:i/>
          <w:iCs/>
        </w:rPr>
        <w:t xml:space="preserve">Slavin </w:t>
      </w:r>
      <w:r>
        <w:t>barred Cruz's claims against [the contractor], it also barred her claims against [the design engineer] because the nature of the defect was the same as to both defendants and the patency of that defect was the same as to DOT.”</w:t>
      </w:r>
    </w:p>
    <w:p w:rsidR="004C5780" w:rsidRDefault="004C5780" w:rsidP="004C5780">
      <w:pPr>
        <w:jc w:val="both"/>
      </w:pPr>
    </w:p>
    <w:p w:rsidR="00DF1ACD" w:rsidRDefault="00DF1ACD" w:rsidP="004C5780">
      <w:pPr>
        <w:jc w:val="both"/>
        <w:rPr>
          <w:u w:val="single"/>
        </w:rPr>
      </w:pPr>
    </w:p>
    <w:p w:rsidR="00DF1ACD" w:rsidRDefault="00DF1ACD" w:rsidP="004C5780">
      <w:pPr>
        <w:jc w:val="both"/>
        <w:rPr>
          <w:u w:val="single"/>
        </w:rPr>
      </w:pPr>
    </w:p>
    <w:p w:rsidR="004C5780" w:rsidRDefault="004C5780" w:rsidP="004C5780">
      <w:pPr>
        <w:jc w:val="both"/>
      </w:pPr>
      <w:r>
        <w:rPr>
          <w:u w:val="single"/>
        </w:rPr>
        <w:t>Spicer v. Tenet Florida Physician Services, LLC</w:t>
      </w:r>
      <w:r>
        <w:t>, 2014 WL 5343503 (Fla. 4</w:t>
      </w:r>
      <w:r>
        <w:rPr>
          <w:vertAlign w:val="superscript"/>
        </w:rPr>
        <w:t>th</w:t>
      </w:r>
      <w:r>
        <w:t xml:space="preserve"> DCA October 22, 2014).  </w:t>
      </w:r>
    </w:p>
    <w:p w:rsidR="00DF1ACD" w:rsidRDefault="00DF1ACD" w:rsidP="00DF1ACD">
      <w:pPr>
        <w:ind w:firstLine="720"/>
        <w:jc w:val="both"/>
      </w:pPr>
    </w:p>
    <w:p w:rsidR="004C5780" w:rsidRDefault="004C5780" w:rsidP="00DF1ACD">
      <w:pPr>
        <w:ind w:firstLine="720"/>
        <w:jc w:val="both"/>
      </w:pPr>
      <w:r>
        <w:t xml:space="preserve">An employee appealed the trial court’s order compelling arbitration of her claim against her employer.  The appeals court found there was no enforceable arbitration agreement because the employment agreement at issue did not “set forth any procedures for arbitration.”  The appellate court stated that the required procedures could be incorporated by reference if there was a detailed description of the collateral document or a description of where that document could be found.  The court also stated that a contract that states it is to be construed under Florida law would be sufficient because it would then incorporate the Florida Arbitration Code.  </w:t>
      </w:r>
    </w:p>
    <w:p w:rsidR="00DF1ACD" w:rsidRDefault="00DF1ACD" w:rsidP="004C5780">
      <w:pPr>
        <w:jc w:val="both"/>
      </w:pPr>
    </w:p>
    <w:p w:rsidR="004C5780" w:rsidRDefault="004C5780" w:rsidP="004C5780">
      <w:pPr>
        <w:jc w:val="both"/>
      </w:pPr>
      <w:r>
        <w:rPr>
          <w:u w:val="single"/>
        </w:rPr>
        <w:t>Redfish Key Villas Condominium Association, Inc v. Amisure Insurance Company</w:t>
      </w:r>
      <w:r>
        <w:t>, 2014 WL 5420297 (United States District Court, M.D. Florida, Fort Myers Division, October 23, 2014).</w:t>
      </w:r>
    </w:p>
    <w:p w:rsidR="00DF1ACD" w:rsidRDefault="00DF1ACD" w:rsidP="004C5780">
      <w:pPr>
        <w:jc w:val="both"/>
      </w:pPr>
    </w:p>
    <w:p w:rsidR="0034626F" w:rsidRDefault="004C5780" w:rsidP="00DF1ACD">
      <w:pPr>
        <w:ind w:firstLine="720"/>
        <w:jc w:val="both"/>
        <w:rPr>
          <w:b/>
          <w:u w:val="single"/>
        </w:rPr>
      </w:pPr>
      <w:r>
        <w:t>Owner, a condominium association, sued the contractor’s general liability insurer for damages arising</w:t>
      </w:r>
      <w:r w:rsidR="00DF1ACD">
        <w:t xml:space="preserve"> out of defective stucco work. </w:t>
      </w:r>
      <w:r>
        <w:t>The association had previously sued the contractor an</w:t>
      </w:r>
      <w:r w:rsidR="00DF1ACD">
        <w:t xml:space="preserve">d obtained a default judgment. </w:t>
      </w:r>
      <w:r>
        <w:t>The insurer moved for summary judgment based on the contractor’s failure to notify the insurer of the lawsuit as required by the policy and its resulting prejudice.  The court found that, under the terms of the policy at issue, the association’s presuit 558 notice sent to both the contractor and the insurer was insufficient because the policy required notice of both a claim and a law</w:t>
      </w:r>
      <w:r w:rsidR="00DF1ACD">
        <w:t>suit.</w:t>
      </w:r>
      <w:r>
        <w:t xml:space="preserve"> The 558 notic</w:t>
      </w:r>
      <w:r w:rsidR="00DF1ACD">
        <w:t xml:space="preserve">e only gave notice of a claim. </w:t>
      </w:r>
      <w:r>
        <w:t>However, the Court denied the insurer’s motion for summary judgment because there was a disputed issue of fact over whether the insurer was prejudiced by the lack of notice.  The Court noted that the insurer was able to determine the existence of the alleged defects and which entity was responsible.  The Court further stated that the insurer “had an obligation to seek to set aside the judgment” against the contractor.</w:t>
      </w:r>
    </w:p>
    <w:p w:rsidR="00D72E5C" w:rsidRDefault="00D72E5C" w:rsidP="007D14A8">
      <w:pPr>
        <w:pStyle w:val="BlockText"/>
        <w:rPr>
          <w:b/>
          <w:u w:val="single"/>
        </w:rPr>
      </w:pPr>
    </w:p>
    <w:p w:rsidR="0034626F" w:rsidRDefault="00EB61E2" w:rsidP="00D72E5C">
      <w:pPr>
        <w:pStyle w:val="BlockText"/>
      </w:pPr>
      <w:r w:rsidRPr="00797252">
        <w:rPr>
          <w:b/>
          <w:u w:val="single"/>
        </w:rPr>
        <w:t>DOAH</w:t>
      </w:r>
      <w:r w:rsidR="002B09F1">
        <w:rPr>
          <w:b/>
          <w:u w:val="single"/>
        </w:rPr>
        <w:t xml:space="preserve"> Orders</w:t>
      </w:r>
      <w:r w:rsidR="00D9771C" w:rsidRPr="00797252">
        <w:rPr>
          <w:b/>
          <w:u w:val="single"/>
        </w:rPr>
        <w:t>:</w:t>
      </w:r>
      <w:r w:rsidR="0083319A" w:rsidRPr="00797252">
        <w:t xml:space="preserve"> </w:t>
      </w:r>
      <w:r w:rsidR="00B0622F">
        <w:t xml:space="preserve"> Nothing to report</w:t>
      </w:r>
      <w:r w:rsidR="00B26EF6">
        <w:t>.</w:t>
      </w:r>
    </w:p>
    <w:p w:rsidR="00B26EF6" w:rsidRDefault="00B26EF6" w:rsidP="00D72E5C">
      <w:pPr>
        <w:pStyle w:val="BlockText"/>
      </w:pPr>
    </w:p>
    <w:p w:rsidR="00B26EF6" w:rsidRPr="00B26EF6" w:rsidRDefault="00B26EF6" w:rsidP="00D72E5C">
      <w:pPr>
        <w:pStyle w:val="BlockText"/>
        <w:rPr>
          <w:b/>
          <w:u w:val="single"/>
        </w:rPr>
      </w:pPr>
      <w:r w:rsidRPr="00B26EF6">
        <w:rPr>
          <w:b/>
          <w:u w:val="single"/>
        </w:rPr>
        <w:t>AGENCY REGULATIONS:</w:t>
      </w:r>
    </w:p>
    <w:p w:rsidR="003747B5" w:rsidRDefault="00401A5C" w:rsidP="00217DA2">
      <w:pPr>
        <w:pStyle w:val="BlockText"/>
      </w:pPr>
      <w:r>
        <w:tab/>
      </w:r>
    </w:p>
    <w:p w:rsidR="004E142A" w:rsidRDefault="00DE52F2" w:rsidP="00DE52F2">
      <w:pPr>
        <w:pStyle w:val="BlockText"/>
      </w:pPr>
      <w:r w:rsidRPr="00B0622F">
        <w:rPr>
          <w:b/>
        </w:rPr>
        <w:t>A.</w:t>
      </w:r>
      <w:r>
        <w:t xml:space="preserve"> </w:t>
      </w:r>
      <w:r w:rsidR="004E142A">
        <w:rPr>
          <w:b/>
        </w:rPr>
        <w:t xml:space="preserve">Department of </w:t>
      </w:r>
      <w:r w:rsidR="004E142A" w:rsidRPr="0098369B">
        <w:rPr>
          <w:b/>
        </w:rPr>
        <w:t>Business and Professional Regulation</w:t>
      </w:r>
      <w:r w:rsidR="004E142A">
        <w:rPr>
          <w:b/>
        </w:rPr>
        <w:t>.</w:t>
      </w:r>
    </w:p>
    <w:p w:rsidR="004E142A" w:rsidRDefault="004E142A" w:rsidP="004E142A">
      <w:pPr>
        <w:pStyle w:val="BlockText"/>
        <w:ind w:left="720"/>
      </w:pPr>
    </w:p>
    <w:p w:rsidR="002A7577" w:rsidRPr="00B36BD2" w:rsidRDefault="004E142A" w:rsidP="0008109E">
      <w:pPr>
        <w:pStyle w:val="BlockText"/>
        <w:numPr>
          <w:ilvl w:val="0"/>
          <w:numId w:val="11"/>
        </w:numPr>
        <w:rPr>
          <w:b/>
        </w:rPr>
      </w:pPr>
      <w:r w:rsidRPr="00936542">
        <w:rPr>
          <w:u w:val="single"/>
        </w:rPr>
        <w:t>Construction Industry Licensing Board</w:t>
      </w:r>
      <w:r>
        <w:t xml:space="preserve"> – Chapter 489, Part I, FS and Chapter 61G4 FAC: </w:t>
      </w:r>
    </w:p>
    <w:p w:rsidR="00B36BD2" w:rsidRPr="002A7577" w:rsidRDefault="00B36BD2" w:rsidP="00B36BD2">
      <w:pPr>
        <w:pStyle w:val="BlockText"/>
        <w:ind w:left="1080"/>
        <w:rPr>
          <w:b/>
        </w:rPr>
      </w:pPr>
    </w:p>
    <w:p w:rsidR="006A4458" w:rsidRPr="0034626F" w:rsidRDefault="00E1125C" w:rsidP="006A4458">
      <w:pPr>
        <w:pStyle w:val="BlockText"/>
        <w:numPr>
          <w:ilvl w:val="1"/>
          <w:numId w:val="11"/>
        </w:numPr>
        <w:rPr>
          <w:b/>
        </w:rPr>
      </w:pPr>
      <w:r>
        <w:t xml:space="preserve">This board has </w:t>
      </w:r>
      <w:r w:rsidR="00052694">
        <w:t>proposed</w:t>
      </w:r>
      <w:r>
        <w:t xml:space="preserve"> </w:t>
      </w:r>
      <w:r w:rsidR="004E142A">
        <w:t>adopt</w:t>
      </w:r>
      <w:r>
        <w:t>ed, repealed</w:t>
      </w:r>
      <w:r w:rsidR="004E142A">
        <w:t xml:space="preserve"> or amend</w:t>
      </w:r>
      <w:r>
        <w:t>ed</w:t>
      </w:r>
      <w:r w:rsidR="004E142A">
        <w:t xml:space="preserve"> the following rules (if any)</w:t>
      </w:r>
      <w:r w:rsidR="00B754FE">
        <w:t>:</w:t>
      </w:r>
    </w:p>
    <w:p w:rsidR="006A4458" w:rsidRPr="006A4458" w:rsidRDefault="006A4458" w:rsidP="006A4458">
      <w:pPr>
        <w:pStyle w:val="BlockText"/>
        <w:ind w:left="1800"/>
        <w:rPr>
          <w:b/>
        </w:rPr>
      </w:pPr>
    </w:p>
    <w:p w:rsidR="0034626F" w:rsidRDefault="0034626F" w:rsidP="0034626F">
      <w:pPr>
        <w:pStyle w:val="BlockText"/>
        <w:numPr>
          <w:ilvl w:val="2"/>
          <w:numId w:val="11"/>
        </w:numPr>
      </w:pPr>
      <w:r>
        <w:t xml:space="preserve">Rule 61G4-16.001 </w:t>
      </w:r>
      <w:r w:rsidR="00D6635B">
        <w:t xml:space="preserve">was amended </w:t>
      </w:r>
      <w:r>
        <w:t>to list the exam percentage</w:t>
      </w:r>
      <w:r w:rsidR="00D6635B">
        <w:t>s for the specialty licenses of</w:t>
      </w:r>
      <w:r>
        <w:t xml:space="preserve"> Industrial Facilities and Tower contractors</w:t>
      </w:r>
      <w:r w:rsidR="00D6635B">
        <w:t>, became eff</w:t>
      </w:r>
      <w:r>
        <w:t>ective in September.</w:t>
      </w:r>
    </w:p>
    <w:p w:rsidR="0034626F" w:rsidRDefault="0034626F" w:rsidP="0034626F">
      <w:pPr>
        <w:pStyle w:val="BlockText"/>
        <w:ind w:left="2520"/>
      </w:pPr>
    </w:p>
    <w:p w:rsidR="0034626F" w:rsidRDefault="006A4458" w:rsidP="00B633A6">
      <w:pPr>
        <w:pStyle w:val="BlockText"/>
        <w:numPr>
          <w:ilvl w:val="2"/>
          <w:numId w:val="11"/>
        </w:numPr>
      </w:pPr>
      <w:r>
        <w:t>Rule 61G4-</w:t>
      </w:r>
      <w:r w:rsidR="0034626F">
        <w:t xml:space="preserve">17.001 regarding both minimum and maximum disciplinary guidelines </w:t>
      </w:r>
      <w:r w:rsidR="00D6635B">
        <w:t xml:space="preserve">was amended </w:t>
      </w:r>
      <w:r w:rsidR="0034626F">
        <w:t>by increasing fines and expanding categories of possible sanctions to become effective in early November.</w:t>
      </w:r>
    </w:p>
    <w:p w:rsidR="0034626F" w:rsidRDefault="0034626F" w:rsidP="00EE3D44">
      <w:pPr>
        <w:pStyle w:val="BlockText"/>
        <w:ind w:left="2520"/>
      </w:pPr>
      <w:r>
        <w:t xml:space="preserve"> </w:t>
      </w:r>
    </w:p>
    <w:p w:rsidR="009F7BC1" w:rsidRPr="00B26EF6" w:rsidRDefault="004E142A" w:rsidP="009F7BC1">
      <w:pPr>
        <w:pStyle w:val="BlockText"/>
        <w:numPr>
          <w:ilvl w:val="1"/>
          <w:numId w:val="11"/>
        </w:numPr>
        <w:rPr>
          <w:b/>
        </w:rPr>
      </w:pPr>
      <w:r>
        <w:t>This board has received or dis</w:t>
      </w:r>
      <w:r w:rsidR="002558FB">
        <w:t xml:space="preserve">posed of the following </w:t>
      </w:r>
      <w:r w:rsidR="009F7BC1">
        <w:t>Petitions for Declaratory Statements:</w:t>
      </w:r>
    </w:p>
    <w:p w:rsidR="00B26EF6" w:rsidRPr="00B26EF6" w:rsidRDefault="00B26EF6" w:rsidP="00B26EF6">
      <w:pPr>
        <w:pStyle w:val="BlockText"/>
        <w:ind w:left="1800"/>
        <w:rPr>
          <w:b/>
        </w:rPr>
      </w:pPr>
    </w:p>
    <w:p w:rsidR="009F7BC1" w:rsidRDefault="00B26EF6" w:rsidP="009F7BC1">
      <w:pPr>
        <w:pStyle w:val="Default"/>
        <w:numPr>
          <w:ilvl w:val="2"/>
          <w:numId w:val="11"/>
        </w:numPr>
        <w:jc w:val="both"/>
        <w:rPr>
          <w:rFonts w:asciiTheme="majorHAnsi" w:hAnsiTheme="majorHAnsi" w:cstheme="majorHAnsi"/>
        </w:rPr>
      </w:pPr>
      <w:r w:rsidRPr="009F7BC1">
        <w:rPr>
          <w:rFonts w:asciiTheme="majorHAnsi" w:hAnsiTheme="majorHAnsi" w:cstheme="majorHAnsi"/>
          <w:b/>
        </w:rPr>
        <w:t>Charles N. Hunt, Jr.</w:t>
      </w:r>
      <w:r w:rsidRPr="009F7BC1">
        <w:rPr>
          <w:rFonts w:asciiTheme="majorHAnsi" w:hAnsiTheme="majorHAnsi" w:cstheme="majorHAnsi"/>
        </w:rPr>
        <w:t xml:space="preserve"> </w:t>
      </w:r>
      <w:r w:rsidR="00EE3D44">
        <w:rPr>
          <w:rFonts w:asciiTheme="majorHAnsi" w:hAnsiTheme="majorHAnsi" w:cstheme="majorHAnsi"/>
        </w:rPr>
        <w:t>–</w:t>
      </w:r>
      <w:r w:rsidRPr="009F7BC1">
        <w:rPr>
          <w:rFonts w:asciiTheme="majorHAnsi" w:hAnsiTheme="majorHAnsi" w:cstheme="majorHAnsi"/>
        </w:rPr>
        <w:t xml:space="preserve"> </w:t>
      </w:r>
      <w:r w:rsidR="00EE3D44">
        <w:rPr>
          <w:rFonts w:asciiTheme="majorHAnsi" w:hAnsiTheme="majorHAnsi" w:cstheme="majorHAnsi"/>
        </w:rPr>
        <w:t xml:space="preserve">Order filed on October 31, 2014, in response to </w:t>
      </w:r>
      <w:r w:rsidRPr="009F7BC1">
        <w:rPr>
          <w:rFonts w:asciiTheme="majorHAnsi" w:hAnsiTheme="majorHAnsi" w:cstheme="majorHAnsi"/>
        </w:rPr>
        <w:t xml:space="preserve">Petition filed on August 4 2014, </w:t>
      </w:r>
      <w:r w:rsidR="00EE3D44">
        <w:rPr>
          <w:rFonts w:asciiTheme="majorHAnsi" w:hAnsiTheme="majorHAnsi" w:cstheme="majorHAnsi"/>
        </w:rPr>
        <w:t xml:space="preserve">reflecting </w:t>
      </w:r>
      <w:r w:rsidRPr="009F7BC1">
        <w:rPr>
          <w:rFonts w:asciiTheme="majorHAnsi" w:hAnsiTheme="majorHAnsi" w:cstheme="majorHAnsi"/>
        </w:rPr>
        <w:t>the agency’s opi</w:t>
      </w:r>
      <w:r w:rsidR="00EE3D44">
        <w:rPr>
          <w:rFonts w:asciiTheme="majorHAnsi" w:hAnsiTheme="majorHAnsi" w:cstheme="majorHAnsi"/>
        </w:rPr>
        <w:t xml:space="preserve">nion that </w:t>
      </w:r>
      <w:r w:rsidR="00342B6A">
        <w:rPr>
          <w:rFonts w:asciiTheme="majorHAnsi" w:hAnsiTheme="majorHAnsi" w:cstheme="majorHAnsi"/>
        </w:rPr>
        <w:t>pursuant to section 489.11</w:t>
      </w:r>
      <w:r w:rsidRPr="009F7BC1">
        <w:rPr>
          <w:rFonts w:asciiTheme="majorHAnsi" w:hAnsiTheme="majorHAnsi" w:cstheme="majorHAnsi"/>
        </w:rPr>
        <w:t>5(4)(b) 2. and R</w:t>
      </w:r>
      <w:r w:rsidR="00342B6A">
        <w:rPr>
          <w:rFonts w:asciiTheme="majorHAnsi" w:hAnsiTheme="majorHAnsi" w:cstheme="majorHAnsi"/>
        </w:rPr>
        <w:t xml:space="preserve">ule 61G4-18.001(2)(f) </w:t>
      </w:r>
      <w:r w:rsidR="00EE3D44">
        <w:rPr>
          <w:rFonts w:asciiTheme="majorHAnsi" w:hAnsiTheme="majorHAnsi" w:cstheme="majorHAnsi"/>
        </w:rPr>
        <w:t xml:space="preserve">a contactor </w:t>
      </w:r>
      <w:r w:rsidR="00342B6A">
        <w:rPr>
          <w:rFonts w:asciiTheme="majorHAnsi" w:hAnsiTheme="majorHAnsi" w:cstheme="majorHAnsi"/>
        </w:rPr>
        <w:t xml:space="preserve">needs </w:t>
      </w:r>
      <w:r w:rsidRPr="009F7BC1">
        <w:rPr>
          <w:rFonts w:asciiTheme="majorHAnsi" w:hAnsiTheme="majorHAnsi" w:cstheme="majorHAnsi"/>
        </w:rPr>
        <w:t xml:space="preserve">to </w:t>
      </w:r>
      <w:r w:rsidR="00342B6A">
        <w:rPr>
          <w:rFonts w:asciiTheme="majorHAnsi" w:hAnsiTheme="majorHAnsi" w:cstheme="majorHAnsi"/>
        </w:rPr>
        <w:t>complete the specialized continuing education course before submitting plans and drawings, if required by the local building department</w:t>
      </w:r>
      <w:r w:rsidR="002C3294">
        <w:rPr>
          <w:rFonts w:asciiTheme="majorHAnsi" w:hAnsiTheme="majorHAnsi" w:cstheme="majorHAnsi"/>
        </w:rPr>
        <w:t xml:space="preserve"> requires a calculation of wind loads.</w:t>
      </w:r>
    </w:p>
    <w:p w:rsidR="00E66237" w:rsidRPr="00B26EF6" w:rsidRDefault="00E66237" w:rsidP="00E66237">
      <w:pPr>
        <w:pStyle w:val="Default"/>
        <w:ind w:left="2520"/>
        <w:jc w:val="both"/>
        <w:rPr>
          <w:rFonts w:asciiTheme="majorHAnsi" w:hAnsiTheme="majorHAnsi" w:cstheme="majorHAnsi"/>
        </w:rPr>
      </w:pPr>
    </w:p>
    <w:p w:rsidR="009F7BC1" w:rsidRDefault="00342B6A" w:rsidP="00342B6A">
      <w:pPr>
        <w:pStyle w:val="BlockText"/>
        <w:numPr>
          <w:ilvl w:val="2"/>
          <w:numId w:val="11"/>
        </w:numPr>
        <w:rPr>
          <w:b/>
        </w:rPr>
      </w:pPr>
      <w:r>
        <w:rPr>
          <w:b/>
        </w:rPr>
        <w:t>Playmore Recreational Products and Services</w:t>
      </w:r>
      <w:r w:rsidR="009F7BC1">
        <w:rPr>
          <w:b/>
        </w:rPr>
        <w:t xml:space="preserve"> </w:t>
      </w:r>
      <w:r w:rsidR="009F7BC1">
        <w:t>–</w:t>
      </w:r>
      <w:r>
        <w:t xml:space="preserve"> Petition filed on May 5, 2014 was withdrawn</w:t>
      </w:r>
      <w:r w:rsidRPr="00342B6A">
        <w:rPr>
          <w:b/>
        </w:rPr>
        <w:t>.</w:t>
      </w:r>
    </w:p>
    <w:p w:rsidR="00342B6A" w:rsidRDefault="00342B6A" w:rsidP="00342B6A">
      <w:pPr>
        <w:pStyle w:val="ListParagraph"/>
        <w:rPr>
          <w:b/>
        </w:rPr>
      </w:pPr>
    </w:p>
    <w:p w:rsidR="00342B6A" w:rsidRDefault="00342B6A" w:rsidP="00342B6A">
      <w:pPr>
        <w:pStyle w:val="BlockText"/>
        <w:numPr>
          <w:ilvl w:val="2"/>
          <w:numId w:val="11"/>
        </w:numPr>
        <w:rPr>
          <w:b/>
        </w:rPr>
      </w:pPr>
      <w:r>
        <w:rPr>
          <w:b/>
        </w:rPr>
        <w:t xml:space="preserve">Iseler Demolition, Inc. – </w:t>
      </w:r>
      <w:r>
        <w:t>Petition filed on May 5, 2014 was withdrawn</w:t>
      </w:r>
      <w:r w:rsidRPr="00342B6A">
        <w:rPr>
          <w:b/>
        </w:rPr>
        <w:t>.</w:t>
      </w:r>
    </w:p>
    <w:p w:rsidR="00342B6A" w:rsidRDefault="00342B6A" w:rsidP="00342B6A">
      <w:pPr>
        <w:pStyle w:val="ListParagraph"/>
        <w:rPr>
          <w:b/>
        </w:rPr>
      </w:pPr>
    </w:p>
    <w:p w:rsidR="00342B6A" w:rsidRDefault="00342B6A" w:rsidP="00342B6A">
      <w:pPr>
        <w:pStyle w:val="BlockText"/>
        <w:numPr>
          <w:ilvl w:val="2"/>
          <w:numId w:val="11"/>
        </w:numPr>
        <w:rPr>
          <w:b/>
        </w:rPr>
      </w:pPr>
      <w:r>
        <w:rPr>
          <w:b/>
        </w:rPr>
        <w:t xml:space="preserve">Lapi West, LLC </w:t>
      </w:r>
      <w:r>
        <w:t xml:space="preserve">- </w:t>
      </w:r>
      <w:r>
        <w:t>Petition filed on May 5, 2014 was withdrawn</w:t>
      </w:r>
      <w:r w:rsidRPr="00342B6A">
        <w:rPr>
          <w:b/>
        </w:rPr>
        <w:t>.</w:t>
      </w:r>
    </w:p>
    <w:p w:rsidR="00342B6A" w:rsidRDefault="00342B6A" w:rsidP="00342B6A">
      <w:pPr>
        <w:pStyle w:val="ListParagraph"/>
        <w:rPr>
          <w:b/>
        </w:rPr>
      </w:pPr>
    </w:p>
    <w:p w:rsidR="00342B6A" w:rsidRDefault="00342B6A" w:rsidP="005E7452">
      <w:pPr>
        <w:pStyle w:val="BlockText"/>
        <w:numPr>
          <w:ilvl w:val="2"/>
          <w:numId w:val="11"/>
        </w:numPr>
        <w:rPr>
          <w:b/>
        </w:rPr>
      </w:pPr>
      <w:r w:rsidRPr="00342B6A">
        <w:rPr>
          <w:b/>
        </w:rPr>
        <w:t>Frederick S. Hagan</w:t>
      </w:r>
      <w:r>
        <w:t xml:space="preserve"> –</w:t>
      </w:r>
      <w:r w:rsidR="00ED66FE">
        <w:t xml:space="preserve"> Order </w:t>
      </w:r>
      <w:r>
        <w:t>entered on September 23, 2014, declining to issue a declaratory statement to City of Tallahassee regarding licensing required for annual inspections of backflow preventions devices due to the petitioner not being substantially affected, having no standing and asking about the conduct of another person.</w:t>
      </w:r>
    </w:p>
    <w:p w:rsidR="00342B6A" w:rsidRDefault="00342B6A" w:rsidP="00342B6A">
      <w:pPr>
        <w:pStyle w:val="ListParagraph"/>
        <w:rPr>
          <w:b/>
        </w:rPr>
      </w:pPr>
    </w:p>
    <w:p w:rsidR="00342B6A" w:rsidRPr="00ED66FE" w:rsidRDefault="00342B6A" w:rsidP="005E7452">
      <w:pPr>
        <w:pStyle w:val="BlockText"/>
        <w:numPr>
          <w:ilvl w:val="2"/>
          <w:numId w:val="11"/>
        </w:numPr>
        <w:rPr>
          <w:b/>
        </w:rPr>
      </w:pPr>
      <w:r>
        <w:rPr>
          <w:b/>
        </w:rPr>
        <w:t>James T. Sudlow</w:t>
      </w:r>
      <w:r w:rsidR="00ED66FE">
        <w:t xml:space="preserve"> – Order entered on October 30, 2014, that a licensed certified general contractor cannot perform the entire work required to install an interactive water feature.</w:t>
      </w:r>
    </w:p>
    <w:p w:rsidR="00ED66FE" w:rsidRDefault="00ED66FE" w:rsidP="00ED66FE">
      <w:pPr>
        <w:pStyle w:val="ListParagraph"/>
        <w:rPr>
          <w:b/>
        </w:rPr>
      </w:pPr>
    </w:p>
    <w:p w:rsidR="00ED66FE" w:rsidRPr="00ED66FE" w:rsidRDefault="00ED66FE" w:rsidP="005E7452">
      <w:pPr>
        <w:pStyle w:val="BlockText"/>
        <w:numPr>
          <w:ilvl w:val="2"/>
          <w:numId w:val="11"/>
        </w:numPr>
        <w:rPr>
          <w:b/>
        </w:rPr>
      </w:pPr>
      <w:r>
        <w:rPr>
          <w:b/>
        </w:rPr>
        <w:t xml:space="preserve">Robert Cade </w:t>
      </w:r>
      <w:r>
        <w:t>– Order entered on October 30, 2014, denying the petition seeking licensure requirements for various work performed by a “handyman,” due to ongoing litigation, and asking about the conduct of another person.</w:t>
      </w:r>
    </w:p>
    <w:p w:rsidR="00ED66FE" w:rsidRDefault="00ED66FE" w:rsidP="00ED66FE">
      <w:pPr>
        <w:pStyle w:val="ListParagraph"/>
        <w:rPr>
          <w:b/>
        </w:rPr>
      </w:pPr>
    </w:p>
    <w:p w:rsidR="00ED66FE" w:rsidRPr="00ED66FE" w:rsidRDefault="00ED66FE" w:rsidP="005E7452">
      <w:pPr>
        <w:pStyle w:val="BlockText"/>
        <w:numPr>
          <w:ilvl w:val="2"/>
          <w:numId w:val="11"/>
        </w:numPr>
        <w:rPr>
          <w:b/>
        </w:rPr>
      </w:pPr>
      <w:r>
        <w:rPr>
          <w:b/>
        </w:rPr>
        <w:t xml:space="preserve">James R. Adams on behalf of Dryer Vent Specialist #DS2014-125 </w:t>
      </w:r>
      <w:r>
        <w:t>– Petition filed September 30, 2014</w:t>
      </w:r>
      <w:r w:rsidR="004A5DD2">
        <w:t>, seeking a determination as to</w:t>
      </w:r>
      <w:r w:rsidR="00640C66">
        <w:t xml:space="preserve"> </w:t>
      </w:r>
      <w:r w:rsidR="004A5DD2">
        <w:t>any l</w:t>
      </w:r>
      <w:r>
        <w:t>icensure requirements for the cleaning of dryer vents.</w:t>
      </w:r>
    </w:p>
    <w:p w:rsidR="00ED66FE" w:rsidRDefault="00ED66FE" w:rsidP="00ED66FE">
      <w:pPr>
        <w:pStyle w:val="ListParagraph"/>
        <w:rPr>
          <w:b/>
        </w:rPr>
      </w:pPr>
    </w:p>
    <w:p w:rsidR="00ED66FE" w:rsidRPr="004A5DD2" w:rsidRDefault="00ED66FE" w:rsidP="005E7452">
      <w:pPr>
        <w:pStyle w:val="BlockText"/>
        <w:numPr>
          <w:ilvl w:val="2"/>
          <w:numId w:val="11"/>
        </w:numPr>
        <w:rPr>
          <w:b/>
        </w:rPr>
      </w:pPr>
      <w:r>
        <w:rPr>
          <w:b/>
        </w:rPr>
        <w:t xml:space="preserve">James Becker on behalf of Becher Arena Products, Inc. #2014-126 </w:t>
      </w:r>
      <w:r w:rsidR="004A5DD2">
        <w:t>–</w:t>
      </w:r>
      <w:r>
        <w:t xml:space="preserve"> </w:t>
      </w:r>
      <w:r w:rsidR="004A5DD2">
        <w:t>Petition filed on October 6, 2014, seeking a determination as to any licensure requirements for the installation of sports area dasher boards and general ice rink equipment and supplies.</w:t>
      </w:r>
    </w:p>
    <w:p w:rsidR="004A5DD2" w:rsidRDefault="004A5DD2" w:rsidP="004A5DD2">
      <w:pPr>
        <w:pStyle w:val="ListParagraph"/>
        <w:rPr>
          <w:b/>
        </w:rPr>
      </w:pPr>
    </w:p>
    <w:p w:rsidR="00ED66FE" w:rsidRDefault="004A5DD2" w:rsidP="009300F3">
      <w:pPr>
        <w:pStyle w:val="BlockText"/>
        <w:numPr>
          <w:ilvl w:val="2"/>
          <w:numId w:val="11"/>
        </w:numPr>
        <w:rPr>
          <w:b/>
        </w:rPr>
      </w:pPr>
      <w:r w:rsidRPr="004A5DD2">
        <w:rPr>
          <w:b/>
        </w:rPr>
        <w:t xml:space="preserve">Broward County Board of Rules and Appeals #DS2014-128 </w:t>
      </w:r>
      <w:r>
        <w:t>– Petition filed on October 15, 2014, seeking a determination if a mechanical or class A or B air conditioning contractor can install, remove or replace air-conditioning control wiring used to shut down air conditioning equipment by duct detectors in systems that are controlled by a Fire Control Panel.</w:t>
      </w:r>
    </w:p>
    <w:p w:rsidR="004A5DD2" w:rsidRDefault="004A5DD2" w:rsidP="004A5DD2">
      <w:pPr>
        <w:pStyle w:val="ListParagraph"/>
        <w:rPr>
          <w:b/>
        </w:rPr>
      </w:pPr>
    </w:p>
    <w:p w:rsidR="004A5DD2" w:rsidRPr="004A5DD2" w:rsidRDefault="004A5DD2" w:rsidP="009300F3">
      <w:pPr>
        <w:pStyle w:val="BlockText"/>
        <w:numPr>
          <w:ilvl w:val="2"/>
          <w:numId w:val="11"/>
        </w:numPr>
        <w:rPr>
          <w:b/>
        </w:rPr>
      </w:pPr>
      <w:r>
        <w:rPr>
          <w:b/>
        </w:rPr>
        <w:t xml:space="preserve">Precast Erectors #DS2014-130 </w:t>
      </w:r>
      <w:r>
        <w:t>- Petition filed on October 15, 2014, seeking a determination of licensure requirements for the erection of precast/prestressed concrete panels and beams as a subcontractor on commercial construction projects (and apparently requesting that a new licensure category be created).</w:t>
      </w:r>
    </w:p>
    <w:p w:rsidR="004A5DD2" w:rsidRDefault="004A5DD2" w:rsidP="004A5DD2">
      <w:pPr>
        <w:pStyle w:val="ListParagraph"/>
        <w:rPr>
          <w:b/>
        </w:rPr>
      </w:pPr>
    </w:p>
    <w:p w:rsidR="004A5DD2" w:rsidRPr="004A5DD2" w:rsidRDefault="004A5DD2" w:rsidP="009300F3">
      <w:pPr>
        <w:pStyle w:val="BlockText"/>
        <w:numPr>
          <w:ilvl w:val="2"/>
          <w:numId w:val="11"/>
        </w:numPr>
        <w:rPr>
          <w:b/>
        </w:rPr>
      </w:pPr>
      <w:r>
        <w:rPr>
          <w:b/>
        </w:rPr>
        <w:t xml:space="preserve">M. Nichols on behalf of American Tennis Courts, Inc. </w:t>
      </w:r>
      <w:r>
        <w:t>– Petition filed on October 20, 2014, seeking a determ</w:t>
      </w:r>
      <w:r w:rsidR="0052387A">
        <w:t>ination of licensure requirements (apparently for the construction of tennis courts).</w:t>
      </w:r>
    </w:p>
    <w:p w:rsidR="00342B6A" w:rsidRPr="009F7BC1" w:rsidRDefault="00342B6A" w:rsidP="00342B6A">
      <w:pPr>
        <w:pStyle w:val="BlockText"/>
        <w:ind w:left="2520"/>
        <w:rPr>
          <w:b/>
        </w:rPr>
      </w:pPr>
    </w:p>
    <w:p w:rsidR="00AA1DC4" w:rsidRPr="002C3294" w:rsidRDefault="009F7BC1" w:rsidP="00F917FF">
      <w:pPr>
        <w:pStyle w:val="BlockText"/>
        <w:numPr>
          <w:ilvl w:val="1"/>
          <w:numId w:val="11"/>
        </w:numPr>
        <w:rPr>
          <w:b/>
        </w:rPr>
      </w:pPr>
      <w:r>
        <w:t xml:space="preserve">This board has received or disposed of the following </w:t>
      </w:r>
      <w:r w:rsidR="002558FB">
        <w:t>Petition</w:t>
      </w:r>
      <w:r>
        <w:t>s</w:t>
      </w:r>
      <w:r w:rsidR="004E142A">
        <w:t xml:space="preserve"> for Va</w:t>
      </w:r>
      <w:r w:rsidR="0092555A">
        <w:t>riance or Waiver</w:t>
      </w:r>
      <w:r w:rsidR="00F917FF">
        <w:t xml:space="preserve"> (if any): </w:t>
      </w:r>
    </w:p>
    <w:p w:rsidR="002C3294" w:rsidRPr="0052387A" w:rsidRDefault="002C3294" w:rsidP="002C3294">
      <w:pPr>
        <w:pStyle w:val="BlockText"/>
        <w:ind w:left="1800"/>
        <w:rPr>
          <w:b/>
        </w:rPr>
      </w:pPr>
    </w:p>
    <w:p w:rsidR="0052387A" w:rsidRPr="0052387A" w:rsidRDefault="0052387A" w:rsidP="0052387A">
      <w:pPr>
        <w:pStyle w:val="BlockText"/>
        <w:numPr>
          <w:ilvl w:val="2"/>
          <w:numId w:val="11"/>
        </w:numPr>
        <w:rPr>
          <w:b/>
        </w:rPr>
      </w:pPr>
      <w:r w:rsidRPr="0052387A">
        <w:rPr>
          <w:b/>
        </w:rPr>
        <w:t>Richard A. Vannucci</w:t>
      </w:r>
      <w:r>
        <w:t xml:space="preserve"> – Petition filed on August 27, 2014 seeking a waiver of the financial responsibility and stability requirements of Rule 61G4-15.006 so that he will not be required to obtain an Irrevocable Letter of Credit.</w:t>
      </w:r>
    </w:p>
    <w:p w:rsidR="0052387A" w:rsidRPr="0052387A" w:rsidRDefault="0052387A" w:rsidP="0052387A">
      <w:pPr>
        <w:pStyle w:val="BlockText"/>
        <w:ind w:left="2520"/>
        <w:rPr>
          <w:b/>
        </w:rPr>
      </w:pPr>
    </w:p>
    <w:p w:rsidR="0052387A" w:rsidRPr="0052387A" w:rsidRDefault="0052387A" w:rsidP="0052387A">
      <w:pPr>
        <w:pStyle w:val="BlockText"/>
        <w:numPr>
          <w:ilvl w:val="2"/>
          <w:numId w:val="11"/>
        </w:numPr>
        <w:rPr>
          <w:b/>
        </w:rPr>
      </w:pPr>
      <w:r>
        <w:rPr>
          <w:b/>
        </w:rPr>
        <w:t>Troy Rush</w:t>
      </w:r>
      <w:r>
        <w:t xml:space="preserve"> – Petition filed on September 29, 2014, seeking a waiver from having to retake the general contractor exam, and allowing the use of his 2008 exam results.</w:t>
      </w:r>
    </w:p>
    <w:p w:rsidR="0052387A" w:rsidRPr="0052387A" w:rsidRDefault="0052387A" w:rsidP="0052387A">
      <w:pPr>
        <w:pStyle w:val="BlockText"/>
        <w:ind w:left="1800"/>
        <w:rPr>
          <w:b/>
        </w:rPr>
      </w:pPr>
    </w:p>
    <w:p w:rsidR="0052387A" w:rsidRPr="0052387A" w:rsidRDefault="0052387A" w:rsidP="0052387A">
      <w:pPr>
        <w:pStyle w:val="BlockText"/>
        <w:numPr>
          <w:ilvl w:val="2"/>
          <w:numId w:val="11"/>
        </w:numPr>
        <w:rPr>
          <w:b/>
        </w:rPr>
      </w:pPr>
      <w:r>
        <w:rPr>
          <w:b/>
        </w:rPr>
        <w:t xml:space="preserve">Eric Ziegler </w:t>
      </w:r>
      <w:r>
        <w:t>– Order filed on October 30, 2014, denying a variance or waiver from Rule 61G4-16.005 requirement that a passing grade is valid only for a period of four (4) years based on a failure to demonstrate how the underlying requirement could be achieved by an alternative method or that a substantial hardship had been created.</w:t>
      </w:r>
    </w:p>
    <w:p w:rsidR="0052387A" w:rsidRPr="00AA1DC4" w:rsidRDefault="0052387A" w:rsidP="0052387A">
      <w:pPr>
        <w:pStyle w:val="BlockText"/>
        <w:ind w:left="2520"/>
        <w:rPr>
          <w:b/>
        </w:rPr>
      </w:pPr>
    </w:p>
    <w:p w:rsidR="00AA1DC4" w:rsidRPr="00AA1DC4" w:rsidRDefault="00AA1DC4" w:rsidP="00AA1DC4">
      <w:pPr>
        <w:pStyle w:val="BlockText"/>
        <w:rPr>
          <w:b/>
        </w:rPr>
      </w:pPr>
    </w:p>
    <w:p w:rsidR="00B228D4" w:rsidRDefault="004E142A" w:rsidP="0008109E">
      <w:pPr>
        <w:pStyle w:val="BlockText"/>
        <w:numPr>
          <w:ilvl w:val="0"/>
          <w:numId w:val="11"/>
        </w:numPr>
      </w:pPr>
      <w:r w:rsidRPr="00BD45AE">
        <w:rPr>
          <w:u w:val="single"/>
        </w:rPr>
        <w:t>Electrical Contracting Licensing Board</w:t>
      </w:r>
      <w:r>
        <w:t xml:space="preserve"> (includes both electricians and alarm contractors) – Chapter </w:t>
      </w:r>
      <w:r w:rsidR="00EF30B1">
        <w:t>489, Part II, FS and 61G6, FAC</w:t>
      </w:r>
      <w:r w:rsidR="00BD45AE">
        <w:t xml:space="preserve">: </w:t>
      </w:r>
    </w:p>
    <w:p w:rsidR="00BD45AE" w:rsidRDefault="00BD45AE" w:rsidP="00BE7523">
      <w:pPr>
        <w:pStyle w:val="BlockText"/>
      </w:pPr>
    </w:p>
    <w:p w:rsidR="00480712" w:rsidRDefault="00BD45AE" w:rsidP="0008109E">
      <w:pPr>
        <w:pStyle w:val="BlockText"/>
        <w:numPr>
          <w:ilvl w:val="1"/>
          <w:numId w:val="11"/>
        </w:numPr>
      </w:pPr>
      <w:r>
        <w:t xml:space="preserve">This board has </w:t>
      </w:r>
      <w:r w:rsidR="00BE7523">
        <w:t>proposed</w:t>
      </w:r>
      <w:r>
        <w:t xml:space="preserve"> adopted, repealed or amended the following rules (if any):</w:t>
      </w:r>
      <w:r w:rsidR="002C3294">
        <w:t xml:space="preserve"> None noticed</w:t>
      </w:r>
      <w:r w:rsidR="00B52A30">
        <w:t>.</w:t>
      </w:r>
    </w:p>
    <w:p w:rsidR="00BA7E0B" w:rsidRDefault="00BA7E0B" w:rsidP="00BA7E0B">
      <w:pPr>
        <w:pStyle w:val="BlockText"/>
        <w:ind w:left="1800"/>
      </w:pPr>
    </w:p>
    <w:p w:rsidR="00480712" w:rsidRDefault="004E142A" w:rsidP="00F5711E">
      <w:pPr>
        <w:pStyle w:val="BlockText"/>
        <w:numPr>
          <w:ilvl w:val="1"/>
          <w:numId w:val="11"/>
        </w:numPr>
      </w:pPr>
      <w:r>
        <w:t xml:space="preserve">This board has received or disposed of the following Petitions for </w:t>
      </w:r>
      <w:r w:rsidR="00480712">
        <w:t>Declaratory Statement (if any</w:t>
      </w:r>
      <w:r w:rsidR="00F917FF">
        <w:t>): None noticed.</w:t>
      </w:r>
    </w:p>
    <w:p w:rsidR="00F917FF" w:rsidRDefault="00F917FF" w:rsidP="00F917FF">
      <w:pPr>
        <w:pStyle w:val="BlockText"/>
      </w:pPr>
    </w:p>
    <w:p w:rsidR="00F917FF" w:rsidRDefault="004E142A" w:rsidP="00F917FF">
      <w:pPr>
        <w:pStyle w:val="BlockText"/>
        <w:numPr>
          <w:ilvl w:val="1"/>
          <w:numId w:val="11"/>
        </w:numPr>
      </w:pPr>
      <w:r>
        <w:t xml:space="preserve">This board has received or disposed of the following Petitions for </w:t>
      </w:r>
      <w:r w:rsidR="009E2A70">
        <w:t>Va</w:t>
      </w:r>
      <w:r w:rsidR="00CB169A">
        <w:t xml:space="preserve">riance or Waiver </w:t>
      </w:r>
      <w:r w:rsidR="00F917FF">
        <w:t xml:space="preserve">(if any). </w:t>
      </w:r>
      <w:r w:rsidR="002C3294">
        <w:t>None</w:t>
      </w:r>
      <w:r w:rsidR="00B52A30">
        <w:t xml:space="preserve"> </w:t>
      </w:r>
      <w:r w:rsidR="00AA1DC4">
        <w:t>to report.</w:t>
      </w:r>
    </w:p>
    <w:p w:rsidR="00F917FF" w:rsidRPr="00F917FF" w:rsidRDefault="00F917FF" w:rsidP="00F917FF">
      <w:pPr>
        <w:pStyle w:val="BlockText"/>
        <w:ind w:left="1080"/>
      </w:pPr>
    </w:p>
    <w:p w:rsidR="004E142A" w:rsidRDefault="004E142A" w:rsidP="0008109E">
      <w:pPr>
        <w:pStyle w:val="BlockText"/>
        <w:numPr>
          <w:ilvl w:val="0"/>
          <w:numId w:val="11"/>
        </w:numPr>
      </w:pPr>
      <w:r w:rsidRPr="00CF2384">
        <w:rPr>
          <w:u w:val="single"/>
        </w:rPr>
        <w:t>Board of Architecture and Interior Design</w:t>
      </w:r>
      <w:r>
        <w:t xml:space="preserve"> – Chapter 481, Part I, FS and 61G1 FAC: </w:t>
      </w:r>
    </w:p>
    <w:p w:rsidR="004E142A" w:rsidRDefault="004E142A" w:rsidP="004E142A">
      <w:pPr>
        <w:pStyle w:val="BlockText"/>
        <w:ind w:left="1080"/>
      </w:pPr>
    </w:p>
    <w:p w:rsidR="003C40E8" w:rsidRDefault="00E1125C" w:rsidP="0008109E">
      <w:pPr>
        <w:pStyle w:val="BlockText"/>
        <w:numPr>
          <w:ilvl w:val="1"/>
          <w:numId w:val="11"/>
        </w:numPr>
      </w:pPr>
      <w:r>
        <w:t>This board has proposed, adopted, repealed or ame</w:t>
      </w:r>
      <w:r w:rsidR="000B1E71">
        <w:t xml:space="preserve">nded the following rules: </w:t>
      </w:r>
      <w:r w:rsidR="00D500CC">
        <w:t xml:space="preserve">None noticed. </w:t>
      </w:r>
    </w:p>
    <w:p w:rsidR="00AC4FD0" w:rsidRDefault="00AC4FD0" w:rsidP="00AC4FD0">
      <w:pPr>
        <w:pStyle w:val="BlockText"/>
        <w:ind w:left="1800"/>
      </w:pPr>
    </w:p>
    <w:p w:rsidR="004E142A" w:rsidRDefault="004E142A" w:rsidP="0008109E">
      <w:pPr>
        <w:pStyle w:val="BlockText"/>
        <w:numPr>
          <w:ilvl w:val="1"/>
          <w:numId w:val="11"/>
        </w:numPr>
      </w:pPr>
      <w:r>
        <w:t xml:space="preserve">This board has received or disposed of the following Petitions for Declaratory Statement (if any): </w:t>
      </w:r>
      <w:r w:rsidR="009E2A70">
        <w:t>None</w:t>
      </w:r>
      <w:r w:rsidR="002558FB">
        <w:t xml:space="preserve"> noticed</w:t>
      </w:r>
      <w:r w:rsidR="009E2A70">
        <w:t>.</w:t>
      </w:r>
    </w:p>
    <w:p w:rsidR="004E142A" w:rsidRDefault="004E142A" w:rsidP="004E142A">
      <w:pPr>
        <w:pStyle w:val="ListParagraph"/>
      </w:pPr>
    </w:p>
    <w:p w:rsidR="004E142A" w:rsidRDefault="004E142A" w:rsidP="0008109E">
      <w:pPr>
        <w:pStyle w:val="BlockText"/>
        <w:numPr>
          <w:ilvl w:val="1"/>
          <w:numId w:val="11"/>
        </w:numPr>
      </w:pPr>
      <w:r>
        <w:t>This board has received or disposed of the following Petitions f</w:t>
      </w:r>
      <w:r w:rsidR="00273404">
        <w:t>or Variance or Waiver (if any):</w:t>
      </w:r>
      <w:r w:rsidR="00AC4FD0">
        <w:t xml:space="preserve"> None noticed.</w:t>
      </w:r>
    </w:p>
    <w:p w:rsidR="004E2A5D" w:rsidRDefault="004E2A5D" w:rsidP="00AC4FD0">
      <w:pPr>
        <w:pStyle w:val="BlockText"/>
      </w:pPr>
    </w:p>
    <w:p w:rsidR="004E142A" w:rsidRDefault="004E142A" w:rsidP="00D500CC">
      <w:pPr>
        <w:pStyle w:val="BlockText"/>
        <w:numPr>
          <w:ilvl w:val="0"/>
          <w:numId w:val="11"/>
        </w:numPr>
      </w:pPr>
      <w:r w:rsidRPr="00EF1953">
        <w:rPr>
          <w:u w:val="single"/>
        </w:rPr>
        <w:t>Board of Landscape Architecture</w:t>
      </w:r>
      <w:r>
        <w:t xml:space="preserve"> – Chapter 481, Part II, FS and 61G10 FAC: </w:t>
      </w:r>
    </w:p>
    <w:p w:rsidR="00B52A30" w:rsidRDefault="00B52A30" w:rsidP="00B52A30">
      <w:pPr>
        <w:pStyle w:val="BlockText"/>
        <w:ind w:left="1080"/>
      </w:pPr>
    </w:p>
    <w:p w:rsidR="00B52A30" w:rsidRDefault="00B52A30" w:rsidP="00B52A30">
      <w:pPr>
        <w:pStyle w:val="BlockText"/>
        <w:numPr>
          <w:ilvl w:val="1"/>
          <w:numId w:val="11"/>
        </w:numPr>
      </w:pPr>
      <w:r>
        <w:t>This board has proposed, adopted, repealed or amended the following rules:</w:t>
      </w:r>
    </w:p>
    <w:p w:rsidR="00B52A30" w:rsidRDefault="00B52A30" w:rsidP="00B52A30">
      <w:pPr>
        <w:pStyle w:val="BlockText"/>
        <w:ind w:left="1800"/>
      </w:pPr>
    </w:p>
    <w:p w:rsidR="00D4023D" w:rsidRDefault="00D4023D" w:rsidP="00E66237">
      <w:pPr>
        <w:pStyle w:val="BlockText"/>
        <w:numPr>
          <w:ilvl w:val="2"/>
          <w:numId w:val="11"/>
        </w:numPr>
      </w:pPr>
      <w:r>
        <w:t>Rule 61G10-11.002 regarding reexaminations is proposed for repeal.</w:t>
      </w:r>
    </w:p>
    <w:p w:rsidR="00B52A30" w:rsidRDefault="00D4023D" w:rsidP="00E66237">
      <w:pPr>
        <w:pStyle w:val="BlockText"/>
        <w:numPr>
          <w:ilvl w:val="2"/>
          <w:numId w:val="11"/>
        </w:numPr>
      </w:pPr>
      <w:r>
        <w:t xml:space="preserve">Rule 61G10-11.010 regarding seals is being amended to remove the requirement for “impression type metal seals.” </w:t>
      </w:r>
    </w:p>
    <w:p w:rsidR="00D4023D" w:rsidRDefault="00D4023D" w:rsidP="00D4023D">
      <w:pPr>
        <w:pStyle w:val="BlockText"/>
        <w:ind w:left="2520"/>
      </w:pPr>
    </w:p>
    <w:p w:rsidR="00D4023D" w:rsidRDefault="00D4023D" w:rsidP="00E66237">
      <w:pPr>
        <w:pStyle w:val="BlockText"/>
        <w:numPr>
          <w:ilvl w:val="2"/>
          <w:numId w:val="11"/>
        </w:numPr>
      </w:pPr>
      <w:r>
        <w:t>Rule 61G10-12.002 is proposed for amendment to reduce filing fees by 25%.</w:t>
      </w:r>
    </w:p>
    <w:p w:rsidR="00D4023D" w:rsidRDefault="00D4023D" w:rsidP="00D4023D">
      <w:pPr>
        <w:pStyle w:val="ListParagraph"/>
      </w:pPr>
    </w:p>
    <w:p w:rsidR="00D4023D" w:rsidRDefault="00D4023D" w:rsidP="00E66237">
      <w:pPr>
        <w:pStyle w:val="BlockText"/>
        <w:numPr>
          <w:ilvl w:val="2"/>
          <w:numId w:val="11"/>
        </w:numPr>
      </w:pPr>
      <w:r>
        <w:t>Rule 61G10-18.002, .003 and .006 regarding continuing education provides and course approvals.</w:t>
      </w:r>
    </w:p>
    <w:p w:rsidR="00E66237" w:rsidRDefault="00E66237" w:rsidP="00E66237">
      <w:pPr>
        <w:pStyle w:val="BlockText"/>
        <w:ind w:left="2520"/>
      </w:pPr>
    </w:p>
    <w:p w:rsidR="00B52A30" w:rsidRDefault="00B52A30" w:rsidP="00B52A30">
      <w:pPr>
        <w:pStyle w:val="BlockText"/>
        <w:numPr>
          <w:ilvl w:val="1"/>
          <w:numId w:val="11"/>
        </w:numPr>
      </w:pPr>
      <w:r>
        <w:t>This board has received or disposed of the following Petitions for Declaratory Statement (if any): None noticed.</w:t>
      </w:r>
    </w:p>
    <w:p w:rsidR="00B52A30" w:rsidRDefault="00B52A30" w:rsidP="00B52A30">
      <w:pPr>
        <w:pStyle w:val="ListParagraph"/>
      </w:pPr>
    </w:p>
    <w:p w:rsidR="00B52A30" w:rsidRDefault="00B52A30" w:rsidP="00D4023D">
      <w:pPr>
        <w:pStyle w:val="BlockText"/>
        <w:numPr>
          <w:ilvl w:val="1"/>
          <w:numId w:val="11"/>
        </w:numPr>
      </w:pPr>
      <w:r>
        <w:t>This board has received or disposed of the following Petitions for Variance o</w:t>
      </w:r>
      <w:r w:rsidR="00D4023D">
        <w:t xml:space="preserve">r Waiver (if any): </w:t>
      </w:r>
      <w:r w:rsidR="00D4023D">
        <w:rPr>
          <w:b/>
        </w:rPr>
        <w:t>Corey G. Mathews on behalf of Florida Chapter of American Society of Landscape Architects</w:t>
      </w:r>
      <w:r w:rsidR="00D4023D">
        <w:t xml:space="preserve"> – Petition filed on October 22, 2014, for a waiver of Rule 61G10-18.006(3)</w:t>
      </w:r>
      <w:r w:rsidR="00B73DBD">
        <w:t xml:space="preserve"> requiring that a continuing education course submitted no later than 60 days prior to the next scheduled meeting of the board.</w:t>
      </w:r>
    </w:p>
    <w:p w:rsidR="004E142A" w:rsidRDefault="004E142A" w:rsidP="004E142A"/>
    <w:p w:rsidR="004E142A" w:rsidRDefault="004E142A" w:rsidP="0008109E">
      <w:pPr>
        <w:pStyle w:val="BlockText"/>
        <w:numPr>
          <w:ilvl w:val="0"/>
          <w:numId w:val="11"/>
        </w:numPr>
      </w:pPr>
      <w:r w:rsidRPr="00D42313">
        <w:rPr>
          <w:u w:val="single"/>
        </w:rPr>
        <w:t>Board of Professional Engineers</w:t>
      </w:r>
      <w:r>
        <w:t xml:space="preserve"> – Chapter 471, FS and 61G15 FAC: </w:t>
      </w:r>
    </w:p>
    <w:p w:rsidR="004E142A" w:rsidRDefault="004E142A" w:rsidP="004E142A">
      <w:pPr>
        <w:pStyle w:val="BlockText"/>
      </w:pPr>
    </w:p>
    <w:p w:rsidR="00B73DBD" w:rsidRDefault="00E1125C" w:rsidP="00B73DBD">
      <w:pPr>
        <w:pStyle w:val="BlockText"/>
        <w:numPr>
          <w:ilvl w:val="1"/>
          <w:numId w:val="11"/>
        </w:numPr>
      </w:pPr>
      <w:r>
        <w:t xml:space="preserve">This board has </w:t>
      </w:r>
      <w:r w:rsidR="004204AE">
        <w:t>proposed</w:t>
      </w:r>
      <w:r>
        <w:t xml:space="preserve"> adopted, repealed or amended</w:t>
      </w:r>
      <w:r w:rsidR="00B73DBD">
        <w:t xml:space="preserve"> the following rules:    Proposed Rule 61G15-18.020 is proposed regarding public comment at board meetings.  </w:t>
      </w:r>
    </w:p>
    <w:p w:rsidR="00B73DBD" w:rsidRDefault="00B73DBD" w:rsidP="00B73DBD">
      <w:pPr>
        <w:pStyle w:val="BlockText"/>
        <w:ind w:left="1800"/>
      </w:pPr>
    </w:p>
    <w:p w:rsidR="00E3126D" w:rsidRDefault="009E2A70" w:rsidP="00B73DBD">
      <w:pPr>
        <w:pStyle w:val="BlockText"/>
        <w:numPr>
          <w:ilvl w:val="1"/>
          <w:numId w:val="11"/>
        </w:numPr>
      </w:pPr>
      <w:r>
        <w:t xml:space="preserve">This board has received or disposed of the following Petitions for </w:t>
      </w:r>
      <w:r w:rsidR="00052694">
        <w:t>Declaratory Statement</w:t>
      </w:r>
      <w:r w:rsidR="00003119">
        <w:t xml:space="preserve"> (if any</w:t>
      </w:r>
      <w:r w:rsidR="000B0D3F">
        <w:t>): None noticed</w:t>
      </w:r>
      <w:r w:rsidR="00E66237">
        <w:t>.</w:t>
      </w:r>
    </w:p>
    <w:p w:rsidR="000B0D3F" w:rsidRDefault="000B0D3F" w:rsidP="000B0D3F">
      <w:pPr>
        <w:pStyle w:val="BlockText"/>
        <w:ind w:left="1800"/>
      </w:pPr>
    </w:p>
    <w:p w:rsidR="000B0D3F" w:rsidRDefault="000B0D3F" w:rsidP="000B0D3F">
      <w:pPr>
        <w:pStyle w:val="BlockText"/>
        <w:numPr>
          <w:ilvl w:val="1"/>
          <w:numId w:val="11"/>
        </w:numPr>
      </w:pPr>
      <w:r>
        <w:t>This board has received or disposed of the following Petitions for Variance or Waiver (i</w:t>
      </w:r>
      <w:r w:rsidR="00B73DBD">
        <w:t xml:space="preserve">f any): </w:t>
      </w:r>
      <w:r w:rsidR="00B73DBD" w:rsidRPr="00B73DBD">
        <w:rPr>
          <w:b/>
        </w:rPr>
        <w:t xml:space="preserve">Broward County Environmental Protection &amp; Growth Management Department </w:t>
      </w:r>
      <w:r w:rsidR="00B73DBD">
        <w:t>– Order filed on March 18, 2014, denying the petition for, in part, failing to demonstrate a substantial hardship.</w:t>
      </w:r>
    </w:p>
    <w:p w:rsidR="000B0D3F" w:rsidRDefault="000B0D3F" w:rsidP="000B0D3F">
      <w:pPr>
        <w:pStyle w:val="BlockText"/>
      </w:pPr>
    </w:p>
    <w:p w:rsidR="004E142A" w:rsidRDefault="004E142A" w:rsidP="0008109E">
      <w:pPr>
        <w:pStyle w:val="BlockText"/>
        <w:numPr>
          <w:ilvl w:val="0"/>
          <w:numId w:val="11"/>
        </w:numPr>
      </w:pPr>
      <w:r w:rsidRPr="009A1012">
        <w:rPr>
          <w:u w:val="single"/>
        </w:rPr>
        <w:t>Building Code Administrators and Inspectors</w:t>
      </w:r>
      <w:r>
        <w:t xml:space="preserve"> Board – Chapt</w:t>
      </w:r>
      <w:r w:rsidR="00E3126D">
        <w:t>er 468, Part XII and 61G19 FAC:</w:t>
      </w:r>
    </w:p>
    <w:p w:rsidR="004E142A" w:rsidRDefault="004E142A" w:rsidP="004E142A">
      <w:pPr>
        <w:pStyle w:val="BlockText"/>
        <w:ind w:left="1440"/>
      </w:pPr>
    </w:p>
    <w:p w:rsidR="004E142A" w:rsidRDefault="00E1125C" w:rsidP="0008109E">
      <w:pPr>
        <w:pStyle w:val="BlockText"/>
        <w:numPr>
          <w:ilvl w:val="1"/>
          <w:numId w:val="11"/>
        </w:numPr>
      </w:pPr>
      <w:r>
        <w:t>This board has proposed, adopted, repealed or amended the following rules (if any):</w:t>
      </w:r>
      <w:r w:rsidR="00E3126D">
        <w:t xml:space="preserve"> None noticed (no proposed rules are pending)</w:t>
      </w:r>
    </w:p>
    <w:p w:rsidR="004E142A" w:rsidRDefault="004E142A" w:rsidP="004E142A">
      <w:pPr>
        <w:pStyle w:val="BlockText"/>
      </w:pPr>
    </w:p>
    <w:p w:rsidR="004E2A5D" w:rsidRDefault="004E142A" w:rsidP="002D366C">
      <w:pPr>
        <w:pStyle w:val="BlockText"/>
        <w:numPr>
          <w:ilvl w:val="1"/>
          <w:numId w:val="11"/>
        </w:numPr>
      </w:pPr>
      <w:r>
        <w:t>This board has received or disposed of the following Petitions for Declaratory Statement (if any</w:t>
      </w:r>
      <w:r w:rsidR="00B73DBD">
        <w:t xml:space="preserve">): </w:t>
      </w:r>
      <w:r w:rsidR="00B73DBD" w:rsidRPr="00B73DBD">
        <w:rPr>
          <w:b/>
        </w:rPr>
        <w:t>Gregory Yantorno #2014-118</w:t>
      </w:r>
      <w:r w:rsidR="00B73DBD">
        <w:t xml:space="preserve">– seeking a determination of his responsibilities as a building code administrator for “direct supervision” of </w:t>
      </w:r>
      <w:r w:rsidR="00ED68AB">
        <w:t>the permitting</w:t>
      </w:r>
      <w:r w:rsidR="00B73DBD">
        <w:t xml:space="preserve"> functions of his </w:t>
      </w:r>
      <w:r w:rsidR="00ED68AB">
        <w:t>office.</w:t>
      </w:r>
    </w:p>
    <w:p w:rsidR="0084009D" w:rsidRDefault="0084009D" w:rsidP="0084009D">
      <w:pPr>
        <w:pStyle w:val="BlockText"/>
      </w:pPr>
    </w:p>
    <w:p w:rsidR="004E142A" w:rsidRDefault="004E142A" w:rsidP="0008109E">
      <w:pPr>
        <w:pStyle w:val="BlockText"/>
        <w:numPr>
          <w:ilvl w:val="1"/>
          <w:numId w:val="11"/>
        </w:numPr>
      </w:pPr>
      <w:r>
        <w:t xml:space="preserve">This board has received or disposed of the following Petitions for Variance or Waiver (if any): </w:t>
      </w:r>
      <w:r w:rsidR="004204AE">
        <w:t>None</w:t>
      </w:r>
      <w:r w:rsidR="00920535">
        <w:t xml:space="preserve"> noticed</w:t>
      </w:r>
      <w:r w:rsidR="004204AE">
        <w:t>.</w:t>
      </w:r>
    </w:p>
    <w:p w:rsidR="004E142A" w:rsidRPr="003134D3" w:rsidRDefault="004E142A" w:rsidP="004E142A">
      <w:pPr>
        <w:pStyle w:val="BlockText"/>
      </w:pPr>
    </w:p>
    <w:p w:rsidR="00F73B56" w:rsidRDefault="004E142A" w:rsidP="0008109E">
      <w:pPr>
        <w:pStyle w:val="BlockText"/>
        <w:numPr>
          <w:ilvl w:val="0"/>
          <w:numId w:val="11"/>
        </w:numPr>
      </w:pPr>
      <w:r w:rsidRPr="00A82F6F">
        <w:rPr>
          <w:u w:val="single"/>
        </w:rPr>
        <w:t>Florida Building Commission</w:t>
      </w:r>
      <w:r>
        <w:rPr>
          <w:rStyle w:val="FootnoteReference"/>
          <w:u w:val="single"/>
        </w:rPr>
        <w:footnoteReference w:id="1"/>
      </w:r>
      <w:r>
        <w:t xml:space="preserve"> – Chapter 553, Part IV and Chapter 61G20, FAC): </w:t>
      </w:r>
    </w:p>
    <w:p w:rsidR="00F73B56" w:rsidRDefault="00F73B56" w:rsidP="00F73B56">
      <w:pPr>
        <w:pStyle w:val="BlockText"/>
        <w:ind w:left="720"/>
        <w:rPr>
          <w:u w:val="single"/>
        </w:rPr>
      </w:pPr>
    </w:p>
    <w:p w:rsidR="00920535" w:rsidRDefault="00F73B56" w:rsidP="00E3126D">
      <w:pPr>
        <w:pStyle w:val="BlockText"/>
        <w:rPr>
          <w:b/>
        </w:rPr>
      </w:pPr>
      <w:r>
        <w:rPr>
          <w:b/>
          <w:u w:val="single"/>
        </w:rPr>
        <w:t xml:space="preserve">CODE </w:t>
      </w:r>
      <w:r w:rsidRPr="00D255AC">
        <w:rPr>
          <w:b/>
          <w:u w:val="single"/>
        </w:rPr>
        <w:t>NOTE</w:t>
      </w:r>
      <w:r w:rsidRPr="00D255AC">
        <w:rPr>
          <w:b/>
        </w:rPr>
        <w:t xml:space="preserve">: </w:t>
      </w:r>
      <w:r w:rsidRPr="00571120">
        <w:rPr>
          <w:b/>
        </w:rPr>
        <w:t xml:space="preserve">Due to a delay in adoption of the latest NFPA fire codes, the effective date of the next Florida Building has been postponed until </w:t>
      </w:r>
      <w:r>
        <w:rPr>
          <w:b/>
        </w:rPr>
        <w:t>December 31, 201</w:t>
      </w:r>
      <w:r w:rsidRPr="00571120">
        <w:rPr>
          <w:b/>
          <w:i/>
          <w:u w:val="single"/>
        </w:rPr>
        <w:t>4</w:t>
      </w:r>
      <w:r>
        <w:rPr>
          <w:b/>
          <w:i/>
          <w:u w:val="single"/>
        </w:rPr>
        <w:t xml:space="preserve"> </w:t>
      </w:r>
      <w:r>
        <w:rPr>
          <w:b/>
        </w:rPr>
        <w:t>and will be entitled "Florida Building Code 5</w:t>
      </w:r>
      <w:r w:rsidRPr="00571120">
        <w:rPr>
          <w:b/>
          <w:vertAlign w:val="superscript"/>
        </w:rPr>
        <w:t>th</w:t>
      </w:r>
      <w:r>
        <w:rPr>
          <w:b/>
        </w:rPr>
        <w:t xml:space="preserve"> Edition (2014)."</w:t>
      </w:r>
      <w:r w:rsidR="000B0D3F">
        <w:rPr>
          <w:b/>
        </w:rPr>
        <w:t xml:space="preserve"> IT MAY BE NECESSARY TO POSTPONE IT FURTHER!</w:t>
      </w:r>
    </w:p>
    <w:p w:rsidR="00B0622F" w:rsidRPr="00E3126D" w:rsidRDefault="00B0622F" w:rsidP="00E3126D">
      <w:pPr>
        <w:pStyle w:val="BlockText"/>
        <w:rPr>
          <w:b/>
        </w:rPr>
      </w:pPr>
    </w:p>
    <w:p w:rsidR="00E3126D" w:rsidRDefault="00E1125C" w:rsidP="00E3126D">
      <w:pPr>
        <w:pStyle w:val="BlockText"/>
        <w:numPr>
          <w:ilvl w:val="1"/>
          <w:numId w:val="11"/>
        </w:numPr>
      </w:pPr>
      <w:r>
        <w:t>This board has proposed, adopted, repealed or amended the following rules (if any):</w:t>
      </w:r>
      <w:r w:rsidR="0084009D">
        <w:t xml:space="preserve"> </w:t>
      </w:r>
      <w:r w:rsidR="00ED68AB">
        <w:t>Amendment to Rule 61G20-6.002 regarding the commission’s approval and accreditation of Advanced Building Code Training Courses.</w:t>
      </w:r>
    </w:p>
    <w:p w:rsidR="00C60ABB" w:rsidRDefault="00C60ABB" w:rsidP="00C60ABB">
      <w:pPr>
        <w:pStyle w:val="BlockText"/>
        <w:ind w:left="1800"/>
      </w:pPr>
    </w:p>
    <w:p w:rsidR="00ED68AB" w:rsidRDefault="00E1125C" w:rsidP="000B0D3F">
      <w:pPr>
        <w:pStyle w:val="BlockText"/>
        <w:numPr>
          <w:ilvl w:val="1"/>
          <w:numId w:val="11"/>
        </w:numPr>
      </w:pPr>
      <w:r>
        <w:t xml:space="preserve">This board has received or disposed of the following Petitions for </w:t>
      </w:r>
      <w:r w:rsidR="003747B5">
        <w:t xml:space="preserve">Declaratory Statement: </w:t>
      </w:r>
    </w:p>
    <w:p w:rsidR="00ED68AB" w:rsidRDefault="00ED68AB" w:rsidP="00ED68AB">
      <w:pPr>
        <w:pStyle w:val="ListParagraph"/>
        <w:rPr>
          <w:b/>
        </w:rPr>
      </w:pPr>
    </w:p>
    <w:p w:rsidR="00217EBB" w:rsidRDefault="00ED68AB" w:rsidP="00ED68AB">
      <w:pPr>
        <w:pStyle w:val="BlockText"/>
        <w:numPr>
          <w:ilvl w:val="2"/>
          <w:numId w:val="11"/>
        </w:numPr>
      </w:pPr>
      <w:r>
        <w:rPr>
          <w:b/>
        </w:rPr>
        <w:t>Nichiha USA, Inc.</w:t>
      </w:r>
      <w:r w:rsidR="000B0D3F">
        <w:t xml:space="preserve"> -</w:t>
      </w:r>
      <w:r w:rsidR="00217EBB" w:rsidRPr="000B0D3F">
        <w:rPr>
          <w:b/>
        </w:rPr>
        <w:t xml:space="preserve"> </w:t>
      </w:r>
      <w:r w:rsidR="00217EBB">
        <w:t xml:space="preserve">seeking </w:t>
      </w:r>
      <w:r w:rsidR="000B0D3F">
        <w:t>an opinion as to</w:t>
      </w:r>
      <w:r>
        <w:t xml:space="preserve"> the application of</w:t>
      </w:r>
      <w:r w:rsidR="00217EBB">
        <w:t xml:space="preserve"> </w:t>
      </w:r>
      <w:r w:rsidR="000B0D3F">
        <w:t>section</w:t>
      </w:r>
      <w:r>
        <w:t>s R703.4 and R703..10.2</w:t>
      </w:r>
      <w:r w:rsidR="000B0D3F">
        <w:t>, Florida Building Code</w:t>
      </w:r>
      <w:r>
        <w:t>, Residential</w:t>
      </w:r>
      <w:r w:rsidR="00165F0B">
        <w:t xml:space="preserve"> (2010)</w:t>
      </w:r>
      <w:r w:rsidR="000B0D3F">
        <w:t xml:space="preserve"> </w:t>
      </w:r>
      <w:r>
        <w:t>to fiber cement lap siding and whether those sections should be revised.</w:t>
      </w:r>
    </w:p>
    <w:p w:rsidR="00ED68AB" w:rsidRDefault="00ED68AB" w:rsidP="00ED68AB">
      <w:pPr>
        <w:pStyle w:val="BlockText"/>
        <w:ind w:left="2520"/>
      </w:pPr>
    </w:p>
    <w:p w:rsidR="00ED68AB" w:rsidRDefault="00ED68AB" w:rsidP="00ED68AB">
      <w:pPr>
        <w:pStyle w:val="BlockText"/>
        <w:numPr>
          <w:ilvl w:val="2"/>
          <w:numId w:val="11"/>
        </w:numPr>
      </w:pPr>
      <w:r w:rsidRPr="00ED68AB">
        <w:rPr>
          <w:b/>
        </w:rPr>
        <w:t>HFZ Capital Group d/b/a The Shore</w:t>
      </w:r>
      <w:r>
        <w:t xml:space="preserve"> Club – seeking a determination of the applicability of DCA07-DEC-179 by a local building official as to consistent material facts.</w:t>
      </w:r>
    </w:p>
    <w:p w:rsidR="00ED68AB" w:rsidRDefault="00ED68AB" w:rsidP="00ED68AB">
      <w:pPr>
        <w:pStyle w:val="ListParagraph"/>
      </w:pPr>
    </w:p>
    <w:p w:rsidR="00ED68AB" w:rsidRDefault="00ED68AB" w:rsidP="00ED68AB">
      <w:pPr>
        <w:pStyle w:val="BlockText"/>
        <w:numPr>
          <w:ilvl w:val="2"/>
          <w:numId w:val="11"/>
        </w:numPr>
      </w:pPr>
      <w:r w:rsidRPr="00ED68AB">
        <w:rPr>
          <w:b/>
        </w:rPr>
        <w:t>University of Florida</w:t>
      </w:r>
      <w:r>
        <w:t xml:space="preserve"> </w:t>
      </w:r>
      <w:r w:rsidR="008F17A7">
        <w:t>–</w:t>
      </w:r>
      <w:r>
        <w:t xml:space="preserve"> </w:t>
      </w:r>
      <w:r w:rsidR="008F17A7">
        <w:t>seeking a determination of the applicability of Sections 307, 307.02 and 307.4, Florida Balding Code, Accessibility (2012) to the use of pre-fabricated showers for student housing with a curtain rod lower than 80 inches.</w:t>
      </w:r>
    </w:p>
    <w:p w:rsidR="000B0D3F" w:rsidRPr="000B0D3F" w:rsidRDefault="000B0D3F" w:rsidP="000B0D3F">
      <w:pPr>
        <w:pStyle w:val="BlockText"/>
      </w:pPr>
    </w:p>
    <w:p w:rsidR="00165F0B" w:rsidRDefault="000B0D3F" w:rsidP="00414D9E">
      <w:pPr>
        <w:pStyle w:val="BlockText"/>
        <w:numPr>
          <w:ilvl w:val="1"/>
          <w:numId w:val="11"/>
        </w:numPr>
      </w:pPr>
      <w:r>
        <w:t xml:space="preserve">This board has received or disposed of the following Petitions for Variance or Waiver (if any): </w:t>
      </w:r>
      <w:r w:rsidRPr="00B26EF6">
        <w:rPr>
          <w:b/>
        </w:rPr>
        <w:t>Nawee Chaudhri</w:t>
      </w:r>
      <w:r>
        <w:t xml:space="preserve"> </w:t>
      </w:r>
      <w:r w:rsidR="00414D9E">
        <w:t>– Order entered on July 31, 2014, regarding Rule 61G15-20.0015(5), GRANTS petitioner’s waiver based on his valid engineering degree in another state of 15 years, with 20 years of continuous professional-level engineering experience.</w:t>
      </w:r>
    </w:p>
    <w:p w:rsidR="008F17A7" w:rsidRDefault="008F17A7" w:rsidP="00452CC3">
      <w:pPr>
        <w:pStyle w:val="BlockText"/>
      </w:pPr>
    </w:p>
    <w:p w:rsidR="00452CC3" w:rsidRDefault="00452CC3" w:rsidP="00452CC3">
      <w:pPr>
        <w:pStyle w:val="BlockText"/>
      </w:pPr>
      <w:r w:rsidRPr="00452CC3">
        <w:rPr>
          <w:b/>
        </w:rPr>
        <w:t>Editor’s Note: The following is a NEW FEATURE of this report</w:t>
      </w:r>
      <w:r>
        <w:t>:</w:t>
      </w:r>
    </w:p>
    <w:p w:rsidR="00452CC3" w:rsidRDefault="00452CC3" w:rsidP="00452CC3">
      <w:pPr>
        <w:pStyle w:val="BlockText"/>
      </w:pPr>
    </w:p>
    <w:p w:rsidR="008F17A7" w:rsidRPr="00414D9E" w:rsidRDefault="008F17A7" w:rsidP="00414D9E">
      <w:pPr>
        <w:pStyle w:val="BlockText"/>
        <w:numPr>
          <w:ilvl w:val="1"/>
          <w:numId w:val="11"/>
        </w:numPr>
      </w:pPr>
      <w:r>
        <w:t xml:space="preserve">This </w:t>
      </w:r>
      <w:r w:rsidR="00452CC3">
        <w:t>board has received a petition for</w:t>
      </w:r>
      <w:r>
        <w:t xml:space="preserve"> </w:t>
      </w:r>
      <w:r w:rsidR="00452CC3">
        <w:t>interpretation</w:t>
      </w:r>
      <w:r>
        <w:t xml:space="preserve"> of building code as follows (If any):</w:t>
      </w:r>
      <w:r w:rsidR="00452CC3">
        <w:t xml:space="preserve"> </w:t>
      </w:r>
      <w:r w:rsidR="00452CC3" w:rsidRPr="00452CC3">
        <w:rPr>
          <w:b/>
        </w:rPr>
        <w:t>City of Cape Coral</w:t>
      </w:r>
      <w:r w:rsidR="00452CC3">
        <w:t xml:space="preserve"> regarding the applicability of section R302.4 to interconnecting fire doors</w:t>
      </w:r>
    </w:p>
    <w:p w:rsidR="00217EBB" w:rsidRPr="00F73B56" w:rsidRDefault="00217EBB" w:rsidP="00C60ABB">
      <w:pPr>
        <w:pStyle w:val="BlockText"/>
        <w:rPr>
          <w:b/>
        </w:rPr>
      </w:pPr>
    </w:p>
    <w:p w:rsidR="000340FB" w:rsidRDefault="00941C32" w:rsidP="0017187B">
      <w:pPr>
        <w:pStyle w:val="BlockText"/>
        <w:ind w:firstLine="720"/>
      </w:pPr>
      <w:r>
        <w:t xml:space="preserve">8. </w:t>
      </w:r>
      <w:r w:rsidRPr="00941C32">
        <w:rPr>
          <w:u w:val="single"/>
        </w:rPr>
        <w:t>DBPR/Home Inspectors:</w:t>
      </w:r>
      <w:r>
        <w:t xml:space="preserve"> </w:t>
      </w:r>
      <w:r w:rsidR="009D71A1">
        <w:t>Nothing new to report.</w:t>
      </w:r>
    </w:p>
    <w:p w:rsidR="004E2A5D" w:rsidRDefault="004E2A5D" w:rsidP="004E2A5D">
      <w:pPr>
        <w:pStyle w:val="BlockText"/>
      </w:pPr>
    </w:p>
    <w:p w:rsidR="000340FB" w:rsidRDefault="000340FB" w:rsidP="00941C32">
      <w:pPr>
        <w:pStyle w:val="BlockText"/>
        <w:ind w:left="720"/>
      </w:pPr>
      <w:r>
        <w:t xml:space="preserve">9. </w:t>
      </w:r>
      <w:r w:rsidRPr="000340FB">
        <w:rPr>
          <w:u w:val="single"/>
        </w:rPr>
        <w:t>Board of Professional Geologists:</w:t>
      </w:r>
      <w:r>
        <w:t xml:space="preserve"> Chapter 492, Florida Statutes, and Rule Chapter 61G16, F.A.C.</w:t>
      </w:r>
      <w:r w:rsidR="00F054FC">
        <w:t xml:space="preserve">: Nothing </w:t>
      </w:r>
      <w:r w:rsidR="003B59EA">
        <w:t xml:space="preserve">new </w:t>
      </w:r>
      <w:r w:rsidR="00F054FC">
        <w:t>to report.</w:t>
      </w:r>
    </w:p>
    <w:p w:rsidR="00436BA2" w:rsidRDefault="00436BA2" w:rsidP="00941C32">
      <w:pPr>
        <w:pStyle w:val="BlockText"/>
        <w:ind w:left="720"/>
      </w:pPr>
    </w:p>
    <w:p w:rsidR="004E142A" w:rsidRDefault="00436BA2" w:rsidP="004E142A">
      <w:pPr>
        <w:pStyle w:val="BlockText"/>
        <w:ind w:left="1080"/>
        <w:rPr>
          <w:rStyle w:val="text"/>
          <w:rFonts w:ascii="Verdana" w:hAnsi="Verdana"/>
          <w:color w:val="000080"/>
          <w:sz w:val="20"/>
          <w:szCs w:val="20"/>
        </w:rPr>
      </w:pPr>
      <w:r>
        <w:rPr>
          <w:rStyle w:val="text"/>
          <w:rFonts w:ascii="Verdana" w:hAnsi="Verdana"/>
          <w:color w:val="000080"/>
          <w:sz w:val="20"/>
          <w:szCs w:val="20"/>
        </w:rPr>
        <w:t>“Geology” means the science which includes the treatment of the earth and its origin and history, in general; the investigation of the earth’s crust and interior and the solids and fluids, including all surface and underground waters, and gases which compose the earth; the study of the natural agents, forces, and processes which cause changes in the earth; and the utilization of this knowledge of the earth and its solids, fluids, and gases, and their collective properties and processes, for the benefit of humankind.</w:t>
      </w:r>
    </w:p>
    <w:p w:rsidR="0094577A" w:rsidRDefault="0094577A" w:rsidP="0094577A">
      <w:pPr>
        <w:pStyle w:val="BlockText"/>
      </w:pPr>
    </w:p>
    <w:p w:rsidR="004B10A3" w:rsidRDefault="0094577A" w:rsidP="00781A63">
      <w:pPr>
        <w:pStyle w:val="BlockText"/>
        <w:ind w:left="720"/>
      </w:pPr>
      <w:r>
        <w:t>10</w:t>
      </w:r>
      <w:r w:rsidRPr="00427E2F">
        <w:rPr>
          <w:u w:val="single"/>
        </w:rPr>
        <w:t>. Division of Hotels and Restaurants: Elevator Safety</w:t>
      </w:r>
      <w:r>
        <w:t xml:space="preserve"> - Chapter 399, Florida Statutes</w:t>
      </w:r>
      <w:r w:rsidR="00E64091">
        <w:t xml:space="preserve"> (which excludes private residential elevators)</w:t>
      </w:r>
      <w:r>
        <w:t xml:space="preserve">, and Chapter </w:t>
      </w:r>
      <w:r w:rsidR="00427E2F">
        <w:t>61C-5, F.A.C.</w:t>
      </w:r>
      <w:r w:rsidR="004E2A5D">
        <w:t xml:space="preserve"> Nothing </w:t>
      </w:r>
      <w:r w:rsidR="003B59EA">
        <w:t xml:space="preserve">new </w:t>
      </w:r>
      <w:r w:rsidR="004E2A5D">
        <w:t>to report.</w:t>
      </w:r>
    </w:p>
    <w:p w:rsidR="00317330" w:rsidRDefault="00317330" w:rsidP="00781A63">
      <w:pPr>
        <w:pStyle w:val="BlockText"/>
        <w:ind w:left="720"/>
      </w:pPr>
    </w:p>
    <w:p w:rsidR="00427E2F" w:rsidRDefault="004B10A3" w:rsidP="00876A95">
      <w:pPr>
        <w:pStyle w:val="BlockText"/>
        <w:ind w:left="810" w:hanging="90"/>
      </w:pPr>
      <w:r>
        <w:t xml:space="preserve">11. </w:t>
      </w:r>
      <w:r w:rsidRPr="00C906E0">
        <w:rPr>
          <w:u w:val="single"/>
        </w:rPr>
        <w:t>Asbestos Consultants</w:t>
      </w:r>
      <w:r>
        <w:t xml:space="preserve"> – Chapter </w:t>
      </w:r>
      <w:r w:rsidR="00C906E0">
        <w:t>469</w:t>
      </w:r>
      <w:r>
        <w:t>, Florida Statutes, and Chapter</w:t>
      </w:r>
      <w:r w:rsidR="009D71A1">
        <w:t xml:space="preserve"> 61</w:t>
      </w:r>
      <w:r w:rsidR="00C60ABB">
        <w:t>E1</w:t>
      </w:r>
      <w:r w:rsidR="00452CC3">
        <w:t>, F.A.C.:  Proposed change to Rule 61E1-3.001 reducing renewal fees</w:t>
      </w:r>
      <w:r w:rsidR="00467045">
        <w:t xml:space="preserve"> by 50%.</w:t>
      </w:r>
    </w:p>
    <w:p w:rsidR="007D12C5" w:rsidRPr="0094577A" w:rsidRDefault="007D12C5" w:rsidP="00414D9E">
      <w:pPr>
        <w:pStyle w:val="BlockText"/>
      </w:pPr>
    </w:p>
    <w:p w:rsidR="004E142A" w:rsidRDefault="00DE52F2" w:rsidP="00DE52F2">
      <w:pPr>
        <w:pStyle w:val="BlockText"/>
        <w:rPr>
          <w:b/>
        </w:rPr>
      </w:pPr>
      <w:r>
        <w:rPr>
          <w:b/>
        </w:rPr>
        <w:t xml:space="preserve">B. Department of </w:t>
      </w:r>
      <w:r w:rsidR="004E142A" w:rsidRPr="0094577A">
        <w:rPr>
          <w:b/>
        </w:rPr>
        <w:t>Environmental Protection</w:t>
      </w:r>
      <w:r>
        <w:rPr>
          <w:b/>
        </w:rPr>
        <w:t xml:space="preserve">: </w:t>
      </w:r>
    </w:p>
    <w:p w:rsidR="00DE52F2" w:rsidRDefault="00DE52F2" w:rsidP="00DE52F2">
      <w:pPr>
        <w:pStyle w:val="BlockText"/>
        <w:rPr>
          <w:b/>
        </w:rPr>
      </w:pPr>
    </w:p>
    <w:p w:rsidR="00DE52F2" w:rsidRDefault="00DE52F2" w:rsidP="00E64091">
      <w:pPr>
        <w:pStyle w:val="BlockText"/>
        <w:ind w:left="720"/>
      </w:pPr>
      <w:r>
        <w:t>1. Water Well Contractors: Chapter 373, Par</w:t>
      </w:r>
      <w:r w:rsidR="00E64091">
        <w:t xml:space="preserve">t II (licensing and regulation): </w:t>
      </w:r>
      <w:r w:rsidR="00317330">
        <w:t>Nothing new to report.</w:t>
      </w:r>
    </w:p>
    <w:p w:rsidR="00DE52F2" w:rsidRDefault="00DE52F2" w:rsidP="00DE52F2">
      <w:pPr>
        <w:pStyle w:val="BlockText"/>
      </w:pPr>
    </w:p>
    <w:p w:rsidR="00DE52F2" w:rsidRPr="00DE52F2" w:rsidRDefault="00DE52F2" w:rsidP="00DE52F2">
      <w:pPr>
        <w:pStyle w:val="BlockText"/>
      </w:pPr>
      <w:r>
        <w:tab/>
        <w:t xml:space="preserve">2. Consumptive Use Permits: </w:t>
      </w:r>
      <w:r w:rsidR="00E64091">
        <w:t>Chapter 373, Part II: Not</w:t>
      </w:r>
      <w:r w:rsidR="007D12C5">
        <w:t>h</w:t>
      </w:r>
      <w:r w:rsidR="00E64091">
        <w:t xml:space="preserve">ing </w:t>
      </w:r>
      <w:r w:rsidR="00317330">
        <w:t xml:space="preserve">new </w:t>
      </w:r>
      <w:r w:rsidR="00E64091">
        <w:t>to report.</w:t>
      </w:r>
    </w:p>
    <w:p w:rsidR="004E142A" w:rsidRPr="002E2A6D" w:rsidRDefault="004E142A" w:rsidP="004E142A">
      <w:pPr>
        <w:pStyle w:val="BlockText"/>
        <w:ind w:left="720"/>
      </w:pPr>
    </w:p>
    <w:p w:rsidR="00CA5EE6" w:rsidRDefault="00DE52F2" w:rsidP="00CA5EE6">
      <w:pPr>
        <w:pStyle w:val="BlockText"/>
      </w:pPr>
      <w:r>
        <w:rPr>
          <w:b/>
        </w:rPr>
        <w:t xml:space="preserve">C. Department of </w:t>
      </w:r>
      <w:r w:rsidR="004E142A" w:rsidRPr="006577D7">
        <w:rPr>
          <w:b/>
        </w:rPr>
        <w:t>Health</w:t>
      </w:r>
      <w:r w:rsidR="004E142A">
        <w:t xml:space="preserve">: </w:t>
      </w:r>
      <w:r w:rsidR="004E142A" w:rsidRPr="00922A6D">
        <w:rPr>
          <w:b/>
        </w:rPr>
        <w:t xml:space="preserve">Water Quality/Septic Tanks – Chapter 381 and 64E FAC: </w:t>
      </w:r>
    </w:p>
    <w:p w:rsidR="00CA5EE6" w:rsidRDefault="00CA5EE6" w:rsidP="00CA5EE6">
      <w:pPr>
        <w:pStyle w:val="BlockText"/>
      </w:pPr>
    </w:p>
    <w:p w:rsidR="00CA5EE6" w:rsidRDefault="00CA5EE6" w:rsidP="0008109E">
      <w:pPr>
        <w:pStyle w:val="BlockText"/>
        <w:numPr>
          <w:ilvl w:val="0"/>
          <w:numId w:val="15"/>
        </w:numPr>
      </w:pPr>
      <w:r>
        <w:t>Division of Environmental Health:</w:t>
      </w:r>
    </w:p>
    <w:p w:rsidR="00CA5EE6" w:rsidRDefault="00CA5EE6" w:rsidP="00CA5EE6">
      <w:pPr>
        <w:pStyle w:val="BlockText"/>
        <w:ind w:left="1080"/>
      </w:pPr>
    </w:p>
    <w:p w:rsidR="00B36726" w:rsidRDefault="00CA5EE6" w:rsidP="00467045">
      <w:pPr>
        <w:pStyle w:val="BlockText"/>
        <w:numPr>
          <w:ilvl w:val="1"/>
          <w:numId w:val="15"/>
        </w:numPr>
      </w:pPr>
      <w:r>
        <w:t>The following rules have been proposed for creation or amendments</w:t>
      </w:r>
      <w:r w:rsidR="003B59EA">
        <w:t>:</w:t>
      </w:r>
      <w:r w:rsidR="00B36726">
        <w:t xml:space="preserve"> </w:t>
      </w:r>
      <w:r w:rsidR="00467045">
        <w:t xml:space="preserve"> Rules 64E-6001-.030, relating to onsite sewage treatment and disposal systems, are being reviewed for possible amendments.</w:t>
      </w:r>
    </w:p>
    <w:p w:rsidR="00CA5EE6" w:rsidRDefault="00CA5EE6" w:rsidP="00467045">
      <w:pPr>
        <w:pStyle w:val="BlockText"/>
      </w:pPr>
    </w:p>
    <w:p w:rsidR="00B36726" w:rsidRDefault="00CA5EE6" w:rsidP="00B36726">
      <w:pPr>
        <w:pStyle w:val="BlockText"/>
        <w:numPr>
          <w:ilvl w:val="1"/>
          <w:numId w:val="15"/>
        </w:numPr>
      </w:pPr>
      <w:r>
        <w:t>The following Petitions for Variance or Wavier have been received or disposed of:</w:t>
      </w:r>
      <w:r w:rsidR="001D35CA">
        <w:t xml:space="preserve"> </w:t>
      </w:r>
    </w:p>
    <w:p w:rsidR="00B36726" w:rsidRDefault="00B36726" w:rsidP="00B36726">
      <w:pPr>
        <w:pStyle w:val="BlockText"/>
        <w:ind w:left="1800"/>
      </w:pPr>
    </w:p>
    <w:p w:rsidR="0091203A" w:rsidRDefault="00B36726" w:rsidP="00B36726">
      <w:pPr>
        <w:pStyle w:val="BlockText"/>
        <w:numPr>
          <w:ilvl w:val="2"/>
          <w:numId w:val="15"/>
        </w:numPr>
      </w:pPr>
      <w:r w:rsidRPr="00B36726">
        <w:rPr>
          <w:b/>
        </w:rPr>
        <w:t xml:space="preserve">Bruce Stowe/Roth Global Plastics, Inc. </w:t>
      </w:r>
      <w:r w:rsidR="0091203A" w:rsidRPr="00B36726">
        <w:rPr>
          <w:b/>
        </w:rPr>
        <w:t>–</w:t>
      </w:r>
      <w:r w:rsidR="003B59EA">
        <w:t xml:space="preserve"> </w:t>
      </w:r>
      <w:r w:rsidR="00491E26">
        <w:t xml:space="preserve">Order issued on September 15, 2014, granting a petition for waiver of </w:t>
      </w:r>
      <w:r w:rsidR="0091203A">
        <w:t>Rule 64E-</w:t>
      </w:r>
      <w:r>
        <w:t>6.013(2)(a) regarding receptacle-stiffening members.</w:t>
      </w:r>
    </w:p>
    <w:p w:rsidR="00491E26" w:rsidRDefault="00491E26" w:rsidP="00BE7267"/>
    <w:p w:rsidR="00491E26" w:rsidRDefault="00491E26" w:rsidP="00B36726">
      <w:pPr>
        <w:pStyle w:val="BlockText"/>
        <w:numPr>
          <w:ilvl w:val="2"/>
          <w:numId w:val="15"/>
        </w:numPr>
      </w:pPr>
      <w:r w:rsidRPr="00491E26">
        <w:rPr>
          <w:b/>
        </w:rPr>
        <w:t>Mess Hall, Inc.</w:t>
      </w:r>
      <w:r>
        <w:t xml:space="preserve"> – Petition received on October 27, 2014, requesting a waiver of Rule 64E-11.014(3) regarding serving openings on mobile food units.</w:t>
      </w:r>
    </w:p>
    <w:p w:rsidR="00491E26" w:rsidRDefault="00491E26" w:rsidP="00491E26">
      <w:pPr>
        <w:pStyle w:val="ListParagraph"/>
      </w:pPr>
    </w:p>
    <w:p w:rsidR="00491E26" w:rsidRDefault="00491E26" w:rsidP="00B36726">
      <w:pPr>
        <w:pStyle w:val="BlockText"/>
        <w:numPr>
          <w:ilvl w:val="2"/>
          <w:numId w:val="15"/>
        </w:numPr>
      </w:pPr>
      <w:r w:rsidRPr="00491E26">
        <w:rPr>
          <w:b/>
        </w:rPr>
        <w:t>Brevard County School Board</w:t>
      </w:r>
      <w:r>
        <w:t xml:space="preserve"> – Petition received on October 30, 2014, requesting a waiver of Rule 64E-11.007(5)(a) regarding the location of lavatories within each food preparation area.</w:t>
      </w:r>
    </w:p>
    <w:p w:rsidR="00BE7267" w:rsidRDefault="00BE7267" w:rsidP="00BE7267">
      <w:pPr>
        <w:pStyle w:val="ListParagraph"/>
      </w:pPr>
    </w:p>
    <w:p w:rsidR="00BE7267" w:rsidRDefault="00BE7267" w:rsidP="00BE7267">
      <w:pPr>
        <w:pStyle w:val="BlockText"/>
        <w:numPr>
          <w:ilvl w:val="2"/>
          <w:numId w:val="15"/>
        </w:numPr>
      </w:pPr>
      <w:r>
        <w:rPr>
          <w:b/>
        </w:rPr>
        <w:t>WET Engineering on behalf of U. S. Float Tanks</w:t>
      </w:r>
      <w:r w:rsidRPr="00B36726">
        <w:rPr>
          <w:b/>
        </w:rPr>
        <w:t xml:space="preserve"> –</w:t>
      </w:r>
      <w:r>
        <w:t xml:space="preserve"> Order issued on November 3, 2014, granting with conditions a petition for waiver of Rule 64E-9.004 providing minimum standards for various aspects of pool operations.</w:t>
      </w:r>
    </w:p>
    <w:p w:rsidR="00BE7267" w:rsidRDefault="00BE7267" w:rsidP="00BE7267">
      <w:pPr>
        <w:pStyle w:val="BlockText"/>
      </w:pPr>
    </w:p>
    <w:p w:rsidR="00BE7267" w:rsidRDefault="00BE7267" w:rsidP="00BE7267">
      <w:pPr>
        <w:pStyle w:val="BlockText"/>
        <w:numPr>
          <w:ilvl w:val="2"/>
          <w:numId w:val="15"/>
        </w:numPr>
      </w:pPr>
      <w:r>
        <w:rPr>
          <w:b/>
        </w:rPr>
        <w:t>Francis McMahon/Kellygreen Innovations, LLC</w:t>
      </w:r>
      <w:r w:rsidRPr="00B36726">
        <w:rPr>
          <w:b/>
        </w:rPr>
        <w:t xml:space="preserve"> –</w:t>
      </w:r>
      <w:r>
        <w:t xml:space="preserve"> Order issued on November 5, 2014, denying petition for waiver of Rule 64E-6.009(5)(a)23, regarding use of drip irrigation systems for lack proof of substantial hardship.</w:t>
      </w:r>
      <w:r>
        <w:t>?</w:t>
      </w:r>
    </w:p>
    <w:p w:rsidR="00B36726" w:rsidRPr="0091203A" w:rsidRDefault="00B36726" w:rsidP="00B36726">
      <w:pPr>
        <w:pStyle w:val="BlockText"/>
        <w:ind w:left="2340"/>
      </w:pPr>
    </w:p>
    <w:p w:rsidR="001D35CA" w:rsidRDefault="001D35CA" w:rsidP="001D35CA">
      <w:pPr>
        <w:pStyle w:val="BlockText"/>
      </w:pPr>
      <w:r w:rsidRPr="001D35CA">
        <w:rPr>
          <w:b/>
          <w:u w:val="single"/>
        </w:rPr>
        <w:t>Editor’s Note:</w:t>
      </w:r>
      <w:r>
        <w:t xml:space="preserve"> The 2012 repeal of the Department of Health’s authority for plan review and approval of swimming pools and bathing pools appears to have been REINSTATED effective July 1, 2014 by House Bill 7147, which prohibits </w:t>
      </w:r>
      <w:r w:rsidR="001D2330">
        <w:t>a building department from accepting</w:t>
      </w:r>
      <w:r>
        <w:t xml:space="preserve"> an application for </w:t>
      </w:r>
      <w:r w:rsidR="001D2330">
        <w:t xml:space="preserve">a </w:t>
      </w:r>
      <w:r>
        <w:t xml:space="preserve">permit to construct a “public” pool (such as at a condominium complex) without proof that an application for </w:t>
      </w:r>
      <w:r w:rsidR="001D2330">
        <w:t xml:space="preserve">an </w:t>
      </w:r>
      <w:r>
        <w:t xml:space="preserve">OPERATING permit has been filed with the Department of Health, and prohibits </w:t>
      </w:r>
      <w:r w:rsidR="001D2330">
        <w:t xml:space="preserve">a building department from issuing </w:t>
      </w:r>
      <w:r>
        <w:t>a Certificate of Completion</w:t>
      </w:r>
      <w:r w:rsidR="001D2330">
        <w:t xml:space="preserve"> for a public pool without proof that the DOH has issued the OPERATING permit. This appears to be a compromise that reinstates the role of DOH.</w:t>
      </w:r>
    </w:p>
    <w:p w:rsidR="00756A0C" w:rsidRDefault="00756A0C" w:rsidP="003B59EA"/>
    <w:p w:rsidR="008F58B8" w:rsidRDefault="00DE52F2" w:rsidP="00DE52F2">
      <w:pPr>
        <w:pStyle w:val="BlockText"/>
      </w:pPr>
      <w:r>
        <w:rPr>
          <w:b/>
        </w:rPr>
        <w:t xml:space="preserve">D. Department of </w:t>
      </w:r>
      <w:r w:rsidR="004E142A" w:rsidRPr="00251EB1">
        <w:rPr>
          <w:b/>
        </w:rPr>
        <w:t>Financial Services</w:t>
      </w:r>
      <w:r w:rsidR="004E142A">
        <w:t xml:space="preserve">: </w:t>
      </w:r>
    </w:p>
    <w:p w:rsidR="00436BA2" w:rsidRDefault="00436BA2" w:rsidP="00436BA2">
      <w:pPr>
        <w:pStyle w:val="BlockText"/>
        <w:ind w:left="720"/>
      </w:pPr>
    </w:p>
    <w:p w:rsidR="008F58B8" w:rsidRDefault="00DE52F2" w:rsidP="00781A63">
      <w:pPr>
        <w:pStyle w:val="BlockText"/>
        <w:ind w:firstLine="720"/>
      </w:pPr>
      <w:r>
        <w:t xml:space="preserve">1. </w:t>
      </w:r>
      <w:r w:rsidR="003B59EA">
        <w:t xml:space="preserve"> </w:t>
      </w:r>
      <w:r w:rsidR="00436BA2">
        <w:t>Boiler Safety Act - Chapter 554, F. S., and Chapter 69A-51, F.A.C.</w:t>
      </w:r>
      <w:r w:rsidR="008476AE">
        <w:t>: Nothing to report.</w:t>
      </w:r>
    </w:p>
    <w:p w:rsidR="003B59EA" w:rsidRDefault="003B59EA" w:rsidP="00781A63">
      <w:pPr>
        <w:pStyle w:val="BlockText"/>
        <w:ind w:firstLine="720"/>
      </w:pPr>
    </w:p>
    <w:p w:rsidR="00BE7267" w:rsidRDefault="003C2DE3" w:rsidP="00DD6729">
      <w:pPr>
        <w:pStyle w:val="BlockText"/>
        <w:numPr>
          <w:ilvl w:val="0"/>
          <w:numId w:val="15"/>
        </w:numPr>
      </w:pPr>
      <w:r>
        <w:t>Division of Workers’ Compensation</w:t>
      </w:r>
      <w:r w:rsidR="004E142A">
        <w:t xml:space="preserve"> – Chapter 440 and 6</w:t>
      </w:r>
      <w:r w:rsidR="00BD42D8">
        <w:t>9L FAC:</w:t>
      </w:r>
      <w:r w:rsidR="007D12C5">
        <w:t xml:space="preserve"> </w:t>
      </w:r>
    </w:p>
    <w:p w:rsidR="00BE7267" w:rsidRDefault="00BE7267" w:rsidP="00BE7267">
      <w:pPr>
        <w:pStyle w:val="BlockText"/>
        <w:numPr>
          <w:ilvl w:val="1"/>
          <w:numId w:val="15"/>
        </w:numPr>
      </w:pPr>
      <w:r>
        <w:t>The following rules are proposed for creation or amendment:</w:t>
      </w:r>
    </w:p>
    <w:p w:rsidR="00BE7267" w:rsidRDefault="00BE7267" w:rsidP="00BE7267">
      <w:pPr>
        <w:pStyle w:val="BlockText"/>
        <w:ind w:left="1800"/>
      </w:pPr>
    </w:p>
    <w:p w:rsidR="0001260C" w:rsidRDefault="003B59EA" w:rsidP="00BE7267">
      <w:pPr>
        <w:pStyle w:val="BlockText"/>
        <w:numPr>
          <w:ilvl w:val="2"/>
          <w:numId w:val="15"/>
        </w:numPr>
      </w:pPr>
      <w:r>
        <w:t>Rule 69L-6.012 is proposed for amendmen</w:t>
      </w:r>
      <w:r w:rsidR="00DD6729">
        <w:t>ts relating to the process by w</w:t>
      </w:r>
      <w:r>
        <w:t xml:space="preserve">hich corporate </w:t>
      </w:r>
      <w:r w:rsidR="001D2330">
        <w:t>offices may apply for exemption</w:t>
      </w:r>
      <w:r w:rsidR="00BE7267">
        <w:t>, and has been changed to reflect comments of the Joint Administrative Procedures Committee</w:t>
      </w:r>
      <w:r w:rsidR="001D2330">
        <w:t>.</w:t>
      </w:r>
    </w:p>
    <w:p w:rsidR="00BE7267" w:rsidRDefault="00BE7267" w:rsidP="00BE7267">
      <w:pPr>
        <w:pStyle w:val="BlockText"/>
        <w:ind w:left="2520"/>
      </w:pPr>
    </w:p>
    <w:p w:rsidR="00BE7267" w:rsidRDefault="00BE7267" w:rsidP="00BE7267">
      <w:pPr>
        <w:pStyle w:val="BlockText"/>
        <w:numPr>
          <w:ilvl w:val="2"/>
          <w:numId w:val="15"/>
        </w:numPr>
      </w:pPr>
      <w:r>
        <w:t>Rule 69L-6.026 requiring periodic reports from employers to whom stop work order have been issued is proposed for repeal.</w:t>
      </w:r>
    </w:p>
    <w:p w:rsidR="00BE7267" w:rsidRDefault="00BE7267" w:rsidP="00BE7267">
      <w:pPr>
        <w:pStyle w:val="ListParagraph"/>
      </w:pPr>
    </w:p>
    <w:p w:rsidR="00BE7267" w:rsidRDefault="00BE7267" w:rsidP="00BE7267">
      <w:pPr>
        <w:pStyle w:val="BlockText"/>
        <w:numPr>
          <w:ilvl w:val="2"/>
          <w:numId w:val="15"/>
        </w:numPr>
      </w:pPr>
      <w:r>
        <w:t>Rule 69L-6.029 is proposed for creation to implement recent (2014) statutory changes for increased time to produce business records to the division.</w:t>
      </w:r>
    </w:p>
    <w:p w:rsidR="00BE7267" w:rsidRDefault="00BE7267" w:rsidP="00BE7267">
      <w:pPr>
        <w:pStyle w:val="ListParagraph"/>
      </w:pPr>
    </w:p>
    <w:p w:rsidR="00BE7267" w:rsidRDefault="00BE7267" w:rsidP="00BE7267">
      <w:pPr>
        <w:pStyle w:val="BlockText"/>
        <w:numPr>
          <w:ilvl w:val="2"/>
          <w:numId w:val="15"/>
        </w:numPr>
      </w:pPr>
      <w:r>
        <w:t>Rule 69L-7.501 to incorporate by reference changes to the Compensation Reimbursement Manual for Hospitals, 2014 edition with an effective date of January 1, 2015.</w:t>
      </w:r>
    </w:p>
    <w:p w:rsidR="00BE7267" w:rsidRDefault="00BE7267" w:rsidP="00BE7267">
      <w:pPr>
        <w:pStyle w:val="BlockText"/>
      </w:pPr>
    </w:p>
    <w:p w:rsidR="004E142A" w:rsidRDefault="004E142A" w:rsidP="008F58B8">
      <w:pPr>
        <w:pStyle w:val="BlockText"/>
        <w:ind w:left="1080"/>
      </w:pPr>
      <w:r>
        <w:rPr>
          <w:b/>
          <w:u w:val="single"/>
        </w:rPr>
        <w:t xml:space="preserve">Important </w:t>
      </w:r>
      <w:r w:rsidRPr="00222C12">
        <w:rPr>
          <w:b/>
          <w:u w:val="single"/>
        </w:rPr>
        <w:t>Note:</w:t>
      </w:r>
      <w:r>
        <w:t xml:space="preserve"> You can check compliance with worker’s compensation insurance requirements (coverage or exemptions) by name of company, federal employer ID number, employer policy number, and exemption holder name or exemption holder SS number at </w:t>
      </w:r>
      <w:r w:rsidRPr="00222C12">
        <w:rPr>
          <w:i/>
          <w:u w:val="single"/>
        </w:rPr>
        <w:t>https//:secure.fldfs.com/WCAPPA/Compliance</w:t>
      </w:r>
      <w:r>
        <w:t>.</w:t>
      </w:r>
    </w:p>
    <w:p w:rsidR="0001260C" w:rsidRDefault="0001260C" w:rsidP="008F58B8">
      <w:pPr>
        <w:pStyle w:val="BlockText"/>
        <w:ind w:left="1080"/>
      </w:pPr>
    </w:p>
    <w:p w:rsidR="00876A95" w:rsidRDefault="0001260C" w:rsidP="00876A95">
      <w:pPr>
        <w:pStyle w:val="BlockText"/>
        <w:numPr>
          <w:ilvl w:val="0"/>
          <w:numId w:val="15"/>
        </w:numPr>
      </w:pPr>
      <w:r>
        <w:t xml:space="preserve">Office of State Fire Marshal - Chapter 633, Florida Statutes and Chapter 69A, F.C.A.: </w:t>
      </w:r>
    </w:p>
    <w:p w:rsidR="00876A95" w:rsidRDefault="00876A95" w:rsidP="00876A95">
      <w:pPr>
        <w:pStyle w:val="BlockText"/>
        <w:ind w:left="1080"/>
      </w:pPr>
    </w:p>
    <w:p w:rsidR="00BE7267" w:rsidRDefault="000E282A" w:rsidP="00DF2996">
      <w:pPr>
        <w:pStyle w:val="BlockText"/>
        <w:numPr>
          <w:ilvl w:val="1"/>
          <w:numId w:val="15"/>
        </w:numPr>
      </w:pPr>
      <w:r>
        <w:t>The following rules are being proposed or amended</w:t>
      </w:r>
      <w:r w:rsidR="001D2330">
        <w:t xml:space="preserve"> (if any)</w:t>
      </w:r>
      <w:r>
        <w:t>:</w:t>
      </w:r>
      <w:r w:rsidR="00DF2996">
        <w:t xml:space="preserve"> </w:t>
      </w:r>
    </w:p>
    <w:p w:rsidR="00BE7267" w:rsidRDefault="00BE7267" w:rsidP="00BE7267">
      <w:pPr>
        <w:pStyle w:val="BlockText"/>
        <w:ind w:left="1800"/>
      </w:pPr>
    </w:p>
    <w:p w:rsidR="00FE58DA" w:rsidRDefault="001D2330" w:rsidP="00A6437D">
      <w:pPr>
        <w:pStyle w:val="BlockText"/>
        <w:numPr>
          <w:ilvl w:val="2"/>
          <w:numId w:val="15"/>
        </w:numPr>
      </w:pPr>
      <w:r>
        <w:t>Rule 69A-</w:t>
      </w:r>
      <w:r w:rsidR="00BE7267">
        <w:t>2.023 r</w:t>
      </w:r>
      <w:r w:rsidR="00DF2996">
        <w:t xml:space="preserve">egarding </w:t>
      </w:r>
      <w:r w:rsidR="006531D6">
        <w:t xml:space="preserve">compliance with federal </w:t>
      </w:r>
      <w:r w:rsidR="00DF2996">
        <w:t xml:space="preserve">standards for </w:t>
      </w:r>
      <w:r w:rsidR="006531D6">
        <w:t>explosives is proposed for repeal.</w:t>
      </w:r>
    </w:p>
    <w:p w:rsidR="006531D6" w:rsidRDefault="006531D6" w:rsidP="006531D6">
      <w:pPr>
        <w:pStyle w:val="BlockText"/>
        <w:ind w:left="2520"/>
      </w:pPr>
    </w:p>
    <w:p w:rsidR="006531D6" w:rsidRDefault="006531D6" w:rsidP="00A6437D">
      <w:pPr>
        <w:pStyle w:val="BlockText"/>
        <w:numPr>
          <w:ilvl w:val="2"/>
          <w:numId w:val="15"/>
        </w:numPr>
      </w:pPr>
      <w:r>
        <w:t>Rule 69A-3.012 is proposed for changes to update various NFPA editions.</w:t>
      </w:r>
    </w:p>
    <w:p w:rsidR="006531D6" w:rsidRDefault="006531D6" w:rsidP="006531D6">
      <w:pPr>
        <w:pStyle w:val="ListParagraph"/>
      </w:pPr>
    </w:p>
    <w:p w:rsidR="006531D6" w:rsidRDefault="006531D6" w:rsidP="00A6437D">
      <w:pPr>
        <w:pStyle w:val="BlockText"/>
        <w:numPr>
          <w:ilvl w:val="2"/>
          <w:numId w:val="15"/>
        </w:numPr>
      </w:pPr>
      <w:r>
        <w:t>Rule 69A-37.020 is a proposed NEW rule regarding reports for change of record, and electronic information database system.</w:t>
      </w:r>
    </w:p>
    <w:p w:rsidR="006531D6" w:rsidRDefault="006531D6" w:rsidP="006531D6">
      <w:pPr>
        <w:pStyle w:val="ListParagraph"/>
      </w:pPr>
    </w:p>
    <w:p w:rsidR="006531D6" w:rsidRDefault="006531D6" w:rsidP="00A6437D">
      <w:pPr>
        <w:pStyle w:val="BlockText"/>
        <w:numPr>
          <w:ilvl w:val="2"/>
          <w:numId w:val="15"/>
        </w:numPr>
      </w:pPr>
      <w:r>
        <w:t>Rule 69A-37.039, .059, .064 and .408 are proposed to be amended regarding fire training and certification.</w:t>
      </w:r>
    </w:p>
    <w:p w:rsidR="006531D6" w:rsidRDefault="006531D6" w:rsidP="006531D6">
      <w:pPr>
        <w:pStyle w:val="ListParagraph"/>
      </w:pPr>
    </w:p>
    <w:p w:rsidR="006531D6" w:rsidRDefault="006531D6" w:rsidP="00A6437D">
      <w:pPr>
        <w:pStyle w:val="BlockText"/>
        <w:numPr>
          <w:ilvl w:val="2"/>
          <w:numId w:val="15"/>
        </w:numPr>
      </w:pPr>
      <w:r>
        <w:t>Rule 69A-47.016 and .017 regarding the access to and duplication of elevator keys are proposed for amendment.</w:t>
      </w:r>
    </w:p>
    <w:p w:rsidR="006531D6" w:rsidRDefault="006531D6" w:rsidP="006531D6">
      <w:pPr>
        <w:pStyle w:val="ListParagraph"/>
      </w:pPr>
    </w:p>
    <w:p w:rsidR="006531D6" w:rsidRDefault="006531D6" w:rsidP="00A6437D">
      <w:pPr>
        <w:pStyle w:val="BlockText"/>
        <w:numPr>
          <w:ilvl w:val="2"/>
          <w:numId w:val="15"/>
        </w:numPr>
      </w:pPr>
      <w:r>
        <w:t xml:space="preserve">Rule 69A-62.024 is a proposed NEW rule regarding the standards for construction, repair and maintenance </w:t>
      </w:r>
      <w:r w:rsidR="00640C66">
        <w:t>of firefighter places of employment and fire apparatus.</w:t>
      </w:r>
    </w:p>
    <w:p w:rsidR="006531D6" w:rsidRDefault="006531D6" w:rsidP="006531D6">
      <w:pPr>
        <w:pStyle w:val="BlockText"/>
      </w:pPr>
    </w:p>
    <w:p w:rsidR="006531D6" w:rsidRDefault="006531D6" w:rsidP="006531D6">
      <w:pPr>
        <w:pStyle w:val="BlockText"/>
        <w:ind w:left="2340"/>
      </w:pPr>
    </w:p>
    <w:p w:rsidR="005C76EE" w:rsidRDefault="000E282A" w:rsidP="005C76EE">
      <w:pPr>
        <w:pStyle w:val="BlockText"/>
        <w:numPr>
          <w:ilvl w:val="1"/>
          <w:numId w:val="15"/>
        </w:numPr>
      </w:pPr>
      <w:r>
        <w:t>The following petitions for Declaratory Statement have been received or disposed of</w:t>
      </w:r>
      <w:r w:rsidR="00AE4D48">
        <w:t xml:space="preserve"> (if any)</w:t>
      </w:r>
      <w:r w:rsidR="00640C66">
        <w:t xml:space="preserve"> and petitions for Variance or Waiver</w:t>
      </w:r>
      <w:r>
        <w:t>:</w:t>
      </w:r>
    </w:p>
    <w:p w:rsidR="00640C66" w:rsidRDefault="00640C66" w:rsidP="00640C66">
      <w:pPr>
        <w:pStyle w:val="BlockText"/>
        <w:ind w:left="720"/>
      </w:pPr>
    </w:p>
    <w:p w:rsidR="00640C66" w:rsidRDefault="00640C66" w:rsidP="00640C66">
      <w:pPr>
        <w:pStyle w:val="BlockText"/>
        <w:ind w:left="720"/>
      </w:pPr>
      <w:r w:rsidRPr="00640C66">
        <w:rPr>
          <w:b/>
        </w:rPr>
        <w:t>Editor’s Note:</w:t>
      </w:r>
      <w:r>
        <w:t xml:space="preserve"> There are dozens of such petitions filed each month, primarily seeking interpretation of the Fire Code. Due to the specialized nature of these requests, we have discontinued reporting them; however, if anyone is interested in the department’s interpretation of a particular code section, these statements can be found on the division website. </w:t>
      </w:r>
    </w:p>
    <w:p w:rsidR="00DD6729" w:rsidRDefault="00DD6729" w:rsidP="00997BD1">
      <w:pPr>
        <w:pStyle w:val="BlockText"/>
      </w:pPr>
    </w:p>
    <w:p w:rsidR="00D255AC" w:rsidRPr="00997BD1" w:rsidRDefault="008476AE" w:rsidP="00E028F5">
      <w:pPr>
        <w:pStyle w:val="BlockText"/>
        <w:rPr>
          <w:b/>
          <w:i/>
          <w:u w:val="single"/>
        </w:rPr>
      </w:pPr>
      <w:r w:rsidRPr="003C2DE3">
        <w:rPr>
          <w:b/>
          <w:u w:val="single"/>
        </w:rPr>
        <w:t>Reminder:</w:t>
      </w:r>
      <w:r>
        <w:t xml:space="preserve"> </w:t>
      </w:r>
      <w:r w:rsidR="0001260C">
        <w:t>Rule 69A-60.003, amended ef</w:t>
      </w:r>
      <w:r w:rsidR="00B40FA6">
        <w:t xml:space="preserve">fective May 1, 2013, </w:t>
      </w:r>
      <w:r w:rsidR="00997BD1">
        <w:t>and adopted</w:t>
      </w:r>
      <w:r w:rsidR="00B40FA6">
        <w:t xml:space="preserve"> </w:t>
      </w:r>
      <w:r w:rsidR="0001260C">
        <w:t>NPR 1, the Fire Code, Florida 2009 edition (as amended 3/2013 to add Section 18.4.1.3 to Section 18.4 - Fire Flow Requirements for Buildings).</w:t>
      </w:r>
      <w:r w:rsidR="003C2DE3">
        <w:t xml:space="preserve"> </w:t>
      </w:r>
      <w:r w:rsidR="00997BD1">
        <w:t>S</w:t>
      </w:r>
      <w:r w:rsidR="00757661">
        <w:t>ection 633.0215(6)(b)</w:t>
      </w:r>
      <w:r w:rsidR="00997BD1">
        <w:t>, effective July 1, 2013,</w:t>
      </w:r>
      <w:r w:rsidR="00757661">
        <w:t xml:space="preserve"> EXMEPTS certain structures from application of the Florida Fire Prevention Code.</w:t>
      </w:r>
      <w:r w:rsidR="00997BD1" w:rsidRPr="00997BD1">
        <w:rPr>
          <w:b/>
        </w:rPr>
        <w:t xml:space="preserve"> </w:t>
      </w:r>
    </w:p>
    <w:p w:rsidR="00997BD1" w:rsidRDefault="00997BD1" w:rsidP="00997BD1">
      <w:pPr>
        <w:pStyle w:val="BlockText"/>
        <w:rPr>
          <w:b/>
          <w:i/>
          <w:u w:val="single"/>
        </w:rPr>
      </w:pPr>
    </w:p>
    <w:p w:rsidR="00B22750" w:rsidRDefault="00CF37B7" w:rsidP="005C76EE">
      <w:pPr>
        <w:pStyle w:val="BlockText"/>
      </w:pPr>
      <w:r w:rsidRPr="00CD02EB">
        <w:rPr>
          <w:b/>
          <w:u w:val="single"/>
        </w:rPr>
        <w:t>Legislative Action:</w:t>
      </w:r>
      <w:r w:rsidR="00156092">
        <w:t xml:space="preserve"> </w:t>
      </w:r>
      <w:r w:rsidR="005C76EE">
        <w:t xml:space="preserve"> No bills have yet been filed for consideration during the 2015 regular legislative session; typically, no bills are filed in an election year (even</w:t>
      </w:r>
      <w:r w:rsidR="00E66237">
        <w:t xml:space="preserve"> year</w:t>
      </w:r>
      <w:r w:rsidR="005C76EE">
        <w:t>) prior to the general election (November</w:t>
      </w:r>
      <w:r w:rsidR="00E66237">
        <w:t xml:space="preserve"> 4th</w:t>
      </w:r>
      <w:r w:rsidR="00FE58DA">
        <w:t>), except that Claims Bills had</w:t>
      </w:r>
      <w:r w:rsidR="005C76EE">
        <w:t xml:space="preserve"> a filing deadline in the Senate of August 1, 2014.</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Below are the media and publications posted by your tracked Senators in the past 7 days. You will receive email notifications when media and publications are posted; according to your account preferences.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You are not tracking any Senators. </w:t>
      </w:r>
    </w:p>
    <w:p w:rsidR="00B22750" w:rsidRPr="00B22750" w:rsidRDefault="00B22750" w:rsidP="00B22750">
      <w:pPr>
        <w:spacing w:before="100" w:beforeAutospacing="1" w:after="100" w:afterAutospacing="1"/>
        <w:outlineLvl w:val="2"/>
        <w:rPr>
          <w:rFonts w:eastAsia="Times New Roman" w:cs="Times New Roman"/>
          <w:b/>
          <w:bCs/>
          <w:vanish/>
          <w:sz w:val="27"/>
          <w:szCs w:val="27"/>
        </w:rPr>
      </w:pPr>
      <w:r w:rsidRPr="00B22750">
        <w:rPr>
          <w:rFonts w:eastAsia="Times New Roman" w:cs="Times New Roman"/>
          <w:b/>
          <w:bCs/>
          <w:vanish/>
          <w:sz w:val="27"/>
          <w:szCs w:val="27"/>
        </w:rPr>
        <w:t>Committees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Below are the meeting records and publications posted by your tracked committees for the next or previous 8 days. You will receive email notifications when committee meeting records and publications are posted; according to your account preferences.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You are not tracking any Committees. </w:t>
      </w:r>
    </w:p>
    <w:p w:rsidR="00B22750" w:rsidRPr="00B22750" w:rsidRDefault="00B22750" w:rsidP="00B22750">
      <w:pPr>
        <w:spacing w:before="100" w:beforeAutospacing="1" w:after="100" w:afterAutospacing="1"/>
        <w:outlineLvl w:val="2"/>
        <w:rPr>
          <w:rFonts w:eastAsia="Times New Roman" w:cs="Times New Roman"/>
          <w:b/>
          <w:bCs/>
          <w:vanish/>
          <w:sz w:val="27"/>
          <w:szCs w:val="27"/>
        </w:rPr>
      </w:pPr>
      <w:r w:rsidRPr="00B22750">
        <w:rPr>
          <w:rFonts w:eastAsia="Times New Roman" w:cs="Times New Roman"/>
          <w:b/>
          <w:bCs/>
          <w:vanish/>
          <w:sz w:val="27"/>
          <w:szCs w:val="27"/>
        </w:rPr>
        <w:t>Offices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Below are the media and publications posted by your tracked Offices in the past 7 days. You will receive email notifications when media and publications are posted; according to your account preferences.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You are not tracking any Offices. </w:t>
      </w:r>
    </w:p>
    <w:p w:rsidR="00B22750" w:rsidRPr="00B22750" w:rsidRDefault="00B22750" w:rsidP="00B22750">
      <w:pPr>
        <w:spacing w:before="100" w:beforeAutospacing="1" w:after="100" w:afterAutospacing="1"/>
        <w:outlineLvl w:val="2"/>
        <w:rPr>
          <w:rFonts w:eastAsia="Times New Roman" w:cs="Times New Roman"/>
          <w:b/>
          <w:bCs/>
          <w:vanish/>
          <w:sz w:val="27"/>
          <w:szCs w:val="27"/>
        </w:rPr>
      </w:pPr>
      <w:r w:rsidRPr="00B22750">
        <w:rPr>
          <w:rFonts w:eastAsia="Times New Roman" w:cs="Times New Roman"/>
          <w:b/>
          <w:bCs/>
          <w:vanish/>
          <w:sz w:val="27"/>
          <w:szCs w:val="27"/>
        </w:rPr>
        <w:t>Media</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Below are the media and publications posted in the past 7 days. You will receive email notifications when Press Releases, Publications, and Speeches are posted; according to your account preferences.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You are not tracking any Media. </w:t>
      </w:r>
    </w:p>
    <w:p w:rsidR="002438D2" w:rsidRDefault="002438D2" w:rsidP="008476AE">
      <w:pPr>
        <w:pStyle w:val="BlockText"/>
      </w:pPr>
    </w:p>
    <w:p w:rsidR="00156092" w:rsidRDefault="00156092" w:rsidP="002B78B0">
      <w:pPr>
        <w:pStyle w:val="BlockText"/>
      </w:pPr>
      <w:r>
        <w:t>Respectfully submitted,</w:t>
      </w:r>
    </w:p>
    <w:p w:rsidR="00E8267C" w:rsidRDefault="009F4440" w:rsidP="002B78B0">
      <w:pPr>
        <w:pStyle w:val="BlockText"/>
      </w:pPr>
      <w:r>
        <w:t>Fred R. Dudley, Esq.</w:t>
      </w:r>
    </w:p>
    <w:p w:rsidR="00502614" w:rsidRDefault="00502614" w:rsidP="002B78B0">
      <w:pPr>
        <w:pStyle w:val="BlockText"/>
      </w:pPr>
      <w:r>
        <w:t xml:space="preserve">Seller </w:t>
      </w:r>
      <w:r w:rsidR="00C10E53">
        <w:t xml:space="preserve">E. </w:t>
      </w:r>
      <w:r>
        <w:t>Sellers</w:t>
      </w:r>
      <w:r w:rsidR="001F0D0C">
        <w:t>, Esq.</w:t>
      </w:r>
    </w:p>
    <w:p w:rsidR="00997BD1" w:rsidRDefault="00997BD1" w:rsidP="002B78B0">
      <w:pPr>
        <w:pStyle w:val="BlockText"/>
      </w:pPr>
      <w:r>
        <w:t>Tallahassee, Florida</w:t>
      </w:r>
    </w:p>
    <w:p w:rsidR="00156092" w:rsidRDefault="00E66237" w:rsidP="002B78B0">
      <w:pPr>
        <w:pStyle w:val="BlockText"/>
      </w:pPr>
      <w:r>
        <w:t>November 8</w:t>
      </w:r>
      <w:r w:rsidR="0029168D">
        <w:t>, 2</w:t>
      </w:r>
      <w:r w:rsidR="004B10A3">
        <w:t>014</w:t>
      </w:r>
      <w:r w:rsidR="00156092">
        <w:t>.</w:t>
      </w:r>
    </w:p>
    <w:p w:rsidR="009C6CE8" w:rsidRDefault="009C6CE8" w:rsidP="00922A6D">
      <w:pPr>
        <w:pStyle w:val="BlockText"/>
        <w:ind w:left="360"/>
      </w:pPr>
    </w:p>
    <w:p w:rsidR="005B581D" w:rsidRDefault="005B581D">
      <w:pPr>
        <w:pStyle w:val="BlockText"/>
        <w:ind w:left="360"/>
      </w:pPr>
    </w:p>
    <w:sectPr w:rsidR="005B581D" w:rsidSect="009A10B6">
      <w:footerReference w:type="default" r:id="rId8"/>
      <w:footerReference w:type="first" r:id="rId9"/>
      <w:pgSz w:w="12240" w:h="15840"/>
      <w:pgMar w:top="1152" w:right="1440" w:bottom="14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5DB" w:rsidRDefault="00B405DB" w:rsidP="009A2CBA">
      <w:r>
        <w:separator/>
      </w:r>
    </w:p>
  </w:endnote>
  <w:endnote w:type="continuationSeparator" w:id="0">
    <w:p w:rsidR="00B405DB" w:rsidRDefault="00B405DB" w:rsidP="009A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EE6" w:rsidRPr="00B40FA6" w:rsidRDefault="00CA5EE6" w:rsidP="000421B5">
    <w:pPr>
      <w:pStyle w:val="Footer"/>
      <w:rPr>
        <w:rStyle w:val="DocID"/>
        <w:sz w:val="24"/>
      </w:rPr>
    </w:pPr>
    <w:r>
      <w:tab/>
    </w:r>
    <w:r>
      <w:fldChar w:fldCharType="begin"/>
    </w:r>
    <w:r>
      <w:instrText xml:space="preserve"> PAGE   \* MERGEFORMAT </w:instrText>
    </w:r>
    <w:r>
      <w:fldChar w:fldCharType="separate"/>
    </w:r>
    <w:r w:rsidR="00353AD0">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EE6" w:rsidRPr="00911FE4" w:rsidRDefault="00CA5EE6" w:rsidP="000421B5">
    <w:pPr>
      <w:pStyle w:val="Footer"/>
      <w:rPr>
        <w:rStyle w:val="DocID"/>
      </w:rPr>
    </w:pP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sidR="00353AD0">
      <w:rPr>
        <w:noProof/>
        <w:sz w:val="20"/>
      </w:rPr>
      <w:instrText>9</w:instrText>
    </w:r>
    <w:r>
      <w:rPr>
        <w:sz w:val="20"/>
      </w:rPr>
      <w:fldChar w:fldCharType="end"/>
    </w:r>
    <w:r>
      <w:rPr>
        <w:sz w:val="20"/>
      </w:rPr>
      <w:instrText xml:space="preserve"> = 1 </w:instrText>
    </w:r>
    <w:r w:rsidRPr="002438D2">
      <w:rPr>
        <w:rStyle w:val="DocID"/>
      </w:rPr>
      <w:instrText>#12612613_v1</w:instrText>
    </w:r>
    <w:r>
      <w:instrText xml:space="preserve"> ""</w:instrText>
    </w:r>
    <w:r>
      <w:rPr>
        <w:sz w:val="20"/>
      </w:rPr>
      <w:instrText xml:space="preserve"> </w:instrTex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5DB" w:rsidRDefault="00B405DB" w:rsidP="009A2CBA">
      <w:r>
        <w:separator/>
      </w:r>
    </w:p>
  </w:footnote>
  <w:footnote w:type="continuationSeparator" w:id="0">
    <w:p w:rsidR="00B405DB" w:rsidRDefault="00B405DB" w:rsidP="009A2CBA">
      <w:r>
        <w:continuationSeparator/>
      </w:r>
    </w:p>
  </w:footnote>
  <w:footnote w:id="1">
    <w:p w:rsidR="00CA5EE6" w:rsidRPr="0038047E" w:rsidRDefault="00CA5EE6" w:rsidP="00491907">
      <w:pPr>
        <w:pStyle w:val="BlockText"/>
      </w:pPr>
      <w:r>
        <w:rPr>
          <w:rStyle w:val="FootnoteReference"/>
        </w:rPr>
        <w:footnoteRef/>
      </w:r>
      <w:r>
        <w:t xml:space="preserve"> The Florida Building Commission is </w:t>
      </w:r>
      <w:r w:rsidRPr="00F054FC">
        <w:rPr>
          <w:b/>
          <w:u w:val="single"/>
        </w:rPr>
        <w:t>not</w:t>
      </w:r>
      <w:r>
        <w:t xml:space="preserve"> allowed to grant variances or waivers from the Florida Building Code, expect as to ha</w:t>
      </w:r>
      <w:r w:rsidR="00E3126D">
        <w:t>ndicapped accessibility issues.</w:t>
      </w:r>
    </w:p>
    <w:p w:rsidR="00CA5EE6" w:rsidRDefault="00CA5EE6" w:rsidP="004E142A">
      <w:pPr>
        <w:pStyle w:val="BlockText"/>
      </w:pPr>
    </w:p>
    <w:p w:rsidR="00CA5EE6" w:rsidRDefault="00CA5EE6" w:rsidP="004E142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4BF4149"/>
    <w:multiLevelType w:val="hybridMultilevel"/>
    <w:tmpl w:val="EDDA834A"/>
    <w:lvl w:ilvl="0" w:tplc="4CF4B33A">
      <w:start w:val="1"/>
      <w:numFmt w:val="lowerLetter"/>
      <w:lvlText w:val="%1."/>
      <w:lvlJc w:val="left"/>
      <w:pPr>
        <w:ind w:left="1710" w:hanging="360"/>
      </w:pPr>
      <w:rPr>
        <w:rFonts w:ascii="Times New Roman" w:eastAsiaTheme="minorEastAsia" w:hAnsi="Times New Roman" w:cstheme="minorBidi"/>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CE3F3E"/>
    <w:multiLevelType w:val="hybridMultilevel"/>
    <w:tmpl w:val="6000528C"/>
    <w:lvl w:ilvl="0" w:tplc="0B066A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B702DC"/>
    <w:multiLevelType w:val="hybridMultilevel"/>
    <w:tmpl w:val="4A9E11EA"/>
    <w:lvl w:ilvl="0" w:tplc="3CA63BF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564140"/>
    <w:multiLevelType w:val="hybridMultilevel"/>
    <w:tmpl w:val="A43ADF78"/>
    <w:lvl w:ilvl="0" w:tplc="A6D83F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50E0A57"/>
    <w:multiLevelType w:val="hybridMultilevel"/>
    <w:tmpl w:val="398AB888"/>
    <w:lvl w:ilvl="0" w:tplc="7E4CA2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71380066">
      <w:start w:val="1"/>
      <w:numFmt w:val="decimal"/>
      <w:lvlText w:val="%4."/>
      <w:lvlJc w:val="left"/>
      <w:pPr>
        <w:ind w:left="3240" w:hanging="360"/>
      </w:pPr>
      <w:rPr>
        <w:rFonts w:ascii="Times New Roman" w:eastAsiaTheme="minorEastAsia" w:hAnsi="Times New Roman" w:cstheme="minorBidi"/>
      </w:rPr>
    </w:lvl>
    <w:lvl w:ilvl="4" w:tplc="32263AEA">
      <w:start w:val="1"/>
      <w:numFmt w:val="upperLetter"/>
      <w:lvlText w:val="%5."/>
      <w:lvlJc w:val="left"/>
      <w:pPr>
        <w:ind w:left="3960" w:hanging="360"/>
      </w:pPr>
      <w:rPr>
        <w:rFonts w:hint="default"/>
      </w:rPr>
    </w:lvl>
    <w:lvl w:ilvl="5" w:tplc="87729F82">
      <w:start w:val="1"/>
      <w:numFmt w:val="decimal"/>
      <w:lvlText w:val="%6"/>
      <w:lvlJc w:val="left"/>
      <w:pPr>
        <w:ind w:left="4860" w:hanging="360"/>
      </w:pPr>
      <w:rPr>
        <w:rFonts w:hint="default"/>
        <w:u w:val="single"/>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08162AD"/>
    <w:multiLevelType w:val="hybridMultilevel"/>
    <w:tmpl w:val="63F055DC"/>
    <w:lvl w:ilvl="0" w:tplc="717AC844">
      <w:start w:val="9"/>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2">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CDE24A6"/>
    <w:multiLevelType w:val="hybridMultilevel"/>
    <w:tmpl w:val="7F6E23CC"/>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5">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3"/>
  </w:num>
  <w:num w:numId="4">
    <w:abstractNumId w:val="15"/>
  </w:num>
  <w:num w:numId="5">
    <w:abstractNumId w:val="12"/>
  </w:num>
  <w:num w:numId="6">
    <w:abstractNumId w:val="16"/>
  </w:num>
  <w:num w:numId="7">
    <w:abstractNumId w:val="5"/>
  </w:num>
  <w:num w:numId="8">
    <w:abstractNumId w:val="7"/>
  </w:num>
  <w:num w:numId="9">
    <w:abstractNumId w:val="3"/>
  </w:num>
  <w:num w:numId="10">
    <w:abstractNumId w:val="1"/>
  </w:num>
  <w:num w:numId="11">
    <w:abstractNumId w:val="10"/>
  </w:num>
  <w:num w:numId="12">
    <w:abstractNumId w:val="4"/>
  </w:num>
  <w:num w:numId="13">
    <w:abstractNumId w:val="11"/>
  </w:num>
  <w:num w:numId="14">
    <w:abstractNumId w:val="6"/>
  </w:num>
  <w:num w:numId="15">
    <w:abstractNumId w:val="8"/>
  </w:num>
  <w:num w:numId="16">
    <w:abstractNumId w:val="9"/>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gacyDocIDRemoved" w:val="True"/>
  </w:docVars>
  <w:rsids>
    <w:rsidRoot w:val="00D8155F"/>
    <w:rsid w:val="00003119"/>
    <w:rsid w:val="000031A8"/>
    <w:rsid w:val="00011776"/>
    <w:rsid w:val="0001260C"/>
    <w:rsid w:val="00013164"/>
    <w:rsid w:val="00016A29"/>
    <w:rsid w:val="00026394"/>
    <w:rsid w:val="00026C6B"/>
    <w:rsid w:val="00027FC3"/>
    <w:rsid w:val="000302BC"/>
    <w:rsid w:val="000324B5"/>
    <w:rsid w:val="000340FB"/>
    <w:rsid w:val="000341ED"/>
    <w:rsid w:val="000421B5"/>
    <w:rsid w:val="0005012E"/>
    <w:rsid w:val="000509E7"/>
    <w:rsid w:val="00052694"/>
    <w:rsid w:val="00054D0D"/>
    <w:rsid w:val="0005515D"/>
    <w:rsid w:val="00055700"/>
    <w:rsid w:val="00061C8E"/>
    <w:rsid w:val="00065B23"/>
    <w:rsid w:val="00066D23"/>
    <w:rsid w:val="00071707"/>
    <w:rsid w:val="00074EDF"/>
    <w:rsid w:val="0008109E"/>
    <w:rsid w:val="00084298"/>
    <w:rsid w:val="00094361"/>
    <w:rsid w:val="00094EBD"/>
    <w:rsid w:val="000A3246"/>
    <w:rsid w:val="000A4BA4"/>
    <w:rsid w:val="000A66AC"/>
    <w:rsid w:val="000B0D3F"/>
    <w:rsid w:val="000B0E17"/>
    <w:rsid w:val="000B1DDB"/>
    <w:rsid w:val="000B1E71"/>
    <w:rsid w:val="000B2203"/>
    <w:rsid w:val="000B76DD"/>
    <w:rsid w:val="000C4772"/>
    <w:rsid w:val="000C4BC7"/>
    <w:rsid w:val="000D08E7"/>
    <w:rsid w:val="000D2555"/>
    <w:rsid w:val="000D4C0F"/>
    <w:rsid w:val="000D7A4E"/>
    <w:rsid w:val="000E17E8"/>
    <w:rsid w:val="000E282A"/>
    <w:rsid w:val="000E6D1A"/>
    <w:rsid w:val="000F112D"/>
    <w:rsid w:val="000F2EBD"/>
    <w:rsid w:val="000F6911"/>
    <w:rsid w:val="000F69D8"/>
    <w:rsid w:val="00100E22"/>
    <w:rsid w:val="00103A3B"/>
    <w:rsid w:val="00103CDF"/>
    <w:rsid w:val="0010433D"/>
    <w:rsid w:val="00107362"/>
    <w:rsid w:val="00110D3B"/>
    <w:rsid w:val="001114F7"/>
    <w:rsid w:val="001148B5"/>
    <w:rsid w:val="001150F0"/>
    <w:rsid w:val="001156AF"/>
    <w:rsid w:val="00117224"/>
    <w:rsid w:val="00117544"/>
    <w:rsid w:val="00121A5A"/>
    <w:rsid w:val="00126ABD"/>
    <w:rsid w:val="0013367A"/>
    <w:rsid w:val="00135B1C"/>
    <w:rsid w:val="001437FC"/>
    <w:rsid w:val="00146E4E"/>
    <w:rsid w:val="001476D7"/>
    <w:rsid w:val="00151063"/>
    <w:rsid w:val="00151720"/>
    <w:rsid w:val="00151F43"/>
    <w:rsid w:val="00156092"/>
    <w:rsid w:val="001572A8"/>
    <w:rsid w:val="00162E5A"/>
    <w:rsid w:val="001649EE"/>
    <w:rsid w:val="00165F0B"/>
    <w:rsid w:val="001673C5"/>
    <w:rsid w:val="0017187B"/>
    <w:rsid w:val="00172C04"/>
    <w:rsid w:val="00175923"/>
    <w:rsid w:val="001768AB"/>
    <w:rsid w:val="00177AA7"/>
    <w:rsid w:val="00183D27"/>
    <w:rsid w:val="0019065B"/>
    <w:rsid w:val="001963BC"/>
    <w:rsid w:val="001B0E80"/>
    <w:rsid w:val="001B11FD"/>
    <w:rsid w:val="001B4226"/>
    <w:rsid w:val="001B5A99"/>
    <w:rsid w:val="001B5DD4"/>
    <w:rsid w:val="001B6195"/>
    <w:rsid w:val="001B73F6"/>
    <w:rsid w:val="001D0121"/>
    <w:rsid w:val="001D1B70"/>
    <w:rsid w:val="001D2330"/>
    <w:rsid w:val="001D25D1"/>
    <w:rsid w:val="001D35CA"/>
    <w:rsid w:val="001D50A8"/>
    <w:rsid w:val="001E327E"/>
    <w:rsid w:val="001E3281"/>
    <w:rsid w:val="001F01B4"/>
    <w:rsid w:val="001F0D0C"/>
    <w:rsid w:val="001F18CD"/>
    <w:rsid w:val="001F7DB9"/>
    <w:rsid w:val="00200951"/>
    <w:rsid w:val="002031ED"/>
    <w:rsid w:val="00210263"/>
    <w:rsid w:val="00217DA2"/>
    <w:rsid w:val="00217EBB"/>
    <w:rsid w:val="00221926"/>
    <w:rsid w:val="00221AAE"/>
    <w:rsid w:val="00222C12"/>
    <w:rsid w:val="002236E8"/>
    <w:rsid w:val="0022445A"/>
    <w:rsid w:val="00227443"/>
    <w:rsid w:val="002321A5"/>
    <w:rsid w:val="002348A5"/>
    <w:rsid w:val="002363CA"/>
    <w:rsid w:val="00236A0B"/>
    <w:rsid w:val="00236AB0"/>
    <w:rsid w:val="00237AEC"/>
    <w:rsid w:val="002438D2"/>
    <w:rsid w:val="00243FF8"/>
    <w:rsid w:val="00246D22"/>
    <w:rsid w:val="00251EB1"/>
    <w:rsid w:val="00252DC4"/>
    <w:rsid w:val="002558FB"/>
    <w:rsid w:val="00262A25"/>
    <w:rsid w:val="002630F7"/>
    <w:rsid w:val="00273404"/>
    <w:rsid w:val="00274276"/>
    <w:rsid w:val="002857BE"/>
    <w:rsid w:val="00286558"/>
    <w:rsid w:val="00286B40"/>
    <w:rsid w:val="00286B5F"/>
    <w:rsid w:val="00290B6F"/>
    <w:rsid w:val="0029168D"/>
    <w:rsid w:val="00292E15"/>
    <w:rsid w:val="00293452"/>
    <w:rsid w:val="002935A9"/>
    <w:rsid w:val="00294F80"/>
    <w:rsid w:val="002A4DD8"/>
    <w:rsid w:val="002A5595"/>
    <w:rsid w:val="002A7577"/>
    <w:rsid w:val="002A777F"/>
    <w:rsid w:val="002B09F1"/>
    <w:rsid w:val="002B0DFC"/>
    <w:rsid w:val="002B35C5"/>
    <w:rsid w:val="002B3E98"/>
    <w:rsid w:val="002B78B0"/>
    <w:rsid w:val="002C3294"/>
    <w:rsid w:val="002C378F"/>
    <w:rsid w:val="002C5E1D"/>
    <w:rsid w:val="002D1599"/>
    <w:rsid w:val="002D366C"/>
    <w:rsid w:val="002D4362"/>
    <w:rsid w:val="002E2A6D"/>
    <w:rsid w:val="002E2F5E"/>
    <w:rsid w:val="002F015B"/>
    <w:rsid w:val="002F16B3"/>
    <w:rsid w:val="002F2016"/>
    <w:rsid w:val="002F61E3"/>
    <w:rsid w:val="00305D83"/>
    <w:rsid w:val="00305FDE"/>
    <w:rsid w:val="00311BC1"/>
    <w:rsid w:val="00312FA2"/>
    <w:rsid w:val="003134D3"/>
    <w:rsid w:val="0031487D"/>
    <w:rsid w:val="003154E8"/>
    <w:rsid w:val="00317330"/>
    <w:rsid w:val="00321E89"/>
    <w:rsid w:val="003239B0"/>
    <w:rsid w:val="0032598E"/>
    <w:rsid w:val="00325FC1"/>
    <w:rsid w:val="003319A7"/>
    <w:rsid w:val="00332825"/>
    <w:rsid w:val="003376F7"/>
    <w:rsid w:val="00340637"/>
    <w:rsid w:val="00340740"/>
    <w:rsid w:val="00340B4E"/>
    <w:rsid w:val="00342B6A"/>
    <w:rsid w:val="00342DB6"/>
    <w:rsid w:val="00345235"/>
    <w:rsid w:val="0034626F"/>
    <w:rsid w:val="003473F4"/>
    <w:rsid w:val="003508EE"/>
    <w:rsid w:val="00353AD0"/>
    <w:rsid w:val="003563EF"/>
    <w:rsid w:val="00356433"/>
    <w:rsid w:val="00361628"/>
    <w:rsid w:val="0036439B"/>
    <w:rsid w:val="00364771"/>
    <w:rsid w:val="003747B5"/>
    <w:rsid w:val="00376DA1"/>
    <w:rsid w:val="0038047E"/>
    <w:rsid w:val="00383EFB"/>
    <w:rsid w:val="00384141"/>
    <w:rsid w:val="00385904"/>
    <w:rsid w:val="003A0148"/>
    <w:rsid w:val="003A1E91"/>
    <w:rsid w:val="003A33A5"/>
    <w:rsid w:val="003A4FB0"/>
    <w:rsid w:val="003A7CB2"/>
    <w:rsid w:val="003B59EA"/>
    <w:rsid w:val="003B5B30"/>
    <w:rsid w:val="003C09F0"/>
    <w:rsid w:val="003C265E"/>
    <w:rsid w:val="003C2DE3"/>
    <w:rsid w:val="003C40E8"/>
    <w:rsid w:val="003C4C6F"/>
    <w:rsid w:val="003C50CC"/>
    <w:rsid w:val="003D1D42"/>
    <w:rsid w:val="003D34DF"/>
    <w:rsid w:val="003D6EAC"/>
    <w:rsid w:val="003D7308"/>
    <w:rsid w:val="003E09D4"/>
    <w:rsid w:val="003E13A7"/>
    <w:rsid w:val="003E3843"/>
    <w:rsid w:val="003E6AD8"/>
    <w:rsid w:val="003E6F51"/>
    <w:rsid w:val="003F395F"/>
    <w:rsid w:val="003F4811"/>
    <w:rsid w:val="003F5F1A"/>
    <w:rsid w:val="00401A5C"/>
    <w:rsid w:val="00413E91"/>
    <w:rsid w:val="00414D9E"/>
    <w:rsid w:val="00416C25"/>
    <w:rsid w:val="00416CC9"/>
    <w:rsid w:val="004200FB"/>
    <w:rsid w:val="004204AE"/>
    <w:rsid w:val="00421A4C"/>
    <w:rsid w:val="00425FE8"/>
    <w:rsid w:val="00427E2F"/>
    <w:rsid w:val="00436BA2"/>
    <w:rsid w:val="004406AC"/>
    <w:rsid w:val="00441CD1"/>
    <w:rsid w:val="00452CC3"/>
    <w:rsid w:val="00454846"/>
    <w:rsid w:val="0045543B"/>
    <w:rsid w:val="0046192D"/>
    <w:rsid w:val="0046330C"/>
    <w:rsid w:val="004634BE"/>
    <w:rsid w:val="00465432"/>
    <w:rsid w:val="00467045"/>
    <w:rsid w:val="0047003F"/>
    <w:rsid w:val="0047163D"/>
    <w:rsid w:val="00474D96"/>
    <w:rsid w:val="00480712"/>
    <w:rsid w:val="00484142"/>
    <w:rsid w:val="00484B9C"/>
    <w:rsid w:val="00491907"/>
    <w:rsid w:val="00491948"/>
    <w:rsid w:val="00491E26"/>
    <w:rsid w:val="00492027"/>
    <w:rsid w:val="004A0671"/>
    <w:rsid w:val="004A451E"/>
    <w:rsid w:val="004A5613"/>
    <w:rsid w:val="004A582F"/>
    <w:rsid w:val="004A5DD2"/>
    <w:rsid w:val="004A6E9B"/>
    <w:rsid w:val="004B10A3"/>
    <w:rsid w:val="004B196B"/>
    <w:rsid w:val="004C458B"/>
    <w:rsid w:val="004C5780"/>
    <w:rsid w:val="004C63D8"/>
    <w:rsid w:val="004C7846"/>
    <w:rsid w:val="004E1249"/>
    <w:rsid w:val="004E142A"/>
    <w:rsid w:val="004E2A5D"/>
    <w:rsid w:val="004E35D0"/>
    <w:rsid w:val="004E61C2"/>
    <w:rsid w:val="004E7067"/>
    <w:rsid w:val="004F030C"/>
    <w:rsid w:val="004F3D87"/>
    <w:rsid w:val="00500503"/>
    <w:rsid w:val="00502614"/>
    <w:rsid w:val="00504537"/>
    <w:rsid w:val="005063F3"/>
    <w:rsid w:val="0051221A"/>
    <w:rsid w:val="00512724"/>
    <w:rsid w:val="00512A9F"/>
    <w:rsid w:val="00520F5E"/>
    <w:rsid w:val="005237C4"/>
    <w:rsid w:val="0052387A"/>
    <w:rsid w:val="0052642A"/>
    <w:rsid w:val="00530892"/>
    <w:rsid w:val="00530CD6"/>
    <w:rsid w:val="00535353"/>
    <w:rsid w:val="00535A2B"/>
    <w:rsid w:val="0053686B"/>
    <w:rsid w:val="00537681"/>
    <w:rsid w:val="00540398"/>
    <w:rsid w:val="005463F4"/>
    <w:rsid w:val="00553CBE"/>
    <w:rsid w:val="00555FBF"/>
    <w:rsid w:val="005665C2"/>
    <w:rsid w:val="00571120"/>
    <w:rsid w:val="00576B27"/>
    <w:rsid w:val="00592B85"/>
    <w:rsid w:val="0059572F"/>
    <w:rsid w:val="005A1AAC"/>
    <w:rsid w:val="005A61CC"/>
    <w:rsid w:val="005A74C3"/>
    <w:rsid w:val="005B212C"/>
    <w:rsid w:val="005B2CCD"/>
    <w:rsid w:val="005B558F"/>
    <w:rsid w:val="005B581D"/>
    <w:rsid w:val="005C08FA"/>
    <w:rsid w:val="005C40F9"/>
    <w:rsid w:val="005C5CFC"/>
    <w:rsid w:val="005C76EE"/>
    <w:rsid w:val="005D217B"/>
    <w:rsid w:val="005D446B"/>
    <w:rsid w:val="005D5F3E"/>
    <w:rsid w:val="005D71D8"/>
    <w:rsid w:val="005E4539"/>
    <w:rsid w:val="005E73B8"/>
    <w:rsid w:val="005F17D4"/>
    <w:rsid w:val="005F1FB3"/>
    <w:rsid w:val="005F2E38"/>
    <w:rsid w:val="005F4A79"/>
    <w:rsid w:val="005F705E"/>
    <w:rsid w:val="005F770C"/>
    <w:rsid w:val="00600D46"/>
    <w:rsid w:val="00604806"/>
    <w:rsid w:val="0060730E"/>
    <w:rsid w:val="00614279"/>
    <w:rsid w:val="00620CC5"/>
    <w:rsid w:val="006221E1"/>
    <w:rsid w:val="0063019F"/>
    <w:rsid w:val="0063517A"/>
    <w:rsid w:val="00640C66"/>
    <w:rsid w:val="0064116F"/>
    <w:rsid w:val="0064458E"/>
    <w:rsid w:val="00644BDC"/>
    <w:rsid w:val="0064574F"/>
    <w:rsid w:val="006465C5"/>
    <w:rsid w:val="006531D6"/>
    <w:rsid w:val="00654846"/>
    <w:rsid w:val="006577D7"/>
    <w:rsid w:val="00657E5B"/>
    <w:rsid w:val="00660F73"/>
    <w:rsid w:val="0066317C"/>
    <w:rsid w:val="006639C7"/>
    <w:rsid w:val="00667D54"/>
    <w:rsid w:val="00675E10"/>
    <w:rsid w:val="00685808"/>
    <w:rsid w:val="00691E1A"/>
    <w:rsid w:val="00695A6D"/>
    <w:rsid w:val="00697F28"/>
    <w:rsid w:val="006A3547"/>
    <w:rsid w:val="006A3A6B"/>
    <w:rsid w:val="006A3B11"/>
    <w:rsid w:val="006A4458"/>
    <w:rsid w:val="006A50BC"/>
    <w:rsid w:val="006B1D63"/>
    <w:rsid w:val="006B60DD"/>
    <w:rsid w:val="006C5A7D"/>
    <w:rsid w:val="006C704A"/>
    <w:rsid w:val="006D3AD0"/>
    <w:rsid w:val="006D7744"/>
    <w:rsid w:val="006E3B26"/>
    <w:rsid w:val="006E5368"/>
    <w:rsid w:val="006E5C27"/>
    <w:rsid w:val="006E6103"/>
    <w:rsid w:val="006F336C"/>
    <w:rsid w:val="006F4CE9"/>
    <w:rsid w:val="00700924"/>
    <w:rsid w:val="007011CC"/>
    <w:rsid w:val="007017B0"/>
    <w:rsid w:val="0070218E"/>
    <w:rsid w:val="007065A1"/>
    <w:rsid w:val="007135EE"/>
    <w:rsid w:val="007150E1"/>
    <w:rsid w:val="00720A29"/>
    <w:rsid w:val="00722B80"/>
    <w:rsid w:val="00722DD1"/>
    <w:rsid w:val="0074468A"/>
    <w:rsid w:val="00756A0C"/>
    <w:rsid w:val="00757661"/>
    <w:rsid w:val="00760E2D"/>
    <w:rsid w:val="00774A2B"/>
    <w:rsid w:val="007755F6"/>
    <w:rsid w:val="00780CCE"/>
    <w:rsid w:val="00781A63"/>
    <w:rsid w:val="00783765"/>
    <w:rsid w:val="007862BD"/>
    <w:rsid w:val="007870BA"/>
    <w:rsid w:val="007902F3"/>
    <w:rsid w:val="00790ED1"/>
    <w:rsid w:val="00793514"/>
    <w:rsid w:val="00795394"/>
    <w:rsid w:val="00795F45"/>
    <w:rsid w:val="00797252"/>
    <w:rsid w:val="007977D0"/>
    <w:rsid w:val="007A0040"/>
    <w:rsid w:val="007A040E"/>
    <w:rsid w:val="007A2C34"/>
    <w:rsid w:val="007A7335"/>
    <w:rsid w:val="007B455D"/>
    <w:rsid w:val="007C06B0"/>
    <w:rsid w:val="007C3596"/>
    <w:rsid w:val="007C479E"/>
    <w:rsid w:val="007C534A"/>
    <w:rsid w:val="007C689D"/>
    <w:rsid w:val="007D12C5"/>
    <w:rsid w:val="007D14A8"/>
    <w:rsid w:val="007E128E"/>
    <w:rsid w:val="007E2299"/>
    <w:rsid w:val="007E4176"/>
    <w:rsid w:val="007F16BD"/>
    <w:rsid w:val="007F2F12"/>
    <w:rsid w:val="007F63B9"/>
    <w:rsid w:val="007F6E51"/>
    <w:rsid w:val="00801B02"/>
    <w:rsid w:val="00804A8E"/>
    <w:rsid w:val="00806AA8"/>
    <w:rsid w:val="00812FF0"/>
    <w:rsid w:val="00815043"/>
    <w:rsid w:val="008157CF"/>
    <w:rsid w:val="00820D75"/>
    <w:rsid w:val="00821688"/>
    <w:rsid w:val="008219AB"/>
    <w:rsid w:val="0082467E"/>
    <w:rsid w:val="008271F6"/>
    <w:rsid w:val="00832281"/>
    <w:rsid w:val="00832A42"/>
    <w:rsid w:val="0083319A"/>
    <w:rsid w:val="00833649"/>
    <w:rsid w:val="0084009D"/>
    <w:rsid w:val="008476AE"/>
    <w:rsid w:val="008513F5"/>
    <w:rsid w:val="0086294F"/>
    <w:rsid w:val="008642DB"/>
    <w:rsid w:val="00864F61"/>
    <w:rsid w:val="008667F9"/>
    <w:rsid w:val="008714D7"/>
    <w:rsid w:val="00875906"/>
    <w:rsid w:val="00876A95"/>
    <w:rsid w:val="00883771"/>
    <w:rsid w:val="0088673E"/>
    <w:rsid w:val="00886D9E"/>
    <w:rsid w:val="0089089A"/>
    <w:rsid w:val="00894D34"/>
    <w:rsid w:val="008A4467"/>
    <w:rsid w:val="008A7FFE"/>
    <w:rsid w:val="008B06DE"/>
    <w:rsid w:val="008B10F9"/>
    <w:rsid w:val="008B64BE"/>
    <w:rsid w:val="008B6B8E"/>
    <w:rsid w:val="008B6F95"/>
    <w:rsid w:val="008C0D2B"/>
    <w:rsid w:val="008C23E6"/>
    <w:rsid w:val="008C44B6"/>
    <w:rsid w:val="008C4CD7"/>
    <w:rsid w:val="008C57F6"/>
    <w:rsid w:val="008C6567"/>
    <w:rsid w:val="008D5528"/>
    <w:rsid w:val="008D7EAD"/>
    <w:rsid w:val="008E212F"/>
    <w:rsid w:val="008E5BE5"/>
    <w:rsid w:val="008F051F"/>
    <w:rsid w:val="008F17A7"/>
    <w:rsid w:val="008F58B8"/>
    <w:rsid w:val="008F6B36"/>
    <w:rsid w:val="009008DD"/>
    <w:rsid w:val="009024B4"/>
    <w:rsid w:val="0090334E"/>
    <w:rsid w:val="009037AF"/>
    <w:rsid w:val="0090427C"/>
    <w:rsid w:val="00910237"/>
    <w:rsid w:val="0091203A"/>
    <w:rsid w:val="00912B18"/>
    <w:rsid w:val="00913DE9"/>
    <w:rsid w:val="00915698"/>
    <w:rsid w:val="00920535"/>
    <w:rsid w:val="00922A6D"/>
    <w:rsid w:val="009242EA"/>
    <w:rsid w:val="00925171"/>
    <w:rsid w:val="0092555A"/>
    <w:rsid w:val="009255C2"/>
    <w:rsid w:val="00925E5C"/>
    <w:rsid w:val="00927A0D"/>
    <w:rsid w:val="00927EF0"/>
    <w:rsid w:val="0093251D"/>
    <w:rsid w:val="00933C83"/>
    <w:rsid w:val="009351FC"/>
    <w:rsid w:val="00936542"/>
    <w:rsid w:val="009376EA"/>
    <w:rsid w:val="00937943"/>
    <w:rsid w:val="00940447"/>
    <w:rsid w:val="009408A6"/>
    <w:rsid w:val="00941C32"/>
    <w:rsid w:val="00944330"/>
    <w:rsid w:val="0094446C"/>
    <w:rsid w:val="0094577A"/>
    <w:rsid w:val="009459C3"/>
    <w:rsid w:val="0095190E"/>
    <w:rsid w:val="00952158"/>
    <w:rsid w:val="00952ED0"/>
    <w:rsid w:val="009615F7"/>
    <w:rsid w:val="0096439D"/>
    <w:rsid w:val="00965188"/>
    <w:rsid w:val="009679F7"/>
    <w:rsid w:val="00972224"/>
    <w:rsid w:val="0098369B"/>
    <w:rsid w:val="00990086"/>
    <w:rsid w:val="009939EF"/>
    <w:rsid w:val="00994DC4"/>
    <w:rsid w:val="00995739"/>
    <w:rsid w:val="00997BD1"/>
    <w:rsid w:val="009A1012"/>
    <w:rsid w:val="009A10B6"/>
    <w:rsid w:val="009A2CBA"/>
    <w:rsid w:val="009B2454"/>
    <w:rsid w:val="009B472E"/>
    <w:rsid w:val="009B53D8"/>
    <w:rsid w:val="009B7504"/>
    <w:rsid w:val="009C4A92"/>
    <w:rsid w:val="009C6254"/>
    <w:rsid w:val="009C6CE8"/>
    <w:rsid w:val="009C6F42"/>
    <w:rsid w:val="009D4AA9"/>
    <w:rsid w:val="009D71A1"/>
    <w:rsid w:val="009E1F25"/>
    <w:rsid w:val="009E2A70"/>
    <w:rsid w:val="009E489B"/>
    <w:rsid w:val="009F3168"/>
    <w:rsid w:val="009F3454"/>
    <w:rsid w:val="009F4440"/>
    <w:rsid w:val="009F7BC1"/>
    <w:rsid w:val="00A0246B"/>
    <w:rsid w:val="00A03908"/>
    <w:rsid w:val="00A04CE4"/>
    <w:rsid w:val="00A05724"/>
    <w:rsid w:val="00A11C23"/>
    <w:rsid w:val="00A17D94"/>
    <w:rsid w:val="00A2092B"/>
    <w:rsid w:val="00A23BA0"/>
    <w:rsid w:val="00A24F93"/>
    <w:rsid w:val="00A25028"/>
    <w:rsid w:val="00A314FA"/>
    <w:rsid w:val="00A3799B"/>
    <w:rsid w:val="00A413D5"/>
    <w:rsid w:val="00A47BAD"/>
    <w:rsid w:val="00A47D5F"/>
    <w:rsid w:val="00A52844"/>
    <w:rsid w:val="00A52BEC"/>
    <w:rsid w:val="00A57777"/>
    <w:rsid w:val="00A57E0F"/>
    <w:rsid w:val="00A65C42"/>
    <w:rsid w:val="00A82F6F"/>
    <w:rsid w:val="00A862A4"/>
    <w:rsid w:val="00A903BC"/>
    <w:rsid w:val="00A92BA2"/>
    <w:rsid w:val="00A9360E"/>
    <w:rsid w:val="00A973D9"/>
    <w:rsid w:val="00AA1C3B"/>
    <w:rsid w:val="00AA1DC4"/>
    <w:rsid w:val="00AA20DC"/>
    <w:rsid w:val="00AA2435"/>
    <w:rsid w:val="00AA49B9"/>
    <w:rsid w:val="00AB392A"/>
    <w:rsid w:val="00AB6124"/>
    <w:rsid w:val="00AB759F"/>
    <w:rsid w:val="00AB7A77"/>
    <w:rsid w:val="00AC25D8"/>
    <w:rsid w:val="00AC4FD0"/>
    <w:rsid w:val="00AC560D"/>
    <w:rsid w:val="00AD19E4"/>
    <w:rsid w:val="00AD319B"/>
    <w:rsid w:val="00AD3673"/>
    <w:rsid w:val="00AD4A48"/>
    <w:rsid w:val="00AE082C"/>
    <w:rsid w:val="00AE0C03"/>
    <w:rsid w:val="00AE36D0"/>
    <w:rsid w:val="00AE40E2"/>
    <w:rsid w:val="00AE4928"/>
    <w:rsid w:val="00AE4CE1"/>
    <w:rsid w:val="00AE4D48"/>
    <w:rsid w:val="00AF0CA4"/>
    <w:rsid w:val="00AF4CC5"/>
    <w:rsid w:val="00B02CB3"/>
    <w:rsid w:val="00B04E9C"/>
    <w:rsid w:val="00B0622F"/>
    <w:rsid w:val="00B102F7"/>
    <w:rsid w:val="00B11BE8"/>
    <w:rsid w:val="00B1354A"/>
    <w:rsid w:val="00B14506"/>
    <w:rsid w:val="00B22750"/>
    <w:rsid w:val="00B228D4"/>
    <w:rsid w:val="00B231A5"/>
    <w:rsid w:val="00B26EF6"/>
    <w:rsid w:val="00B33726"/>
    <w:rsid w:val="00B34CB8"/>
    <w:rsid w:val="00B36726"/>
    <w:rsid w:val="00B36BD2"/>
    <w:rsid w:val="00B405DB"/>
    <w:rsid w:val="00B40CCF"/>
    <w:rsid w:val="00B40FA6"/>
    <w:rsid w:val="00B43413"/>
    <w:rsid w:val="00B442F3"/>
    <w:rsid w:val="00B51F07"/>
    <w:rsid w:val="00B52A30"/>
    <w:rsid w:val="00B55AA9"/>
    <w:rsid w:val="00B576FB"/>
    <w:rsid w:val="00B605B3"/>
    <w:rsid w:val="00B6409D"/>
    <w:rsid w:val="00B65A78"/>
    <w:rsid w:val="00B665B0"/>
    <w:rsid w:val="00B70EED"/>
    <w:rsid w:val="00B7209C"/>
    <w:rsid w:val="00B73DBD"/>
    <w:rsid w:val="00B754FE"/>
    <w:rsid w:val="00B75D21"/>
    <w:rsid w:val="00B82AFD"/>
    <w:rsid w:val="00B82F44"/>
    <w:rsid w:val="00B854DA"/>
    <w:rsid w:val="00B901A9"/>
    <w:rsid w:val="00B92C29"/>
    <w:rsid w:val="00B94BF6"/>
    <w:rsid w:val="00B94EB0"/>
    <w:rsid w:val="00BA2CBC"/>
    <w:rsid w:val="00BA5910"/>
    <w:rsid w:val="00BA7E0B"/>
    <w:rsid w:val="00BB3CE8"/>
    <w:rsid w:val="00BB43FD"/>
    <w:rsid w:val="00BC3E94"/>
    <w:rsid w:val="00BC3ED9"/>
    <w:rsid w:val="00BC4B4F"/>
    <w:rsid w:val="00BC5032"/>
    <w:rsid w:val="00BC59CC"/>
    <w:rsid w:val="00BD0579"/>
    <w:rsid w:val="00BD1D69"/>
    <w:rsid w:val="00BD42D8"/>
    <w:rsid w:val="00BD45AE"/>
    <w:rsid w:val="00BE7267"/>
    <w:rsid w:val="00BE7523"/>
    <w:rsid w:val="00BE7E71"/>
    <w:rsid w:val="00BF06EC"/>
    <w:rsid w:val="00BF09D3"/>
    <w:rsid w:val="00BF5744"/>
    <w:rsid w:val="00BF5A88"/>
    <w:rsid w:val="00C00519"/>
    <w:rsid w:val="00C014A9"/>
    <w:rsid w:val="00C02420"/>
    <w:rsid w:val="00C04971"/>
    <w:rsid w:val="00C0615F"/>
    <w:rsid w:val="00C10CCD"/>
    <w:rsid w:val="00C10E53"/>
    <w:rsid w:val="00C10FB4"/>
    <w:rsid w:val="00C15A97"/>
    <w:rsid w:val="00C16757"/>
    <w:rsid w:val="00C17A11"/>
    <w:rsid w:val="00C20A49"/>
    <w:rsid w:val="00C22965"/>
    <w:rsid w:val="00C25BD9"/>
    <w:rsid w:val="00C41104"/>
    <w:rsid w:val="00C41134"/>
    <w:rsid w:val="00C42CAD"/>
    <w:rsid w:val="00C4400E"/>
    <w:rsid w:val="00C44575"/>
    <w:rsid w:val="00C45435"/>
    <w:rsid w:val="00C46B9E"/>
    <w:rsid w:val="00C5163E"/>
    <w:rsid w:val="00C527C3"/>
    <w:rsid w:val="00C552DE"/>
    <w:rsid w:val="00C55BAE"/>
    <w:rsid w:val="00C609C2"/>
    <w:rsid w:val="00C60ABB"/>
    <w:rsid w:val="00C613B0"/>
    <w:rsid w:val="00C666BD"/>
    <w:rsid w:val="00C71560"/>
    <w:rsid w:val="00C80F74"/>
    <w:rsid w:val="00C84E54"/>
    <w:rsid w:val="00C8621F"/>
    <w:rsid w:val="00C906E0"/>
    <w:rsid w:val="00C959A0"/>
    <w:rsid w:val="00CA1872"/>
    <w:rsid w:val="00CA1D5A"/>
    <w:rsid w:val="00CA5910"/>
    <w:rsid w:val="00CA5EE6"/>
    <w:rsid w:val="00CA6A88"/>
    <w:rsid w:val="00CB0D76"/>
    <w:rsid w:val="00CB169A"/>
    <w:rsid w:val="00CB18D5"/>
    <w:rsid w:val="00CB393B"/>
    <w:rsid w:val="00CD02EB"/>
    <w:rsid w:val="00CD6E9F"/>
    <w:rsid w:val="00CF0F17"/>
    <w:rsid w:val="00CF2384"/>
    <w:rsid w:val="00CF2A48"/>
    <w:rsid w:val="00CF2DBD"/>
    <w:rsid w:val="00CF37B7"/>
    <w:rsid w:val="00CF7C33"/>
    <w:rsid w:val="00D025A9"/>
    <w:rsid w:val="00D11596"/>
    <w:rsid w:val="00D15049"/>
    <w:rsid w:val="00D17EF8"/>
    <w:rsid w:val="00D255AC"/>
    <w:rsid w:val="00D318BB"/>
    <w:rsid w:val="00D31E05"/>
    <w:rsid w:val="00D35E4B"/>
    <w:rsid w:val="00D4023D"/>
    <w:rsid w:val="00D42313"/>
    <w:rsid w:val="00D45220"/>
    <w:rsid w:val="00D45FC8"/>
    <w:rsid w:val="00D500CC"/>
    <w:rsid w:val="00D51EF8"/>
    <w:rsid w:val="00D532DF"/>
    <w:rsid w:val="00D550EA"/>
    <w:rsid w:val="00D5683A"/>
    <w:rsid w:val="00D6075F"/>
    <w:rsid w:val="00D64A8A"/>
    <w:rsid w:val="00D64ACA"/>
    <w:rsid w:val="00D65EE5"/>
    <w:rsid w:val="00D6635B"/>
    <w:rsid w:val="00D72E5C"/>
    <w:rsid w:val="00D74A8F"/>
    <w:rsid w:val="00D76989"/>
    <w:rsid w:val="00D8155F"/>
    <w:rsid w:val="00D83830"/>
    <w:rsid w:val="00D8408A"/>
    <w:rsid w:val="00D85984"/>
    <w:rsid w:val="00D8641A"/>
    <w:rsid w:val="00D92897"/>
    <w:rsid w:val="00D9374F"/>
    <w:rsid w:val="00D96664"/>
    <w:rsid w:val="00D9771C"/>
    <w:rsid w:val="00D97BF8"/>
    <w:rsid w:val="00DA0331"/>
    <w:rsid w:val="00DA30E3"/>
    <w:rsid w:val="00DA399C"/>
    <w:rsid w:val="00DA43F1"/>
    <w:rsid w:val="00DA5E85"/>
    <w:rsid w:val="00DB01F6"/>
    <w:rsid w:val="00DB1B72"/>
    <w:rsid w:val="00DD18B8"/>
    <w:rsid w:val="00DD3ECB"/>
    <w:rsid w:val="00DD4201"/>
    <w:rsid w:val="00DD5BF9"/>
    <w:rsid w:val="00DD6729"/>
    <w:rsid w:val="00DD760C"/>
    <w:rsid w:val="00DE0FB7"/>
    <w:rsid w:val="00DE3DD6"/>
    <w:rsid w:val="00DE4100"/>
    <w:rsid w:val="00DE517B"/>
    <w:rsid w:val="00DE52F2"/>
    <w:rsid w:val="00DE5A5D"/>
    <w:rsid w:val="00DF072F"/>
    <w:rsid w:val="00DF0B84"/>
    <w:rsid w:val="00DF1ACD"/>
    <w:rsid w:val="00DF255F"/>
    <w:rsid w:val="00DF2996"/>
    <w:rsid w:val="00DF4C21"/>
    <w:rsid w:val="00E028F5"/>
    <w:rsid w:val="00E07E81"/>
    <w:rsid w:val="00E10E84"/>
    <w:rsid w:val="00E1125C"/>
    <w:rsid w:val="00E16D83"/>
    <w:rsid w:val="00E17AA2"/>
    <w:rsid w:val="00E253BD"/>
    <w:rsid w:val="00E267AB"/>
    <w:rsid w:val="00E27BF3"/>
    <w:rsid w:val="00E30C2C"/>
    <w:rsid w:val="00E311DC"/>
    <w:rsid w:val="00E3126D"/>
    <w:rsid w:val="00E31752"/>
    <w:rsid w:val="00E3534A"/>
    <w:rsid w:val="00E4082C"/>
    <w:rsid w:val="00E4444A"/>
    <w:rsid w:val="00E44DA1"/>
    <w:rsid w:val="00E46C87"/>
    <w:rsid w:val="00E576B4"/>
    <w:rsid w:val="00E62413"/>
    <w:rsid w:val="00E64091"/>
    <w:rsid w:val="00E66237"/>
    <w:rsid w:val="00E66470"/>
    <w:rsid w:val="00E67C64"/>
    <w:rsid w:val="00E71BDF"/>
    <w:rsid w:val="00E8267C"/>
    <w:rsid w:val="00E86BD7"/>
    <w:rsid w:val="00E901CE"/>
    <w:rsid w:val="00E93A85"/>
    <w:rsid w:val="00E95DE1"/>
    <w:rsid w:val="00E97E26"/>
    <w:rsid w:val="00EA0931"/>
    <w:rsid w:val="00EA1306"/>
    <w:rsid w:val="00EA1B72"/>
    <w:rsid w:val="00EA3A1A"/>
    <w:rsid w:val="00EA49A8"/>
    <w:rsid w:val="00EA4F51"/>
    <w:rsid w:val="00EB0314"/>
    <w:rsid w:val="00EB087C"/>
    <w:rsid w:val="00EB2DD7"/>
    <w:rsid w:val="00EB56F6"/>
    <w:rsid w:val="00EB61E2"/>
    <w:rsid w:val="00EC0471"/>
    <w:rsid w:val="00EC3C0E"/>
    <w:rsid w:val="00EC539A"/>
    <w:rsid w:val="00ED39C3"/>
    <w:rsid w:val="00ED66FE"/>
    <w:rsid w:val="00ED68AB"/>
    <w:rsid w:val="00EE3D44"/>
    <w:rsid w:val="00EE41E2"/>
    <w:rsid w:val="00EF1906"/>
    <w:rsid w:val="00EF1953"/>
    <w:rsid w:val="00EF2D9E"/>
    <w:rsid w:val="00EF30B1"/>
    <w:rsid w:val="00EF3BC8"/>
    <w:rsid w:val="00EF7F7D"/>
    <w:rsid w:val="00F003DC"/>
    <w:rsid w:val="00F00476"/>
    <w:rsid w:val="00F012AB"/>
    <w:rsid w:val="00F023FE"/>
    <w:rsid w:val="00F054FC"/>
    <w:rsid w:val="00F06E3E"/>
    <w:rsid w:val="00F07308"/>
    <w:rsid w:val="00F0773C"/>
    <w:rsid w:val="00F10ABD"/>
    <w:rsid w:val="00F10E90"/>
    <w:rsid w:val="00F1558B"/>
    <w:rsid w:val="00F15B84"/>
    <w:rsid w:val="00F16CBD"/>
    <w:rsid w:val="00F17078"/>
    <w:rsid w:val="00F21394"/>
    <w:rsid w:val="00F3234E"/>
    <w:rsid w:val="00F33F66"/>
    <w:rsid w:val="00F372CE"/>
    <w:rsid w:val="00F419B2"/>
    <w:rsid w:val="00F4233A"/>
    <w:rsid w:val="00F42B22"/>
    <w:rsid w:val="00F43272"/>
    <w:rsid w:val="00F45EBD"/>
    <w:rsid w:val="00F50B67"/>
    <w:rsid w:val="00F52831"/>
    <w:rsid w:val="00F53B73"/>
    <w:rsid w:val="00F53D3E"/>
    <w:rsid w:val="00F56C3E"/>
    <w:rsid w:val="00F60C95"/>
    <w:rsid w:val="00F61714"/>
    <w:rsid w:val="00F6434D"/>
    <w:rsid w:val="00F7015E"/>
    <w:rsid w:val="00F7297C"/>
    <w:rsid w:val="00F73B56"/>
    <w:rsid w:val="00F777FA"/>
    <w:rsid w:val="00F77D99"/>
    <w:rsid w:val="00F820A6"/>
    <w:rsid w:val="00F828AE"/>
    <w:rsid w:val="00F83282"/>
    <w:rsid w:val="00F8540B"/>
    <w:rsid w:val="00F85ED6"/>
    <w:rsid w:val="00F91098"/>
    <w:rsid w:val="00F917FF"/>
    <w:rsid w:val="00F9398C"/>
    <w:rsid w:val="00F9535D"/>
    <w:rsid w:val="00F97BF7"/>
    <w:rsid w:val="00FA0D68"/>
    <w:rsid w:val="00FA2710"/>
    <w:rsid w:val="00FA5090"/>
    <w:rsid w:val="00FA7229"/>
    <w:rsid w:val="00FA7F61"/>
    <w:rsid w:val="00FB554A"/>
    <w:rsid w:val="00FB588A"/>
    <w:rsid w:val="00FC0694"/>
    <w:rsid w:val="00FC470A"/>
    <w:rsid w:val="00FC6F29"/>
    <w:rsid w:val="00FD1341"/>
    <w:rsid w:val="00FD2F47"/>
    <w:rsid w:val="00FE363C"/>
    <w:rsid w:val="00FE3AE2"/>
    <w:rsid w:val="00FE58DA"/>
    <w:rsid w:val="00FF1E9C"/>
    <w:rsid w:val="00FF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semiHidden/>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semiHidden/>
    <w:rsid w:val="009A2CBA"/>
    <w:rPr>
      <w:rFonts w:eastAsiaTheme="majorEastAsia" w:cstheme="majorBidi"/>
      <w:b/>
      <w:bCs/>
      <w:szCs w:val="26"/>
    </w:rPr>
  </w:style>
  <w:style w:type="character" w:customStyle="1" w:styleId="Heading3Char">
    <w:name w:val="Heading 3 Char"/>
    <w:basedOn w:val="DefaultParagraphFont"/>
    <w:link w:val="Heading3"/>
    <w:uiPriority w:val="9"/>
    <w:semiHidden/>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semiHidden/>
    <w:unhideWhenUsed/>
    <w:rsid w:val="009A2CBA"/>
    <w:pPr>
      <w:tabs>
        <w:tab w:val="center" w:pos="4680"/>
        <w:tab w:val="right" w:pos="9360"/>
      </w:tabs>
    </w:pPr>
  </w:style>
  <w:style w:type="character" w:customStyle="1" w:styleId="HeaderChar">
    <w:name w:val="Header Char"/>
    <w:basedOn w:val="DefaultParagraphFont"/>
    <w:link w:val="Header"/>
    <w:uiPriority w:val="99"/>
    <w:semiHidden/>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8"/>
      </w:numPr>
      <w:spacing w:after="240"/>
    </w:pPr>
  </w:style>
  <w:style w:type="paragraph" w:customStyle="1" w:styleId="ListalphaB0">
    <w:name w:val="List alpha B"/>
    <w:basedOn w:val="Normal"/>
    <w:rsid w:val="00D45220"/>
    <w:pPr>
      <w:numPr>
        <w:numId w:val="3"/>
      </w:numPr>
      <w:spacing w:after="240"/>
    </w:pPr>
    <w:rPr>
      <w:rFonts w:eastAsia="Times New Roman" w:cs="Times New Roman"/>
    </w:rPr>
  </w:style>
  <w:style w:type="paragraph" w:customStyle="1" w:styleId="Listalpha">
    <w:name w:val="List alpha"/>
    <w:basedOn w:val="Normal"/>
    <w:rsid w:val="00D45220"/>
    <w:pPr>
      <w:numPr>
        <w:numId w:val="4"/>
      </w:numPr>
      <w:spacing w:after="240"/>
    </w:pPr>
    <w:rPr>
      <w:rFonts w:eastAsia="Times New Roman" w:cs="Times New Roman"/>
    </w:rPr>
  </w:style>
  <w:style w:type="paragraph" w:customStyle="1" w:styleId="ListALPHAB">
    <w:name w:val="List ALPHA B"/>
    <w:basedOn w:val="Normal"/>
    <w:rsid w:val="00D45220"/>
    <w:pPr>
      <w:numPr>
        <w:numId w:val="5"/>
      </w:numPr>
      <w:spacing w:after="240"/>
      <w:jc w:val="both"/>
      <w:outlineLvl w:val="0"/>
    </w:pPr>
    <w:rPr>
      <w:rFonts w:eastAsia="Times New Roman" w:cs="Times New Roman"/>
    </w:rPr>
  </w:style>
  <w:style w:type="paragraph" w:customStyle="1" w:styleId="ListALPHA0">
    <w:name w:val="List ALPHA"/>
    <w:basedOn w:val="Normal"/>
    <w:rsid w:val="00D45220"/>
    <w:pPr>
      <w:numPr>
        <w:numId w:val="6"/>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2"/>
      </w:numPr>
      <w:spacing w:line="480" w:lineRule="auto"/>
      <w:contextualSpacing/>
    </w:pPr>
  </w:style>
  <w:style w:type="paragraph" w:customStyle="1" w:styleId="ListNumberB">
    <w:name w:val="List Number B"/>
    <w:basedOn w:val="Normal"/>
    <w:qFormat/>
    <w:rsid w:val="00614279"/>
    <w:pPr>
      <w:numPr>
        <w:numId w:val="7"/>
      </w:numPr>
      <w:spacing w:after="240"/>
    </w:pPr>
  </w:style>
  <w:style w:type="paragraph" w:styleId="ListBullet">
    <w:name w:val="List Bullet"/>
    <w:basedOn w:val="Normal"/>
    <w:rsid w:val="000A4BA4"/>
    <w:pPr>
      <w:numPr>
        <w:numId w:val="9"/>
      </w:numPr>
      <w:contextualSpacing/>
    </w:pPr>
  </w:style>
  <w:style w:type="paragraph" w:styleId="ListBullet2">
    <w:name w:val="List Bullet 2"/>
    <w:basedOn w:val="Normal"/>
    <w:rsid w:val="000A4BA4"/>
    <w:pPr>
      <w:numPr>
        <w:numId w:val="10"/>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rsid w:val="001D25D1"/>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sid w:val="001D25D1"/>
    <w:rPr>
      <w:rFonts w:eastAsia="Times New Roman" w:cs="Times New Roman"/>
    </w:rPr>
  </w:style>
  <w:style w:type="paragraph" w:customStyle="1" w:styleId="sponsored-event-content">
    <w:name w:val="sponsored-event-content"/>
    <w:basedOn w:val="Normal"/>
    <w:rsid w:val="001D25D1"/>
    <w:rPr>
      <w:rFonts w:eastAsia="Times New Roman" w:cs="Times New Roman"/>
      <w:vanish/>
    </w:rPr>
  </w:style>
  <w:style w:type="paragraph" w:customStyle="1" w:styleId="sponsored-event-click">
    <w:name w:val="sponsored-event-click"/>
    <w:basedOn w:val="Normal"/>
    <w:rsid w:val="001D25D1"/>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rsid w:val="001D25D1"/>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rsid w:val="001D25D1"/>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 w:type="paragraph" w:customStyle="1" w:styleId="Header3">
    <w:name w:val="Header3"/>
    <w:basedOn w:val="Normal"/>
    <w:rsid w:val="008B64BE"/>
    <w:pPr>
      <w:shd w:val="clear" w:color="auto" w:fill="003366"/>
      <w:spacing w:before="100" w:beforeAutospacing="1" w:after="100" w:afterAutospacing="1"/>
    </w:pPr>
    <w:rPr>
      <w:rFonts w:eastAsia="Times New Roman" w:cs="Times New Roman"/>
    </w:rPr>
  </w:style>
  <w:style w:type="paragraph" w:customStyle="1" w:styleId="jquery-button">
    <w:name w:val="jquery-button"/>
    <w:basedOn w:val="Normal"/>
    <w:rsid w:val="00C02420"/>
    <w:pPr>
      <w:spacing w:before="100" w:beforeAutospacing="1" w:after="100" w:afterAutospacing="1"/>
    </w:pPr>
    <w:rPr>
      <w:rFonts w:eastAsia="Times New Roman" w:cs="Times New Roman"/>
      <w:color w:val="000000"/>
      <w:sz w:val="20"/>
      <w:szCs w:val="20"/>
    </w:rPr>
  </w:style>
  <w:style w:type="paragraph" w:customStyle="1" w:styleId="billflag">
    <w:name w:val="bill_flag"/>
    <w:basedOn w:val="Normal"/>
    <w:rsid w:val="00C02420"/>
    <w:pPr>
      <w:ind w:left="50" w:right="50"/>
      <w:textAlignment w:val="top"/>
    </w:pPr>
    <w:rPr>
      <w:rFonts w:eastAsia="Times New Roman" w:cs="Times New Roman"/>
    </w:rPr>
  </w:style>
  <w:style w:type="paragraph" w:customStyle="1" w:styleId="tooltip">
    <w:name w:val="tooltip"/>
    <w:basedOn w:val="Normal"/>
    <w:rsid w:val="007C479E"/>
    <w:pPr>
      <w:pBdr>
        <w:top w:val="single" w:sz="4" w:space="1" w:color="EEEEEE"/>
        <w:left w:val="single" w:sz="4" w:space="10" w:color="EEEEEE"/>
        <w:bottom w:val="single" w:sz="4" w:space="1" w:color="EEEEEE"/>
        <w:right w:val="single" w:sz="4" w:space="3" w:color="EEEEEE"/>
      </w:pBdr>
      <w:shd w:val="clear" w:color="auto" w:fill="FFFFFF"/>
      <w:spacing w:before="100" w:beforeAutospacing="1" w:after="100" w:afterAutospacing="1"/>
    </w:pPr>
    <w:rPr>
      <w:rFonts w:eastAsia="Times New Roman" w:cs="Times New Roman"/>
    </w:rPr>
  </w:style>
  <w:style w:type="paragraph" w:customStyle="1" w:styleId="small-tooltip">
    <w:name w:val="small-tooltip"/>
    <w:basedOn w:val="Normal"/>
    <w:rsid w:val="007C479E"/>
    <w:pPr>
      <w:spacing w:before="100" w:beforeAutospacing="1" w:after="100" w:afterAutospacing="1"/>
    </w:pPr>
    <w:rPr>
      <w:rFonts w:eastAsia="Times New Roman" w:cs="Times New Roman"/>
      <w:sz w:val="12"/>
      <w:szCs w:val="12"/>
    </w:rPr>
  </w:style>
  <w:style w:type="paragraph" w:customStyle="1" w:styleId="large-tooltip">
    <w:name w:val="large-tooltip"/>
    <w:basedOn w:val="Normal"/>
    <w:rsid w:val="007C479E"/>
    <w:pPr>
      <w:spacing w:before="100" w:beforeAutospacing="1" w:after="100" w:afterAutospacing="1"/>
    </w:pPr>
    <w:rPr>
      <w:rFonts w:eastAsia="Times New Roman" w:cs="Times New Roman"/>
      <w:b/>
      <w:bCs/>
      <w:sz w:val="13"/>
      <w:szCs w:val="13"/>
    </w:rPr>
  </w:style>
  <w:style w:type="paragraph" w:customStyle="1" w:styleId="more-items">
    <w:name w:val="more-items"/>
    <w:basedOn w:val="Normal"/>
    <w:rsid w:val="007C479E"/>
    <w:pPr>
      <w:spacing w:before="100" w:beforeAutospacing="1" w:after="200"/>
      <w:jc w:val="right"/>
    </w:pPr>
    <w:rPr>
      <w:rFonts w:eastAsia="Times New Roman" w:cs="Times New Roman"/>
      <w:b/>
      <w:bCs/>
    </w:rPr>
  </w:style>
  <w:style w:type="paragraph" w:customStyle="1" w:styleId="button-link">
    <w:name w:val="button-link"/>
    <w:basedOn w:val="Normal"/>
    <w:rsid w:val="007C479E"/>
    <w:pPr>
      <w:pBdr>
        <w:top w:val="single" w:sz="4" w:space="5" w:color="999999"/>
        <w:left w:val="single" w:sz="4" w:space="8" w:color="999999"/>
        <w:bottom w:val="single" w:sz="4" w:space="5" w:color="999999"/>
        <w:right w:val="single" w:sz="4" w:space="8" w:color="999999"/>
      </w:pBdr>
      <w:shd w:val="clear" w:color="auto" w:fill="CCCCCC"/>
      <w:spacing w:before="100" w:beforeAutospacing="1" w:after="100" w:afterAutospacing="1"/>
    </w:pPr>
    <w:rPr>
      <w:rFonts w:eastAsia="Times New Roman" w:cs="Times New Roman"/>
      <w:color w:val="000000"/>
    </w:rPr>
  </w:style>
  <w:style w:type="character" w:customStyle="1" w:styleId="text">
    <w:name w:val="text"/>
    <w:basedOn w:val="DefaultParagraphFont"/>
    <w:rsid w:val="00436BA2"/>
  </w:style>
  <w:style w:type="paragraph" w:styleId="z-TopofForm">
    <w:name w:val="HTML Top of Form"/>
    <w:basedOn w:val="Normal"/>
    <w:next w:val="Normal"/>
    <w:link w:val="z-TopofFormChar"/>
    <w:hidden/>
    <w:uiPriority w:val="99"/>
    <w:semiHidden/>
    <w:unhideWhenUsed/>
    <w:rsid w:val="0091569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15698"/>
    <w:rPr>
      <w:rFonts w:ascii="Arial" w:eastAsia="Times New Roman" w:hAnsi="Arial" w:cs="Arial"/>
      <w:vanish/>
      <w:sz w:val="16"/>
      <w:szCs w:val="16"/>
    </w:rPr>
  </w:style>
  <w:style w:type="character" w:customStyle="1" w:styleId="tiny1">
    <w:name w:val="tiny1"/>
    <w:basedOn w:val="DefaultParagraphFont"/>
    <w:rsid w:val="00915698"/>
    <w:rPr>
      <w:rFonts w:ascii="Arial" w:hAnsi="Arial" w:cs="Arial" w:hint="default"/>
      <w:sz w:val="10"/>
      <w:szCs w:val="10"/>
    </w:rPr>
  </w:style>
  <w:style w:type="paragraph" w:styleId="z-BottomofForm">
    <w:name w:val="HTML Bottom of Form"/>
    <w:basedOn w:val="Normal"/>
    <w:next w:val="Normal"/>
    <w:link w:val="z-BottomofFormChar"/>
    <w:hidden/>
    <w:uiPriority w:val="99"/>
    <w:semiHidden/>
    <w:unhideWhenUsed/>
    <w:rsid w:val="0091569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15698"/>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15698"/>
    <w:rPr>
      <w:rFonts w:ascii="Tahoma" w:hAnsi="Tahoma" w:cs="Tahoma"/>
      <w:sz w:val="16"/>
      <w:szCs w:val="16"/>
    </w:rPr>
  </w:style>
  <w:style w:type="character" w:customStyle="1" w:styleId="BalloonTextChar">
    <w:name w:val="Balloon Text Char"/>
    <w:basedOn w:val="DefaultParagraphFont"/>
    <w:link w:val="BalloonText"/>
    <w:uiPriority w:val="99"/>
    <w:semiHidden/>
    <w:rsid w:val="00915698"/>
    <w:rPr>
      <w:rFonts w:ascii="Tahoma" w:hAnsi="Tahoma" w:cs="Tahoma"/>
      <w:sz w:val="16"/>
      <w:szCs w:val="16"/>
    </w:rPr>
  </w:style>
  <w:style w:type="paragraph" w:customStyle="1" w:styleId="Default">
    <w:name w:val="Default"/>
    <w:rsid w:val="00E46C87"/>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071707"/>
    <w:rPr>
      <w:sz w:val="16"/>
      <w:szCs w:val="16"/>
    </w:rPr>
  </w:style>
  <w:style w:type="paragraph" w:styleId="CommentText">
    <w:name w:val="annotation text"/>
    <w:basedOn w:val="Normal"/>
    <w:link w:val="CommentTextChar"/>
    <w:uiPriority w:val="99"/>
    <w:semiHidden/>
    <w:unhideWhenUsed/>
    <w:rsid w:val="00071707"/>
    <w:rPr>
      <w:sz w:val="20"/>
      <w:szCs w:val="20"/>
    </w:rPr>
  </w:style>
  <w:style w:type="character" w:customStyle="1" w:styleId="CommentTextChar">
    <w:name w:val="Comment Text Char"/>
    <w:basedOn w:val="DefaultParagraphFont"/>
    <w:link w:val="CommentText"/>
    <w:uiPriority w:val="99"/>
    <w:semiHidden/>
    <w:rsid w:val="00071707"/>
    <w:rPr>
      <w:sz w:val="20"/>
      <w:szCs w:val="20"/>
    </w:rPr>
  </w:style>
  <w:style w:type="paragraph" w:styleId="CommentSubject">
    <w:name w:val="annotation subject"/>
    <w:basedOn w:val="CommentText"/>
    <w:next w:val="CommentText"/>
    <w:link w:val="CommentSubjectChar"/>
    <w:uiPriority w:val="99"/>
    <w:semiHidden/>
    <w:unhideWhenUsed/>
    <w:rsid w:val="00071707"/>
    <w:rPr>
      <w:b/>
      <w:bCs/>
    </w:rPr>
  </w:style>
  <w:style w:type="character" w:customStyle="1" w:styleId="CommentSubjectChar">
    <w:name w:val="Comment Subject Char"/>
    <w:basedOn w:val="CommentTextChar"/>
    <w:link w:val="CommentSubject"/>
    <w:uiPriority w:val="99"/>
    <w:semiHidden/>
    <w:rsid w:val="000717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403259763">
      <w:bodyDiv w:val="1"/>
      <w:marLeft w:val="0"/>
      <w:marRight w:val="0"/>
      <w:marTop w:val="0"/>
      <w:marBottom w:val="0"/>
      <w:divBdr>
        <w:top w:val="none" w:sz="0" w:space="0" w:color="auto"/>
        <w:left w:val="none" w:sz="0" w:space="0" w:color="auto"/>
        <w:bottom w:val="none" w:sz="0" w:space="0" w:color="auto"/>
        <w:right w:val="none" w:sz="0" w:space="0" w:color="auto"/>
      </w:divBdr>
      <w:divsChild>
        <w:div w:id="1736007620">
          <w:marLeft w:val="0"/>
          <w:marRight w:val="0"/>
          <w:marTop w:val="0"/>
          <w:marBottom w:val="0"/>
          <w:divBdr>
            <w:top w:val="none" w:sz="0" w:space="0" w:color="auto"/>
            <w:left w:val="none" w:sz="0" w:space="0" w:color="auto"/>
            <w:bottom w:val="none" w:sz="0" w:space="0" w:color="auto"/>
            <w:right w:val="none" w:sz="0" w:space="0" w:color="auto"/>
          </w:divBdr>
          <w:divsChild>
            <w:div w:id="1656686502">
              <w:marLeft w:val="0"/>
              <w:marRight w:val="0"/>
              <w:marTop w:val="0"/>
              <w:marBottom w:val="0"/>
              <w:divBdr>
                <w:top w:val="none" w:sz="0" w:space="0" w:color="auto"/>
                <w:left w:val="none" w:sz="0" w:space="0" w:color="auto"/>
                <w:bottom w:val="none" w:sz="0" w:space="0" w:color="auto"/>
                <w:right w:val="none" w:sz="0" w:space="0" w:color="auto"/>
              </w:divBdr>
              <w:divsChild>
                <w:div w:id="1388576926">
                  <w:marLeft w:val="0"/>
                  <w:marRight w:val="0"/>
                  <w:marTop w:val="0"/>
                  <w:marBottom w:val="0"/>
                  <w:divBdr>
                    <w:top w:val="none" w:sz="0" w:space="0" w:color="auto"/>
                    <w:left w:val="none" w:sz="0" w:space="0" w:color="auto"/>
                    <w:bottom w:val="none" w:sz="0" w:space="0" w:color="auto"/>
                    <w:right w:val="none" w:sz="0" w:space="0" w:color="auto"/>
                  </w:divBdr>
                  <w:divsChild>
                    <w:div w:id="521824339">
                      <w:marLeft w:val="0"/>
                      <w:marRight w:val="0"/>
                      <w:marTop w:val="0"/>
                      <w:marBottom w:val="0"/>
                      <w:divBdr>
                        <w:top w:val="none" w:sz="0" w:space="0" w:color="auto"/>
                        <w:left w:val="none" w:sz="0" w:space="0" w:color="auto"/>
                        <w:bottom w:val="none" w:sz="0" w:space="0" w:color="auto"/>
                        <w:right w:val="none" w:sz="0" w:space="0" w:color="auto"/>
                      </w:divBdr>
                      <w:divsChild>
                        <w:div w:id="2011905683">
                          <w:marLeft w:val="0"/>
                          <w:marRight w:val="0"/>
                          <w:marTop w:val="0"/>
                          <w:marBottom w:val="0"/>
                          <w:divBdr>
                            <w:top w:val="none" w:sz="0" w:space="0" w:color="auto"/>
                            <w:left w:val="none" w:sz="0" w:space="0" w:color="auto"/>
                            <w:bottom w:val="none" w:sz="0" w:space="0" w:color="auto"/>
                            <w:right w:val="none" w:sz="0" w:space="0" w:color="auto"/>
                          </w:divBdr>
                          <w:divsChild>
                            <w:div w:id="2113544811">
                              <w:marLeft w:val="0"/>
                              <w:marRight w:val="0"/>
                              <w:marTop w:val="0"/>
                              <w:marBottom w:val="0"/>
                              <w:divBdr>
                                <w:top w:val="none" w:sz="0" w:space="0" w:color="auto"/>
                                <w:left w:val="none" w:sz="0" w:space="0" w:color="auto"/>
                                <w:bottom w:val="none" w:sz="0" w:space="0" w:color="auto"/>
                                <w:right w:val="none" w:sz="0" w:space="0" w:color="auto"/>
                              </w:divBdr>
                              <w:divsChild>
                                <w:div w:id="971446960">
                                  <w:marLeft w:val="0"/>
                                  <w:marRight w:val="0"/>
                                  <w:marTop w:val="0"/>
                                  <w:marBottom w:val="0"/>
                                  <w:divBdr>
                                    <w:top w:val="none" w:sz="0" w:space="0" w:color="auto"/>
                                    <w:left w:val="none" w:sz="0" w:space="0" w:color="auto"/>
                                    <w:bottom w:val="none" w:sz="0" w:space="0" w:color="auto"/>
                                    <w:right w:val="none" w:sz="0" w:space="0" w:color="auto"/>
                                  </w:divBdr>
                                </w:div>
                                <w:div w:id="1818643953">
                                  <w:marLeft w:val="0"/>
                                  <w:marRight w:val="0"/>
                                  <w:marTop w:val="0"/>
                                  <w:marBottom w:val="0"/>
                                  <w:divBdr>
                                    <w:top w:val="none" w:sz="0" w:space="0" w:color="auto"/>
                                    <w:left w:val="none" w:sz="0" w:space="0" w:color="auto"/>
                                    <w:bottom w:val="none" w:sz="0" w:space="0" w:color="auto"/>
                                    <w:right w:val="none" w:sz="0" w:space="0" w:color="auto"/>
                                  </w:divBdr>
                                </w:div>
                                <w:div w:id="1186677282">
                                  <w:marLeft w:val="0"/>
                                  <w:marRight w:val="0"/>
                                  <w:marTop w:val="0"/>
                                  <w:marBottom w:val="0"/>
                                  <w:divBdr>
                                    <w:top w:val="none" w:sz="0" w:space="0" w:color="auto"/>
                                    <w:left w:val="none" w:sz="0" w:space="0" w:color="auto"/>
                                    <w:bottom w:val="none" w:sz="0" w:space="0" w:color="auto"/>
                                    <w:right w:val="none" w:sz="0" w:space="0" w:color="auto"/>
                                  </w:divBdr>
                                </w:div>
                                <w:div w:id="1021013190">
                                  <w:marLeft w:val="0"/>
                                  <w:marRight w:val="0"/>
                                  <w:marTop w:val="0"/>
                                  <w:marBottom w:val="0"/>
                                  <w:divBdr>
                                    <w:top w:val="none" w:sz="0" w:space="0" w:color="auto"/>
                                    <w:left w:val="none" w:sz="0" w:space="0" w:color="auto"/>
                                    <w:bottom w:val="none" w:sz="0" w:space="0" w:color="auto"/>
                                    <w:right w:val="none" w:sz="0" w:space="0" w:color="auto"/>
                                  </w:divBdr>
                                </w:div>
                                <w:div w:id="361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796979">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561216315">
      <w:bodyDiv w:val="1"/>
      <w:marLeft w:val="0"/>
      <w:marRight w:val="0"/>
      <w:marTop w:val="0"/>
      <w:marBottom w:val="0"/>
      <w:divBdr>
        <w:top w:val="none" w:sz="0" w:space="0" w:color="auto"/>
        <w:left w:val="none" w:sz="0" w:space="0" w:color="auto"/>
        <w:bottom w:val="none" w:sz="0" w:space="0" w:color="auto"/>
        <w:right w:val="none" w:sz="0" w:space="0" w:color="auto"/>
      </w:divBdr>
      <w:divsChild>
        <w:div w:id="761604223">
          <w:marLeft w:val="75"/>
          <w:marRight w:val="75"/>
          <w:marTop w:val="75"/>
          <w:marBottom w:val="75"/>
          <w:divBdr>
            <w:top w:val="none" w:sz="0" w:space="0" w:color="auto"/>
            <w:left w:val="none" w:sz="0" w:space="0" w:color="auto"/>
            <w:bottom w:val="none" w:sz="0" w:space="0" w:color="auto"/>
            <w:right w:val="none" w:sz="0" w:space="0" w:color="auto"/>
          </w:divBdr>
        </w:div>
      </w:divsChild>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683435894">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885600364">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1041393975">
      <w:bodyDiv w:val="1"/>
      <w:marLeft w:val="0"/>
      <w:marRight w:val="0"/>
      <w:marTop w:val="0"/>
      <w:marBottom w:val="0"/>
      <w:divBdr>
        <w:top w:val="none" w:sz="0" w:space="0" w:color="auto"/>
        <w:left w:val="none" w:sz="0" w:space="0" w:color="auto"/>
        <w:bottom w:val="none" w:sz="0" w:space="0" w:color="auto"/>
        <w:right w:val="none" w:sz="0" w:space="0" w:color="auto"/>
      </w:divBdr>
    </w:div>
    <w:div w:id="1262571908">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320496251">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544750271">
      <w:bodyDiv w:val="1"/>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758550716">
      <w:bodyDiv w:val="1"/>
      <w:marLeft w:val="0"/>
      <w:marRight w:val="0"/>
      <w:marTop w:val="0"/>
      <w:marBottom w:val="0"/>
      <w:divBdr>
        <w:top w:val="none" w:sz="0" w:space="0" w:color="auto"/>
        <w:left w:val="none" w:sz="0" w:space="0" w:color="auto"/>
        <w:bottom w:val="none" w:sz="0" w:space="0" w:color="auto"/>
        <w:right w:val="none" w:sz="0" w:space="0" w:color="auto"/>
      </w:divBdr>
      <w:divsChild>
        <w:div w:id="2038001000">
          <w:marLeft w:val="0"/>
          <w:marRight w:val="0"/>
          <w:marTop w:val="0"/>
          <w:marBottom w:val="0"/>
          <w:divBdr>
            <w:top w:val="none" w:sz="0" w:space="0" w:color="auto"/>
            <w:left w:val="none" w:sz="0" w:space="0" w:color="auto"/>
            <w:bottom w:val="none" w:sz="0" w:space="0" w:color="auto"/>
            <w:right w:val="none" w:sz="0" w:space="0" w:color="auto"/>
          </w:divBdr>
          <w:divsChild>
            <w:div w:id="423503998">
              <w:marLeft w:val="0"/>
              <w:marRight w:val="0"/>
              <w:marTop w:val="0"/>
              <w:marBottom w:val="0"/>
              <w:divBdr>
                <w:top w:val="none" w:sz="0" w:space="0" w:color="auto"/>
                <w:left w:val="none" w:sz="0" w:space="0" w:color="auto"/>
                <w:bottom w:val="none" w:sz="0" w:space="0" w:color="auto"/>
                <w:right w:val="none" w:sz="0" w:space="0" w:color="auto"/>
              </w:divBdr>
              <w:divsChild>
                <w:div w:id="1686664771">
                  <w:marLeft w:val="0"/>
                  <w:marRight w:val="0"/>
                  <w:marTop w:val="0"/>
                  <w:marBottom w:val="0"/>
                  <w:divBdr>
                    <w:top w:val="none" w:sz="0" w:space="0" w:color="auto"/>
                    <w:left w:val="none" w:sz="0" w:space="0" w:color="auto"/>
                    <w:bottom w:val="none" w:sz="0" w:space="0" w:color="auto"/>
                    <w:right w:val="none" w:sz="0" w:space="0" w:color="auto"/>
                  </w:divBdr>
                  <w:divsChild>
                    <w:div w:id="582107820">
                      <w:marLeft w:val="0"/>
                      <w:marRight w:val="0"/>
                      <w:marTop w:val="0"/>
                      <w:marBottom w:val="0"/>
                      <w:divBdr>
                        <w:top w:val="none" w:sz="0" w:space="0" w:color="auto"/>
                        <w:left w:val="none" w:sz="0" w:space="0" w:color="auto"/>
                        <w:bottom w:val="none" w:sz="0" w:space="0" w:color="auto"/>
                        <w:right w:val="none" w:sz="0" w:space="0" w:color="auto"/>
                      </w:divBdr>
                      <w:divsChild>
                        <w:div w:id="1194467041">
                          <w:marLeft w:val="0"/>
                          <w:marRight w:val="0"/>
                          <w:marTop w:val="0"/>
                          <w:marBottom w:val="0"/>
                          <w:divBdr>
                            <w:top w:val="none" w:sz="0" w:space="0" w:color="auto"/>
                            <w:left w:val="none" w:sz="0" w:space="0" w:color="auto"/>
                            <w:bottom w:val="none" w:sz="0" w:space="0" w:color="auto"/>
                            <w:right w:val="none" w:sz="0" w:space="0" w:color="auto"/>
                          </w:divBdr>
                          <w:divsChild>
                            <w:div w:id="587689169">
                              <w:marLeft w:val="0"/>
                              <w:marRight w:val="0"/>
                              <w:marTop w:val="0"/>
                              <w:marBottom w:val="0"/>
                              <w:divBdr>
                                <w:top w:val="none" w:sz="0" w:space="0" w:color="auto"/>
                                <w:left w:val="none" w:sz="0" w:space="0" w:color="auto"/>
                                <w:bottom w:val="none" w:sz="0" w:space="0" w:color="auto"/>
                                <w:right w:val="none" w:sz="0" w:space="0" w:color="auto"/>
                              </w:divBdr>
                              <w:divsChild>
                                <w:div w:id="1028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853066">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 w:id="21214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AF393-DB63-4BE0-9CC6-C2A9B9561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3247</Words>
  <Characters>18514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21718</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2013-12-09T14:05:00Z</cp:lastPrinted>
  <dcterms:created xsi:type="dcterms:W3CDTF">2014-11-07T19:55:00Z</dcterms:created>
  <dcterms:modified xsi:type="dcterms:W3CDTF">2014-11-09T20:27:00Z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#26801277_v1</vt:lpwstr>
  </property>
</Properties>
</file>