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DD4201">
        <w:t xml:space="preserve"> of September</w:t>
      </w:r>
      <w:r w:rsidR="007D14A8">
        <w:t xml:space="preserve"> </w:t>
      </w:r>
      <w:r w:rsidR="00DE4100">
        <w:t>2014</w:t>
      </w:r>
    </w:p>
    <w:p w:rsidR="006F4CE9" w:rsidRDefault="006F4CE9" w:rsidP="00D9771C">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D72E5C" w:rsidRDefault="00D72E5C" w:rsidP="007D14A8">
      <w:pPr>
        <w:pStyle w:val="BlockText"/>
        <w:rPr>
          <w:b/>
          <w:u w:val="single"/>
        </w:rPr>
      </w:pPr>
    </w:p>
    <w:p w:rsidR="00DF2996" w:rsidRDefault="00DF2996" w:rsidP="00DF2996">
      <w:pPr>
        <w:jc w:val="both"/>
      </w:pPr>
      <w:r w:rsidRPr="00B26EF6">
        <w:rPr>
          <w:i/>
          <w:u w:val="single"/>
          <w:lang w:val="en-CA"/>
        </w:rPr>
        <w:fldChar w:fldCharType="begin"/>
      </w:r>
      <w:r w:rsidRPr="00B26EF6">
        <w:rPr>
          <w:i/>
          <w:u w:val="single"/>
          <w:lang w:val="en-CA"/>
        </w:rPr>
        <w:instrText xml:space="preserve"> SEQ CHAPTER \h \r 1</w:instrText>
      </w:r>
      <w:r w:rsidRPr="00B26EF6">
        <w:rPr>
          <w:i/>
          <w:u w:val="single"/>
          <w:lang w:val="en-CA"/>
        </w:rPr>
        <w:fldChar w:fldCharType="end"/>
      </w:r>
      <w:r w:rsidRPr="00B26EF6">
        <w:rPr>
          <w:i/>
          <w:u w:val="single"/>
        </w:rPr>
        <w:t>Allegheny Casualty Co. v. Archer-Western/DeMaria Joint Venture III</w:t>
      </w:r>
      <w:r>
        <w:t xml:space="preserve">, 2014 WL 4162787 (USDC M.D. Florida, Tampa Division, August 21, 2014). This case arises out of a dispute by the prime contractor (Archer-Western) and the performance bond surety for the drywall subcontractor (Allegheny Casualty) on a $52,000,000 expansion to the VA hospital in Tampa.  The drywall subcontractor defaulted after performing about 30% of its work, and Allegheny elected to complete the remaining obligations of its principal under the terms of a Takeover Agreement with Archer.  When the drywall work was about 94% complete, Allegheny walked off the job because it allegedly had expended the penal sum of the performance bond.  </w:t>
      </w:r>
    </w:p>
    <w:p w:rsidR="00DF2996" w:rsidRDefault="00DF2996" w:rsidP="00DF2996">
      <w:pPr>
        <w:jc w:val="both"/>
      </w:pPr>
    </w:p>
    <w:p w:rsidR="00DF2996" w:rsidRDefault="00DF2996" w:rsidP="00DF2996">
      <w:pPr>
        <w:jc w:val="both"/>
      </w:pPr>
      <w:r>
        <w:t>Thereafter, Archer sued Allegheny for the cost to complete the drywall work, including allegedly deficient work under the performance bond and Takeover Agreement.  Allegheny sued Archer for, among other claims, rescission of the performance bond based on allegedly false representations made by Archer to Allegheny when it was investigating whether to issue the performance bond or not.  Cross motions for summary judgment led to an 18-page order by Federal Distr</w:t>
      </w:r>
      <w:r>
        <w:t xml:space="preserve">ict Court Judge Susan Bucklew. </w:t>
      </w:r>
      <w:r>
        <w:t xml:space="preserve">Two of the issues she addressed in her well-written order are addressed below. </w:t>
      </w:r>
    </w:p>
    <w:p w:rsidR="00DF2996" w:rsidRDefault="00DF2996" w:rsidP="00DF2996">
      <w:pPr>
        <w:jc w:val="both"/>
      </w:pPr>
    </w:p>
    <w:p w:rsidR="00DF2996" w:rsidRDefault="00DF2996" w:rsidP="00DF2996">
      <w:pPr>
        <w:jc w:val="both"/>
      </w:pPr>
      <w:r>
        <w:rPr>
          <w:i/>
          <w:iCs/>
        </w:rPr>
        <w:t xml:space="preserve">Court finds that a performance bond surety that elects to complete performance of its principal’s work may limit its liability to the penal sum of the bond.  </w:t>
      </w:r>
      <w:r>
        <w:t xml:space="preserve">The facts in the order reveal that Archer paid $1,125,000 to complete the drywall work, including the cost to correct defective work, after Allegheny ceased its performance.  Archer argued that a performance bond surety that elected to complete performance is not entitled to cap its liability at the penal sum of the bond and cited case law from non-controlling jurisdictions that have held that “when a surety elects to directly undertake performance of a principal’s obligations, the surety’s liability is no longer limited by the amount of the bond.”  The Court found no controlling law in Florida.  Fortunately for the surety, the parties included a term in the Takeover Agreement that expressly limited the surety’s liability in completing the drywall work to the penal sum of the bond.  The Court found that “even if a performing surety’s liability can exceed the penal sum, a performing surety can limit its liability by expressly so providing in a contract with the benefitted obligee.”  The Court also found no conflict between this express limitation and the surety’s promise to “cause the performance of each and every one of the terms, covenants, and conditions of the Original Contract.”   </w:t>
      </w:r>
    </w:p>
    <w:p w:rsidR="00DF2996" w:rsidRDefault="00DF2996" w:rsidP="00DF2996">
      <w:pPr>
        <w:jc w:val="both"/>
      </w:pPr>
    </w:p>
    <w:p w:rsidR="00DF2996" w:rsidRDefault="00DF2996" w:rsidP="00DF2996">
      <w:pPr>
        <w:jc w:val="both"/>
      </w:pPr>
      <w:r>
        <w:t>Editor’s Note: The parties must now go to trial over the issue of what surety costs are to be included within the penal sum of the bond.  There was evidence that the surety’s project manager spent $90,000 in travel and hotel costs, and evidence that a portion of Archer’s damages were incurred in correcting Allegheny’s defective completion work.  This case reflects the importance of a well-drafted Takeover Agreement.  It appears that Archer and Allegheny each spent well more than $1,000,000 in completion costs on a $1,665,000 drywall subcontract.  And that does not include the attorneys’ fees.</w:t>
      </w:r>
    </w:p>
    <w:p w:rsidR="00DF2996" w:rsidRDefault="00DF2996" w:rsidP="00DF2996">
      <w:pPr>
        <w:jc w:val="both"/>
      </w:pPr>
    </w:p>
    <w:p w:rsidR="00DF2996" w:rsidRDefault="00DF2996" w:rsidP="00DF2996">
      <w:pPr>
        <w:jc w:val="both"/>
      </w:pPr>
      <w:r>
        <w:rPr>
          <w:i/>
          <w:iCs/>
        </w:rPr>
        <w:t>A contractor may be liable to a subcontractor’s surety for fraudulent misrepresentation concerning the subcontractor’s excessively low bid and financial condition.</w:t>
      </w:r>
      <w:r>
        <w:t xml:space="preserve">  Allegheny sued Archer for fraudulent misrepresentation based on Archer’s written response to Allegheny’s questions concerning the drywall contractor’s financial strength and the amount of its bid in relation to other bidders.  Archer responded prior to Allegheny’s decision to provide the performance bond and wrote that Archer did not possess any information indicating that the drywall subcontractor would have any problem completing the job and paying all bills.  Archer’s response failed to respond to Allegheny’s question about the amount of its principal’s bid.  There was apparently no dispute that Archer had serious concerns about the financial strength of the drywall subcontractor and knew that its bid of $1,665,000 was at least 25-30 percent lower than the next lowest bid and about $1,000,000 less than the amount Archer used in preparing its bid to the VA. </w:t>
      </w:r>
    </w:p>
    <w:p w:rsidR="00DF2996" w:rsidRDefault="00DF2996" w:rsidP="00DF2996">
      <w:pPr>
        <w:jc w:val="both"/>
      </w:pPr>
    </w:p>
    <w:p w:rsidR="00DF2996" w:rsidRDefault="00DF2996" w:rsidP="00DF2996">
      <w:pPr>
        <w:jc w:val="both"/>
        <w:rPr>
          <w:sz w:val="20"/>
          <w:szCs w:val="20"/>
        </w:rPr>
      </w:pPr>
      <w:r>
        <w:t>The Court held that Archer had a duty to truthfully answer Allegheny’s questions regarding the drywall subcontractor, and that Florida law implies on the part of an obligee a duty to disclose material facts to potential sureties seeking information about a would-be p</w:t>
      </w:r>
      <w:r>
        <w:t xml:space="preserve">rincipal’s financial condition. </w:t>
      </w:r>
      <w:r>
        <w:t>The Court’s ruling appears to be based on the rule that when a party voluntarily undertakes to disclose information, it must disclose all material facts.  While the Court did not expressly find there was no disputed issue of material fact on Archer’s breach, the only basis for its denial of summary judgment was a dispute over whether Allegheny actually relied on Archer’s misrepresentations or omissions.</w:t>
      </w:r>
    </w:p>
    <w:p w:rsidR="00502614" w:rsidRDefault="00502614" w:rsidP="00DF2996">
      <w:pPr>
        <w:autoSpaceDE w:val="0"/>
        <w:autoSpaceDN w:val="0"/>
        <w:adjustRightInd w:val="0"/>
        <w:jc w:val="both"/>
        <w:rPr>
          <w:rFonts w:ascii="TimesNewRomanPSMT" w:hAnsi="TimesNewRomanPSMT" w:cs="TimesNewRomanPSMT"/>
        </w:rPr>
      </w:pPr>
    </w:p>
    <w:p w:rsidR="00D9771C"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B0622F">
        <w:t xml:space="preserve"> Nothing to report</w:t>
      </w:r>
      <w:r w:rsidR="00B26EF6">
        <w:t>.</w:t>
      </w:r>
    </w:p>
    <w:p w:rsidR="00B26EF6" w:rsidRDefault="00B26EF6" w:rsidP="00D72E5C">
      <w:pPr>
        <w:pStyle w:val="BlockText"/>
      </w:pPr>
    </w:p>
    <w:p w:rsidR="00B26EF6" w:rsidRPr="00B26EF6" w:rsidRDefault="00B26EF6" w:rsidP="00D72E5C">
      <w:pPr>
        <w:pStyle w:val="BlockText"/>
        <w:rPr>
          <w:b/>
          <w:u w:val="single"/>
        </w:rPr>
      </w:pPr>
      <w:r w:rsidRPr="00B26EF6">
        <w:rPr>
          <w:b/>
          <w:u w:val="single"/>
        </w:rPr>
        <w:t>AGENCY REGULATIONS:</w:t>
      </w:r>
    </w:p>
    <w:p w:rsidR="003747B5" w:rsidRDefault="00401A5C" w:rsidP="00217DA2">
      <w:pPr>
        <w:pStyle w:val="BlockText"/>
      </w:pPr>
      <w:r>
        <w:tab/>
      </w:r>
    </w:p>
    <w:p w:rsidR="004E142A" w:rsidRDefault="00DE52F2" w:rsidP="00DE52F2">
      <w:pPr>
        <w:pStyle w:val="BlockText"/>
      </w:pPr>
      <w:r w:rsidRPr="00B0622F">
        <w:rPr>
          <w:b/>
        </w:rPr>
        <w:t>A.</w:t>
      </w:r>
      <w:r>
        <w:t xml:space="preserve">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6A4458" w:rsidRPr="006A4458" w:rsidRDefault="00E1125C" w:rsidP="006A4458">
      <w:pPr>
        <w:pStyle w:val="BlockText"/>
        <w:numPr>
          <w:ilvl w:val="1"/>
          <w:numId w:val="11"/>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6A4458" w:rsidRPr="006A4458" w:rsidRDefault="006A4458" w:rsidP="006A4458">
      <w:pPr>
        <w:pStyle w:val="BlockText"/>
        <w:ind w:left="1800"/>
        <w:rPr>
          <w:b/>
        </w:rPr>
      </w:pPr>
    </w:p>
    <w:p w:rsidR="006A4458" w:rsidRDefault="006A4458" w:rsidP="006A4458">
      <w:pPr>
        <w:pStyle w:val="BlockText"/>
        <w:numPr>
          <w:ilvl w:val="2"/>
          <w:numId w:val="11"/>
        </w:numPr>
        <w:rPr>
          <w:b/>
        </w:rPr>
      </w:pPr>
      <w:r>
        <w:t>Rule 61G4-15.039, creating the new Industrial Facilities specialty contractor, effective August 17</w:t>
      </w:r>
      <w:r w:rsidRPr="006A4458">
        <w:rPr>
          <w:vertAlign w:val="superscript"/>
        </w:rPr>
        <w:t>th</w:t>
      </w:r>
      <w:r>
        <w:t>.</w:t>
      </w:r>
    </w:p>
    <w:p w:rsidR="006A4458" w:rsidRDefault="006A4458" w:rsidP="006A4458">
      <w:pPr>
        <w:pStyle w:val="BlockText"/>
        <w:ind w:left="1800"/>
        <w:rPr>
          <w:b/>
        </w:rPr>
      </w:pPr>
    </w:p>
    <w:p w:rsidR="006A4458" w:rsidRPr="006A4458" w:rsidRDefault="006E6103" w:rsidP="006A4458">
      <w:pPr>
        <w:pStyle w:val="BlockText"/>
        <w:numPr>
          <w:ilvl w:val="2"/>
          <w:numId w:val="11"/>
        </w:numPr>
        <w:rPr>
          <w:b/>
        </w:rPr>
      </w:pPr>
      <w:r>
        <w:t>Rule 61G4-16.001 regarding written certification examina</w:t>
      </w:r>
      <w:r w:rsidR="006A4458">
        <w:t>tion requirements for Industrial Facilities and Tower specialty contractor licenses, effective September 2</w:t>
      </w:r>
      <w:r w:rsidR="006A4458" w:rsidRPr="006A4458">
        <w:rPr>
          <w:vertAlign w:val="superscript"/>
        </w:rPr>
        <w:t>nd</w:t>
      </w:r>
      <w:r w:rsidR="006A4458">
        <w:t>.</w:t>
      </w:r>
    </w:p>
    <w:p w:rsidR="006A4458" w:rsidRPr="006A4458" w:rsidRDefault="006A4458" w:rsidP="006A4458">
      <w:pPr>
        <w:pStyle w:val="BlockText"/>
        <w:ind w:left="2520"/>
        <w:rPr>
          <w:b/>
        </w:rPr>
      </w:pPr>
    </w:p>
    <w:p w:rsidR="00E62413" w:rsidRPr="00B26EF6" w:rsidRDefault="006A4458" w:rsidP="00AB392A">
      <w:pPr>
        <w:pStyle w:val="BlockText"/>
        <w:numPr>
          <w:ilvl w:val="2"/>
          <w:numId w:val="11"/>
        </w:numPr>
        <w:rPr>
          <w:b/>
        </w:rPr>
      </w:pPr>
      <w:r>
        <w:t>Rule 61G4-17.001 regarding disciplinary guidelines, primarily to increase</w:t>
      </w:r>
      <w:r w:rsidR="00B26EF6">
        <w:t xml:space="preserve"> fines and penalties, which is scheduled to be </w:t>
      </w:r>
      <w:r>
        <w:t>taken up for final disposition at the board’s September 12</w:t>
      </w:r>
      <w:r w:rsidRPr="006A4458">
        <w:rPr>
          <w:vertAlign w:val="superscript"/>
        </w:rPr>
        <w:t>th</w:t>
      </w:r>
      <w:r w:rsidR="00B26EF6">
        <w:t xml:space="preserve"> meeting.</w:t>
      </w:r>
    </w:p>
    <w:p w:rsidR="00B228D4" w:rsidRDefault="00B228D4" w:rsidP="00B26EF6">
      <w:pPr>
        <w:pStyle w:val="Default"/>
        <w:jc w:val="both"/>
      </w:pPr>
    </w:p>
    <w:p w:rsidR="009F7BC1" w:rsidRPr="00B26EF6" w:rsidRDefault="004E142A" w:rsidP="009F7BC1">
      <w:pPr>
        <w:pStyle w:val="BlockText"/>
        <w:numPr>
          <w:ilvl w:val="1"/>
          <w:numId w:val="11"/>
        </w:numPr>
        <w:rPr>
          <w:b/>
        </w:rPr>
      </w:pPr>
      <w:r>
        <w:t>This board has received or dis</w:t>
      </w:r>
      <w:r w:rsidR="002558FB">
        <w:t xml:space="preserve">posed of the following </w:t>
      </w:r>
      <w:r w:rsidR="009F7BC1">
        <w:t>Petitions for Declaratory Statements:</w:t>
      </w:r>
    </w:p>
    <w:p w:rsidR="00B26EF6" w:rsidRPr="00B26EF6" w:rsidRDefault="00B26EF6" w:rsidP="00B26EF6">
      <w:pPr>
        <w:pStyle w:val="BlockText"/>
        <w:ind w:left="1800"/>
        <w:rPr>
          <w:b/>
        </w:rPr>
      </w:pPr>
    </w:p>
    <w:p w:rsidR="009F7BC1" w:rsidRPr="00B26EF6" w:rsidRDefault="00B26EF6" w:rsidP="009F7BC1">
      <w:pPr>
        <w:pStyle w:val="Default"/>
        <w:numPr>
          <w:ilvl w:val="2"/>
          <w:numId w:val="11"/>
        </w:numPr>
        <w:jc w:val="both"/>
        <w:rPr>
          <w:rFonts w:asciiTheme="majorHAnsi" w:hAnsiTheme="majorHAnsi" w:cstheme="majorHAnsi"/>
        </w:rPr>
      </w:pPr>
      <w:r w:rsidRPr="009F7BC1">
        <w:rPr>
          <w:rFonts w:asciiTheme="majorHAnsi" w:hAnsiTheme="majorHAnsi" w:cstheme="majorHAnsi"/>
          <w:b/>
        </w:rPr>
        <w:t>Charles N. Hunt, Jr.</w:t>
      </w:r>
      <w:r w:rsidRPr="009F7BC1">
        <w:rPr>
          <w:rFonts w:asciiTheme="majorHAnsi" w:hAnsiTheme="majorHAnsi" w:cstheme="majorHAnsi"/>
        </w:rPr>
        <w:t xml:space="preserve"> - Petition filed on August 4 2014, seeking the agency’s opinion as to the applicability of section 489.105(4)(b) 2. and Rule 61G4-18.001(2)(f) regarding contactor’s ability to submit to local building departments his own plans and drawings</w:t>
      </w:r>
    </w:p>
    <w:p w:rsidR="009F7BC1" w:rsidRDefault="009F7BC1" w:rsidP="00F04707">
      <w:pPr>
        <w:pStyle w:val="BlockText"/>
        <w:numPr>
          <w:ilvl w:val="2"/>
          <w:numId w:val="11"/>
        </w:numPr>
        <w:rPr>
          <w:b/>
        </w:rPr>
      </w:pPr>
      <w:r w:rsidRPr="009F7BC1">
        <w:rPr>
          <w:b/>
        </w:rPr>
        <w:t>Matthew Thomas Roller</w:t>
      </w:r>
      <w:r>
        <w:rPr>
          <w:b/>
        </w:rPr>
        <w:t xml:space="preserve"> </w:t>
      </w:r>
      <w:r>
        <w:t>– Order issued on August 5, that petitioner’s Pollutant Storage System Contractor license did NOT cover natural gas fuel tanks and systems</w:t>
      </w:r>
      <w:r w:rsidRPr="009F7BC1">
        <w:rPr>
          <w:b/>
        </w:rPr>
        <w:t>.</w:t>
      </w:r>
    </w:p>
    <w:p w:rsidR="009F7BC1" w:rsidRDefault="009F7BC1" w:rsidP="009F7BC1">
      <w:pPr>
        <w:pStyle w:val="BlockText"/>
        <w:ind w:left="2520"/>
        <w:rPr>
          <w:b/>
        </w:rPr>
      </w:pPr>
    </w:p>
    <w:p w:rsidR="009F7BC1" w:rsidRPr="00B52A30" w:rsidRDefault="009F7BC1" w:rsidP="00B52A30">
      <w:pPr>
        <w:pStyle w:val="BlockText"/>
        <w:numPr>
          <w:ilvl w:val="2"/>
          <w:numId w:val="11"/>
        </w:numPr>
        <w:rPr>
          <w:b/>
        </w:rPr>
      </w:pPr>
      <w:r w:rsidRPr="009F7BC1">
        <w:rPr>
          <w:b/>
        </w:rPr>
        <w:t>Larry Earl Franklin/Star Air Conditioning &amp; Heating, LLC</w:t>
      </w:r>
      <w:r>
        <w:t xml:space="preserve"> – Order issued on August 5, that petitioner’s Class B Air-conditioning Contractor license DOES include the maintenance, service, and repairs to the </w:t>
      </w:r>
      <w:r w:rsidR="00B52A30">
        <w:t>evaporator</w:t>
      </w:r>
      <w:r>
        <w:t>, compressor, condense coils and other components of the refrigerant system of a swimming pool/spa hear pump.</w:t>
      </w:r>
    </w:p>
    <w:p w:rsidR="009F7BC1" w:rsidRPr="009F7BC1" w:rsidRDefault="009F7BC1" w:rsidP="009F7BC1">
      <w:pPr>
        <w:pStyle w:val="BlockText"/>
        <w:ind w:left="2520"/>
        <w:rPr>
          <w:b/>
        </w:rPr>
      </w:pPr>
    </w:p>
    <w:p w:rsidR="00AA1DC4" w:rsidRPr="00AA1DC4" w:rsidRDefault="009F7BC1" w:rsidP="00F917FF">
      <w:pPr>
        <w:pStyle w:val="BlockText"/>
        <w:numPr>
          <w:ilvl w:val="1"/>
          <w:numId w:val="11"/>
        </w:numPr>
        <w:rPr>
          <w:b/>
        </w:rPr>
      </w:pPr>
      <w:r>
        <w:t xml:space="preserve">This board has received or disposed of the following </w:t>
      </w:r>
      <w:r w:rsidR="002558FB">
        <w:t>Petition</w:t>
      </w:r>
      <w:r>
        <w:t>s</w:t>
      </w:r>
      <w:r w:rsidR="004E142A">
        <w:t xml:space="preserve"> for Va</w:t>
      </w:r>
      <w:r w:rsidR="0092555A">
        <w:t>riance or Waiver</w:t>
      </w:r>
      <w:r w:rsidR="00F917FF">
        <w:t xml:space="preserve"> (if any): </w:t>
      </w:r>
      <w:r>
        <w:t>None filed.</w:t>
      </w:r>
    </w:p>
    <w:p w:rsidR="00AA1DC4" w:rsidRPr="00AA1DC4" w:rsidRDefault="00AA1DC4" w:rsidP="00AA1DC4">
      <w:pPr>
        <w:pStyle w:val="BlockText"/>
        <w:rPr>
          <w:b/>
        </w:rPr>
      </w:pPr>
    </w:p>
    <w:p w:rsidR="00B228D4" w:rsidRDefault="004E142A" w:rsidP="0008109E">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480712" w:rsidRDefault="00BD45AE" w:rsidP="0008109E">
      <w:pPr>
        <w:pStyle w:val="BlockText"/>
        <w:numPr>
          <w:ilvl w:val="1"/>
          <w:numId w:val="11"/>
        </w:numPr>
      </w:pPr>
      <w:r>
        <w:t xml:space="preserve">This board has </w:t>
      </w:r>
      <w:r w:rsidR="00BE7523">
        <w:t>proposed</w:t>
      </w:r>
      <w:r>
        <w:t xml:space="preserve"> adopted, repealed or amended the following rules (if any): </w:t>
      </w:r>
      <w:r w:rsidR="00B52A30">
        <w:t xml:space="preserve"> Rules 61G6-9001, .9004, and .9006 regarding continuing </w:t>
      </w:r>
      <w:r w:rsidR="00EA1306">
        <w:t>education</w:t>
      </w:r>
      <w:r w:rsidR="00B52A30">
        <w:t>.</w:t>
      </w:r>
    </w:p>
    <w:p w:rsidR="00BA7E0B" w:rsidRDefault="00BA7E0B" w:rsidP="00BA7E0B">
      <w:pPr>
        <w:pStyle w:val="BlockText"/>
        <w:ind w:left="1800"/>
      </w:pPr>
    </w:p>
    <w:p w:rsidR="00480712" w:rsidRDefault="004E142A" w:rsidP="00F5711E">
      <w:pPr>
        <w:pStyle w:val="BlockText"/>
        <w:numPr>
          <w:ilvl w:val="1"/>
          <w:numId w:val="11"/>
        </w:numPr>
      </w:pPr>
      <w:r>
        <w:t xml:space="preserve">This board has received or disposed of the following Petitions for </w:t>
      </w:r>
      <w:r w:rsidR="00480712">
        <w:t>Declaratory Statement (if any</w:t>
      </w:r>
      <w:r w:rsidR="00F917FF">
        <w:t>): None noticed.</w:t>
      </w:r>
    </w:p>
    <w:p w:rsidR="00F917FF" w:rsidRDefault="00F917FF" w:rsidP="00F917FF">
      <w:pPr>
        <w:pStyle w:val="BlockText"/>
      </w:pPr>
    </w:p>
    <w:p w:rsidR="00F917FF" w:rsidRDefault="004E142A" w:rsidP="00F917FF">
      <w:pPr>
        <w:pStyle w:val="BlockText"/>
        <w:numPr>
          <w:ilvl w:val="1"/>
          <w:numId w:val="11"/>
        </w:numPr>
      </w:pPr>
      <w:r>
        <w:t xml:space="preserve">This board has received or disposed of the following Petitions for </w:t>
      </w:r>
      <w:r w:rsidR="009E2A70">
        <w:t>Va</w:t>
      </w:r>
      <w:r w:rsidR="00CB169A">
        <w:t xml:space="preserve">riance or Waiver </w:t>
      </w:r>
      <w:r w:rsidR="00F917FF">
        <w:t xml:space="preserve">(if any). </w:t>
      </w:r>
      <w:r w:rsidR="00B52A30">
        <w:t xml:space="preserve">Nothing </w:t>
      </w:r>
      <w:r w:rsidR="00AA1DC4">
        <w:t>to report.</w:t>
      </w:r>
    </w:p>
    <w:p w:rsidR="00F917FF" w:rsidRPr="00F917FF" w:rsidRDefault="00F917FF" w:rsidP="00F917FF">
      <w:pPr>
        <w:pStyle w:val="BlockText"/>
        <w:ind w:left="1080"/>
      </w:pPr>
    </w:p>
    <w:p w:rsidR="004E142A" w:rsidRDefault="004E142A" w:rsidP="0008109E">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08109E">
      <w:pPr>
        <w:pStyle w:val="BlockText"/>
        <w:numPr>
          <w:ilvl w:val="1"/>
          <w:numId w:val="11"/>
        </w:numPr>
      </w:pPr>
      <w:r>
        <w:t>This board has proposed, adopted, repealed or ame</w:t>
      </w:r>
      <w:r w:rsidR="000B1E71">
        <w:t xml:space="preserve">nded the following rules: </w:t>
      </w:r>
      <w:r w:rsidR="00D500CC">
        <w:t xml:space="preserve">None noticed. </w:t>
      </w:r>
    </w:p>
    <w:p w:rsidR="00AC4FD0" w:rsidRDefault="00AC4FD0" w:rsidP="00AC4FD0">
      <w:pPr>
        <w:pStyle w:val="BlockText"/>
        <w:ind w:left="1800"/>
      </w:pPr>
    </w:p>
    <w:p w:rsidR="004E142A" w:rsidRDefault="004E142A" w:rsidP="0008109E">
      <w:pPr>
        <w:pStyle w:val="BlockText"/>
        <w:numPr>
          <w:ilvl w:val="1"/>
          <w:numId w:val="11"/>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08109E">
      <w:pPr>
        <w:pStyle w:val="BlockText"/>
        <w:numPr>
          <w:ilvl w:val="1"/>
          <w:numId w:val="11"/>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D500CC">
      <w:pPr>
        <w:pStyle w:val="BlockText"/>
        <w:numPr>
          <w:ilvl w:val="0"/>
          <w:numId w:val="11"/>
        </w:numPr>
      </w:pPr>
      <w:r w:rsidRPr="00EF1953">
        <w:rPr>
          <w:u w:val="single"/>
        </w:rPr>
        <w:t>Board of Landscape Architecture</w:t>
      </w:r>
      <w:r>
        <w:t xml:space="preserve"> – Chapter 481, Part II, FS and 61G10 FAC: </w:t>
      </w:r>
    </w:p>
    <w:p w:rsidR="00B52A30" w:rsidRDefault="00B52A30" w:rsidP="00B52A30">
      <w:pPr>
        <w:pStyle w:val="BlockText"/>
        <w:ind w:left="1080"/>
      </w:pPr>
    </w:p>
    <w:p w:rsidR="00B52A30" w:rsidRDefault="00B52A30" w:rsidP="00B52A30">
      <w:pPr>
        <w:pStyle w:val="BlockText"/>
        <w:numPr>
          <w:ilvl w:val="1"/>
          <w:numId w:val="11"/>
        </w:numPr>
      </w:pPr>
      <w:r>
        <w:t>This board has proposed, adopted, repealed or amended the following rules:</w:t>
      </w:r>
    </w:p>
    <w:p w:rsidR="00B52A30" w:rsidRDefault="00B52A30" w:rsidP="00B52A30">
      <w:pPr>
        <w:pStyle w:val="BlockText"/>
        <w:ind w:left="1800"/>
      </w:pPr>
    </w:p>
    <w:p w:rsidR="00B52A30" w:rsidRDefault="00B52A30" w:rsidP="00B52A30">
      <w:pPr>
        <w:pStyle w:val="BlockText"/>
        <w:numPr>
          <w:ilvl w:val="2"/>
          <w:numId w:val="11"/>
        </w:numPr>
      </w:pPr>
      <w:r>
        <w:t>Rule 61G10-11.002 regarding reexaminations to be repealed.</w:t>
      </w:r>
    </w:p>
    <w:p w:rsidR="00B52A30" w:rsidRDefault="00B52A30" w:rsidP="00B52A30">
      <w:pPr>
        <w:pStyle w:val="BlockText"/>
        <w:ind w:left="2520"/>
      </w:pPr>
    </w:p>
    <w:p w:rsidR="00B52A30" w:rsidRDefault="00B52A30" w:rsidP="00B52A30">
      <w:pPr>
        <w:pStyle w:val="BlockText"/>
        <w:numPr>
          <w:ilvl w:val="2"/>
          <w:numId w:val="11"/>
        </w:numPr>
      </w:pPr>
      <w:r>
        <w:t xml:space="preserve">Rule 61G10-11.010 regarding seals to be modified. </w:t>
      </w:r>
    </w:p>
    <w:p w:rsidR="00B52A30" w:rsidRDefault="00B52A30" w:rsidP="00B52A30">
      <w:pPr>
        <w:pStyle w:val="ListParagraph"/>
      </w:pPr>
    </w:p>
    <w:p w:rsidR="00B52A30" w:rsidRDefault="00B52A30" w:rsidP="00B52A30">
      <w:pPr>
        <w:pStyle w:val="BlockText"/>
        <w:numPr>
          <w:ilvl w:val="2"/>
          <w:numId w:val="11"/>
        </w:numPr>
      </w:pPr>
      <w:r>
        <w:t>Rule 61G10-12.002 to lower fees for biennial renewal of certificates of registration and authorization.</w:t>
      </w:r>
    </w:p>
    <w:p w:rsidR="00B52A30" w:rsidRDefault="00B52A30" w:rsidP="00B52A30">
      <w:pPr>
        <w:pStyle w:val="ListParagraph"/>
      </w:pPr>
    </w:p>
    <w:p w:rsidR="00B52A30" w:rsidRDefault="00B52A30" w:rsidP="00B52A30">
      <w:pPr>
        <w:pStyle w:val="BlockText"/>
        <w:numPr>
          <w:ilvl w:val="2"/>
          <w:numId w:val="11"/>
        </w:numPr>
      </w:pPr>
      <w:r>
        <w:t>Rules 61G10-18.002, .003, and .006 regarding continuing education to change application forms and to clarify provider compliance.</w:t>
      </w:r>
    </w:p>
    <w:p w:rsidR="00B52A30" w:rsidRDefault="00B52A30" w:rsidP="00B52A30">
      <w:pPr>
        <w:pStyle w:val="BlockText"/>
        <w:ind w:left="1800"/>
      </w:pPr>
    </w:p>
    <w:p w:rsidR="00B52A30" w:rsidRDefault="00B52A30" w:rsidP="00B52A30">
      <w:pPr>
        <w:pStyle w:val="BlockText"/>
        <w:numPr>
          <w:ilvl w:val="1"/>
          <w:numId w:val="11"/>
        </w:numPr>
      </w:pPr>
      <w:r>
        <w:t>This board has received or disposed of the following Petitions for Declaratory Statement (if any): None noticed.</w:t>
      </w:r>
    </w:p>
    <w:p w:rsidR="00B52A30" w:rsidRDefault="00B52A30" w:rsidP="00B52A30">
      <w:pPr>
        <w:pStyle w:val="ListParagraph"/>
      </w:pPr>
    </w:p>
    <w:p w:rsidR="00B52A30" w:rsidRDefault="00B52A30" w:rsidP="00B52A30">
      <w:pPr>
        <w:pStyle w:val="BlockText"/>
        <w:numPr>
          <w:ilvl w:val="1"/>
          <w:numId w:val="11"/>
        </w:numPr>
      </w:pPr>
      <w:r>
        <w:t>This board has received or disposed of the following Petitions for Variance or Waiver (if any): None noticed.</w:t>
      </w:r>
    </w:p>
    <w:p w:rsidR="004E142A" w:rsidRDefault="004E142A" w:rsidP="004E142A"/>
    <w:p w:rsidR="004E142A" w:rsidRDefault="004E142A" w:rsidP="0008109E">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AA1DC4" w:rsidRDefault="00E1125C" w:rsidP="00B52A30">
      <w:pPr>
        <w:pStyle w:val="BlockText"/>
        <w:numPr>
          <w:ilvl w:val="1"/>
          <w:numId w:val="11"/>
        </w:numPr>
      </w:pPr>
      <w:r>
        <w:t xml:space="preserve">This board has </w:t>
      </w:r>
      <w:r w:rsidR="004204AE">
        <w:t>proposed</w:t>
      </w:r>
      <w:r>
        <w:t xml:space="preserve"> adopted, repealed or amended</w:t>
      </w:r>
      <w:r w:rsidR="004204AE">
        <w:t xml:space="preserve"> the following rules (if </w:t>
      </w:r>
      <w:r>
        <w:t>any)</w:t>
      </w:r>
      <w:r w:rsidR="00003119">
        <w:t>:</w:t>
      </w:r>
    </w:p>
    <w:p w:rsidR="00325FC1" w:rsidRDefault="00325FC1" w:rsidP="00325FC1">
      <w:pPr>
        <w:pStyle w:val="BlockText"/>
        <w:ind w:left="2520"/>
      </w:pPr>
    </w:p>
    <w:p w:rsidR="00325FC1" w:rsidRDefault="00325FC1" w:rsidP="00F16848">
      <w:pPr>
        <w:pStyle w:val="BlockText"/>
        <w:numPr>
          <w:ilvl w:val="2"/>
          <w:numId w:val="11"/>
        </w:numPr>
      </w:pPr>
      <w:r>
        <w:t xml:space="preserve">Notice of Change has been </w:t>
      </w:r>
      <w:r w:rsidR="000B0D3F">
        <w:t>published for Rule 61G15-22.001 regarding continuing education to correct the wrong number.</w:t>
      </w:r>
      <w:r>
        <w:t xml:space="preserve"> </w:t>
      </w:r>
    </w:p>
    <w:p w:rsidR="000B0D3F" w:rsidRDefault="000B0D3F" w:rsidP="000B0D3F">
      <w:pPr>
        <w:pStyle w:val="BlockText"/>
        <w:ind w:left="2520"/>
      </w:pPr>
    </w:p>
    <w:p w:rsidR="00325FC1" w:rsidRDefault="00325FC1" w:rsidP="00325FC1">
      <w:pPr>
        <w:pStyle w:val="BlockText"/>
        <w:numPr>
          <w:ilvl w:val="2"/>
          <w:numId w:val="11"/>
        </w:numPr>
      </w:pPr>
      <w:r>
        <w:t>Notice of Change has been published for Rule</w:t>
      </w:r>
      <w:r w:rsidR="000B0D3F">
        <w:t xml:space="preserve"> 61G15-22.0001 regarding renewal of active licenses</w:t>
      </w:r>
      <w:r>
        <w:t xml:space="preserve"> to make changes in response to concerns raised by Joint Admi</w:t>
      </w:r>
      <w:r w:rsidR="000B0D3F">
        <w:t>nistrative Procedures Committee.</w:t>
      </w:r>
    </w:p>
    <w:p w:rsidR="00691E1A" w:rsidRDefault="00691E1A" w:rsidP="000B0D3F">
      <w:pPr>
        <w:pStyle w:val="BlockText"/>
      </w:pPr>
    </w:p>
    <w:p w:rsidR="00E3126D" w:rsidRDefault="009E2A70" w:rsidP="005F40C4">
      <w:pPr>
        <w:pStyle w:val="BlockText"/>
        <w:numPr>
          <w:ilvl w:val="1"/>
          <w:numId w:val="11"/>
        </w:numPr>
      </w:pPr>
      <w:r>
        <w:t xml:space="preserve">This board has received or disposed of the following Petitions for </w:t>
      </w:r>
      <w:r w:rsidR="00052694">
        <w:t>Declaratory Statement</w:t>
      </w:r>
      <w:r w:rsidR="00003119">
        <w:t xml:space="preserve"> (if any</w:t>
      </w:r>
      <w:r w:rsidR="000B0D3F">
        <w:t>): None noticed</w:t>
      </w:r>
      <w:r w:rsidR="00EA1306">
        <w:t>...</w:t>
      </w:r>
    </w:p>
    <w:p w:rsidR="000B0D3F" w:rsidRDefault="000B0D3F" w:rsidP="000B0D3F">
      <w:pPr>
        <w:pStyle w:val="BlockText"/>
        <w:ind w:left="1800"/>
      </w:pPr>
    </w:p>
    <w:p w:rsidR="000B0D3F" w:rsidRDefault="000B0D3F" w:rsidP="000B0D3F">
      <w:pPr>
        <w:pStyle w:val="BlockText"/>
        <w:numPr>
          <w:ilvl w:val="1"/>
          <w:numId w:val="11"/>
        </w:numPr>
      </w:pPr>
      <w:r>
        <w:t>This board has received or disposed of the following Petitions for Variance or Waiver (if any): None noticed.</w:t>
      </w:r>
    </w:p>
    <w:p w:rsidR="000B0D3F" w:rsidRDefault="000B0D3F" w:rsidP="000B0D3F">
      <w:pPr>
        <w:pStyle w:val="BlockText"/>
      </w:pPr>
    </w:p>
    <w:p w:rsidR="004E142A" w:rsidRDefault="004E142A" w:rsidP="0008109E">
      <w:pPr>
        <w:pStyle w:val="BlockText"/>
        <w:numPr>
          <w:ilvl w:val="0"/>
          <w:numId w:val="11"/>
        </w:numPr>
      </w:pPr>
      <w:r w:rsidRPr="009A1012">
        <w:rPr>
          <w:u w:val="single"/>
        </w:rPr>
        <w:t>Building Code Administrators and Inspectors</w:t>
      </w:r>
      <w:r>
        <w:t xml:space="preserve"> Board – Chapt</w:t>
      </w:r>
      <w:r w:rsidR="00E3126D">
        <w:t>er 468, Part XII and 61G19 FAC:</w:t>
      </w:r>
    </w:p>
    <w:p w:rsidR="004E142A" w:rsidRDefault="004E142A" w:rsidP="004E142A">
      <w:pPr>
        <w:pStyle w:val="BlockText"/>
        <w:ind w:left="1440"/>
      </w:pPr>
    </w:p>
    <w:p w:rsidR="004E142A" w:rsidRDefault="00E1125C" w:rsidP="0008109E">
      <w:pPr>
        <w:pStyle w:val="BlockText"/>
        <w:numPr>
          <w:ilvl w:val="1"/>
          <w:numId w:val="11"/>
        </w:numPr>
      </w:pPr>
      <w:r>
        <w:t>This board has proposed, adopted, repealed or amended the following rules (if any):</w:t>
      </w:r>
      <w:r w:rsidR="00E3126D">
        <w:t xml:space="preserve"> None noticed (no proposed rules are pending)</w:t>
      </w:r>
    </w:p>
    <w:p w:rsidR="004E142A" w:rsidRDefault="004E142A" w:rsidP="004E142A">
      <w:pPr>
        <w:pStyle w:val="BlockText"/>
      </w:pPr>
    </w:p>
    <w:p w:rsidR="004E2A5D" w:rsidRDefault="004E142A" w:rsidP="002D366C">
      <w:pPr>
        <w:pStyle w:val="BlockText"/>
        <w:numPr>
          <w:ilvl w:val="1"/>
          <w:numId w:val="11"/>
        </w:numPr>
      </w:pPr>
      <w:r>
        <w:t>This board has received or disposed of the following Petitions for Declaratory Statement (if any</w:t>
      </w:r>
      <w:r w:rsidR="004E2A5D">
        <w:t>): None noticed.</w:t>
      </w:r>
    </w:p>
    <w:p w:rsidR="0084009D" w:rsidRDefault="0084009D" w:rsidP="0084009D">
      <w:pPr>
        <w:pStyle w:val="BlockText"/>
      </w:pPr>
    </w:p>
    <w:p w:rsidR="004E142A" w:rsidRDefault="004E142A" w:rsidP="0008109E">
      <w:pPr>
        <w:pStyle w:val="BlockText"/>
        <w:numPr>
          <w:ilvl w:val="1"/>
          <w:numId w:val="11"/>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F73B56" w:rsidRDefault="004E142A" w:rsidP="0008109E">
      <w:pPr>
        <w:pStyle w:val="BlockText"/>
        <w:numPr>
          <w:ilvl w:val="0"/>
          <w:numId w:val="11"/>
        </w:numPr>
      </w:pPr>
      <w:r w:rsidRPr="00A82F6F">
        <w:rPr>
          <w:u w:val="single"/>
        </w:rPr>
        <w:t>Florida Building Commission</w:t>
      </w:r>
      <w:r>
        <w:rPr>
          <w:rStyle w:val="FootnoteReference"/>
          <w:u w:val="single"/>
        </w:rPr>
        <w:footnoteReference w:id="1"/>
      </w:r>
      <w:r>
        <w:t xml:space="preserve"> – Chapter 553, Part IV and Chapter 61G20, FAC): </w:t>
      </w:r>
    </w:p>
    <w:p w:rsidR="00F73B56" w:rsidRDefault="00F73B56" w:rsidP="00F73B56">
      <w:pPr>
        <w:pStyle w:val="BlockText"/>
        <w:ind w:left="720"/>
        <w:rPr>
          <w:u w:val="single"/>
        </w:rPr>
      </w:pPr>
    </w:p>
    <w:p w:rsidR="00920535" w:rsidRDefault="00F73B56" w:rsidP="00E3126D">
      <w:pPr>
        <w:pStyle w:val="BlockText"/>
        <w:rPr>
          <w:b/>
        </w:rPr>
      </w:pPr>
      <w:r>
        <w:rPr>
          <w:b/>
          <w:u w:val="single"/>
        </w:rPr>
        <w:t xml:space="preserve">CODE </w:t>
      </w:r>
      <w:r w:rsidRPr="00D255AC">
        <w:rPr>
          <w:b/>
          <w:u w:val="single"/>
        </w:rPr>
        <w:t>NOTE</w:t>
      </w:r>
      <w:r w:rsidRPr="00D255AC">
        <w:rPr>
          <w:b/>
        </w:rPr>
        <w:t xml:space="preserve">: </w:t>
      </w:r>
      <w:r w:rsidRPr="00571120">
        <w:rPr>
          <w:b/>
        </w:rPr>
        <w:t xml:space="preserve">Due to a delay in adoption of the latest NFPA fire codes, the effective date of the next Florida Building has been postponed until </w:t>
      </w:r>
      <w:r>
        <w:rPr>
          <w:b/>
        </w:rPr>
        <w:t>December 31, 201</w:t>
      </w:r>
      <w:r w:rsidRPr="00571120">
        <w:rPr>
          <w:b/>
          <w:i/>
          <w:u w:val="single"/>
        </w:rPr>
        <w:t>4</w:t>
      </w:r>
      <w:r>
        <w:rPr>
          <w:b/>
          <w:i/>
          <w:u w:val="single"/>
        </w:rPr>
        <w:t xml:space="preserve"> </w:t>
      </w:r>
      <w:r>
        <w:rPr>
          <w:b/>
        </w:rPr>
        <w:t>and will be entitled "Florida Building Code 5</w:t>
      </w:r>
      <w:r w:rsidRPr="00571120">
        <w:rPr>
          <w:b/>
          <w:vertAlign w:val="superscript"/>
        </w:rPr>
        <w:t>th</w:t>
      </w:r>
      <w:r>
        <w:rPr>
          <w:b/>
        </w:rPr>
        <w:t xml:space="preserve"> Edition (2014)."</w:t>
      </w:r>
      <w:r w:rsidR="000B0D3F">
        <w:rPr>
          <w:b/>
        </w:rPr>
        <w:t xml:space="preserve"> IT MAY BE NECESSARY TO POSTPONE IT FURTHER!</w:t>
      </w:r>
    </w:p>
    <w:p w:rsidR="00B0622F" w:rsidRPr="00E3126D" w:rsidRDefault="00B0622F" w:rsidP="00E3126D">
      <w:pPr>
        <w:pStyle w:val="BlockText"/>
        <w:rPr>
          <w:b/>
        </w:rPr>
      </w:pPr>
    </w:p>
    <w:p w:rsidR="00E3126D" w:rsidRDefault="00E1125C" w:rsidP="00E3126D">
      <w:pPr>
        <w:pStyle w:val="BlockText"/>
        <w:numPr>
          <w:ilvl w:val="1"/>
          <w:numId w:val="11"/>
        </w:numPr>
      </w:pPr>
      <w:r>
        <w:t>This board has proposed, adopted, repealed or amended the following rules (if any):</w:t>
      </w:r>
      <w:r w:rsidR="0084009D">
        <w:t xml:space="preserve"> </w:t>
      </w:r>
      <w:r w:rsidR="000B0D3F">
        <w:t>None noticed.</w:t>
      </w:r>
    </w:p>
    <w:p w:rsidR="00C60ABB" w:rsidRDefault="00C60ABB" w:rsidP="00C60ABB">
      <w:pPr>
        <w:pStyle w:val="BlockText"/>
        <w:ind w:left="1800"/>
      </w:pPr>
    </w:p>
    <w:p w:rsidR="00217EBB" w:rsidRDefault="00E1125C" w:rsidP="000B0D3F">
      <w:pPr>
        <w:pStyle w:val="BlockText"/>
        <w:numPr>
          <w:ilvl w:val="1"/>
          <w:numId w:val="11"/>
        </w:numPr>
      </w:pPr>
      <w:r>
        <w:t xml:space="preserve">This board has received or disposed of the following Petitions for </w:t>
      </w:r>
      <w:r w:rsidR="003747B5">
        <w:t xml:space="preserve">Declaratory Statement: </w:t>
      </w:r>
      <w:r w:rsidR="000B0D3F" w:rsidRPr="000B0D3F">
        <w:rPr>
          <w:b/>
        </w:rPr>
        <w:t>Karnes Engineering Group</w:t>
      </w:r>
      <w:r w:rsidR="000B0D3F">
        <w:t xml:space="preserve"> -</w:t>
      </w:r>
      <w:r w:rsidR="00217EBB" w:rsidRPr="000B0D3F">
        <w:rPr>
          <w:b/>
        </w:rPr>
        <w:t xml:space="preserve"> </w:t>
      </w:r>
      <w:r w:rsidR="00217EBB">
        <w:t xml:space="preserve">seeking </w:t>
      </w:r>
      <w:r w:rsidR="000B0D3F">
        <w:t xml:space="preserve">an opinion as to </w:t>
      </w:r>
      <w:r w:rsidR="00217EBB">
        <w:t xml:space="preserve">whether </w:t>
      </w:r>
      <w:r w:rsidR="000B0D3F">
        <w:t>section 3109.1.1., Florida Building Code</w:t>
      </w:r>
      <w:r w:rsidR="00165F0B">
        <w:t>, Building (2010)</w:t>
      </w:r>
      <w:r w:rsidR="000B0D3F">
        <w:t xml:space="preserve"> applies to foundation repairs seaward of the Coastal Construction Control Line.</w:t>
      </w:r>
    </w:p>
    <w:p w:rsidR="000B0D3F" w:rsidRPr="000B0D3F" w:rsidRDefault="000B0D3F" w:rsidP="000B0D3F">
      <w:pPr>
        <w:pStyle w:val="BlockText"/>
      </w:pPr>
    </w:p>
    <w:p w:rsidR="00165F0B" w:rsidRPr="00414D9E" w:rsidRDefault="000B0D3F" w:rsidP="00414D9E">
      <w:pPr>
        <w:pStyle w:val="BlockText"/>
        <w:numPr>
          <w:ilvl w:val="1"/>
          <w:numId w:val="11"/>
        </w:numPr>
      </w:pPr>
      <w:r>
        <w:t xml:space="preserve">This board has received or disposed of the following Petitions for Variance or Waiver (if any): </w:t>
      </w:r>
      <w:r w:rsidRPr="00B26EF6">
        <w:rPr>
          <w:b/>
        </w:rPr>
        <w:t>Nawee Chaudhri</w:t>
      </w:r>
      <w:r>
        <w:t xml:space="preserve"> </w:t>
      </w:r>
      <w:r w:rsidR="00414D9E">
        <w:t>– Order entered on July 31, 2014, regarding Rule 61G15-20.0015(5), GRANTS petitioner’s waiver based on his valid engineering degree in another state of 15 years, with 20 years of continuous professional-level engineering experience.</w:t>
      </w:r>
    </w:p>
    <w:p w:rsidR="00217EBB" w:rsidRPr="00F73B56" w:rsidRDefault="00217EBB" w:rsidP="00C60ABB">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9D71A1">
        <w:t>Nothing new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r w:rsidR="00F054FC">
        <w:t xml:space="preserve">: Nothing </w:t>
      </w:r>
      <w:r w:rsidR="003B59EA">
        <w:t xml:space="preserve">new </w:t>
      </w:r>
      <w:r w:rsidR="00F054FC">
        <w:t>to report.</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4B10A3" w:rsidRDefault="0094577A" w:rsidP="00781A63">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w:t>
      </w:r>
      <w:r w:rsidR="003B59EA">
        <w:t xml:space="preserve">new </w:t>
      </w:r>
      <w:r w:rsidR="004E2A5D">
        <w:t>to report.</w:t>
      </w:r>
    </w:p>
    <w:p w:rsidR="00317330" w:rsidRDefault="00317330" w:rsidP="00781A63">
      <w:pPr>
        <w:pStyle w:val="BlockText"/>
        <w:ind w:left="720"/>
      </w:pPr>
    </w:p>
    <w:p w:rsidR="00427E2F" w:rsidRDefault="004B10A3" w:rsidP="00876A95">
      <w:pPr>
        <w:pStyle w:val="BlockText"/>
        <w:ind w:left="810" w:hanging="90"/>
      </w:pPr>
      <w:r>
        <w:t xml:space="preserve">11. </w:t>
      </w:r>
      <w:r w:rsidRPr="00C906E0">
        <w:rPr>
          <w:u w:val="single"/>
        </w:rPr>
        <w:t>Asbestos Consultants</w:t>
      </w:r>
      <w:r>
        <w:t xml:space="preserve"> – Chapter </w:t>
      </w:r>
      <w:r w:rsidR="00C906E0">
        <w:t>469</w:t>
      </w:r>
      <w:r>
        <w:t>, Florida Statutes, and Chapter</w:t>
      </w:r>
      <w:r w:rsidR="009D71A1">
        <w:t xml:space="preserve"> 61</w:t>
      </w:r>
      <w:r w:rsidR="00C60ABB">
        <w:t>E1, F.A.C.:  Nothing new to report.</w:t>
      </w:r>
    </w:p>
    <w:p w:rsidR="007D12C5" w:rsidRPr="0094577A" w:rsidRDefault="007D12C5" w:rsidP="00414D9E">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 xml:space="preserve">t II (licensing and regulation): </w:t>
      </w:r>
      <w:r w:rsidR="00317330">
        <w:t>Nothing new to report.</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w:t>
      </w:r>
      <w:r w:rsidR="007D12C5">
        <w:t>h</w:t>
      </w:r>
      <w:r w:rsidR="00E64091">
        <w:t xml:space="preserve">ing </w:t>
      </w:r>
      <w:r w:rsidR="00317330">
        <w:t xml:space="preserve">new </w:t>
      </w:r>
      <w:r w:rsidR="00E64091">
        <w:t>to report.</w:t>
      </w:r>
    </w:p>
    <w:p w:rsidR="004E142A" w:rsidRPr="002E2A6D" w:rsidRDefault="004E142A" w:rsidP="004E142A">
      <w:pPr>
        <w:pStyle w:val="BlockText"/>
        <w:ind w:left="720"/>
      </w:pPr>
    </w:p>
    <w:p w:rsidR="00CA5EE6" w:rsidRDefault="00DE52F2" w:rsidP="00CA5EE6">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p>
    <w:p w:rsidR="00CA5EE6" w:rsidRDefault="00CA5EE6" w:rsidP="00CA5EE6">
      <w:pPr>
        <w:pStyle w:val="BlockText"/>
      </w:pPr>
    </w:p>
    <w:p w:rsidR="00CA5EE6" w:rsidRDefault="00CA5EE6" w:rsidP="0008109E">
      <w:pPr>
        <w:pStyle w:val="BlockText"/>
        <w:numPr>
          <w:ilvl w:val="0"/>
          <w:numId w:val="15"/>
        </w:numPr>
      </w:pPr>
      <w:r>
        <w:t>Division of Environmental Health:</w:t>
      </w:r>
    </w:p>
    <w:p w:rsidR="00CA5EE6" w:rsidRDefault="00CA5EE6" w:rsidP="00CA5EE6">
      <w:pPr>
        <w:pStyle w:val="BlockText"/>
        <w:ind w:left="1080"/>
      </w:pPr>
    </w:p>
    <w:p w:rsidR="00B36726" w:rsidRDefault="00CA5EE6" w:rsidP="0008109E">
      <w:pPr>
        <w:pStyle w:val="BlockText"/>
        <w:numPr>
          <w:ilvl w:val="1"/>
          <w:numId w:val="15"/>
        </w:numPr>
      </w:pPr>
      <w:r>
        <w:t>The following rules have been proposed for creation or amendments</w:t>
      </w:r>
      <w:r w:rsidR="003B59EA">
        <w:t>:</w:t>
      </w:r>
      <w:r w:rsidR="00B36726">
        <w:t xml:space="preserve"> </w:t>
      </w:r>
    </w:p>
    <w:p w:rsidR="00B36726" w:rsidRDefault="00B36726" w:rsidP="00B36726">
      <w:pPr>
        <w:pStyle w:val="BlockText"/>
        <w:ind w:left="1800"/>
      </w:pPr>
    </w:p>
    <w:p w:rsidR="00B36726" w:rsidRDefault="00B36726" w:rsidP="00B36726">
      <w:pPr>
        <w:pStyle w:val="BlockText"/>
        <w:numPr>
          <w:ilvl w:val="2"/>
          <w:numId w:val="15"/>
        </w:numPr>
      </w:pPr>
      <w:r>
        <w:t>Rules 64F-20.001regarding definitions to eliminate 2 that are redundant or unnecessary.</w:t>
      </w:r>
    </w:p>
    <w:p w:rsidR="00B36726" w:rsidRDefault="00B36726" w:rsidP="00B36726">
      <w:pPr>
        <w:pStyle w:val="BlockText"/>
        <w:ind w:left="2520"/>
      </w:pPr>
    </w:p>
    <w:p w:rsidR="00B36726" w:rsidRDefault="00B36726" w:rsidP="00B36726">
      <w:pPr>
        <w:pStyle w:val="BlockText"/>
        <w:numPr>
          <w:ilvl w:val="2"/>
          <w:numId w:val="15"/>
        </w:numPr>
      </w:pPr>
      <w:r>
        <w:t>Rule 64F-20.002 to adopt the Grade “E” air quality verifications levels.</w:t>
      </w:r>
    </w:p>
    <w:p w:rsidR="00B36726" w:rsidRDefault="00B36726" w:rsidP="00B36726">
      <w:pPr>
        <w:pStyle w:val="BlockText"/>
      </w:pPr>
    </w:p>
    <w:p w:rsidR="00CA5EE6" w:rsidRDefault="00B36726" w:rsidP="00B36726">
      <w:pPr>
        <w:pStyle w:val="BlockText"/>
        <w:numPr>
          <w:ilvl w:val="2"/>
          <w:numId w:val="15"/>
        </w:numPr>
      </w:pPr>
      <w:r>
        <w:t>Rule 64F-20.003 to repeal as unnecessary.</w:t>
      </w:r>
    </w:p>
    <w:p w:rsidR="00CA5EE6" w:rsidRDefault="00CA5EE6" w:rsidP="00CA5EE6">
      <w:pPr>
        <w:pStyle w:val="BlockText"/>
        <w:ind w:left="1800"/>
      </w:pPr>
    </w:p>
    <w:p w:rsidR="00B36726" w:rsidRDefault="00CA5EE6" w:rsidP="00B36726">
      <w:pPr>
        <w:pStyle w:val="BlockText"/>
        <w:numPr>
          <w:ilvl w:val="1"/>
          <w:numId w:val="15"/>
        </w:numPr>
      </w:pPr>
      <w:r>
        <w:t>The following Petitions for Variance or Wavier have been received or disposed of:</w:t>
      </w:r>
      <w:r w:rsidR="001D35CA">
        <w:t xml:space="preserve"> </w:t>
      </w:r>
    </w:p>
    <w:p w:rsidR="00B36726" w:rsidRDefault="00B36726" w:rsidP="00B36726">
      <w:pPr>
        <w:pStyle w:val="BlockText"/>
        <w:ind w:left="1800"/>
      </w:pPr>
    </w:p>
    <w:p w:rsidR="0091203A" w:rsidRDefault="00B36726" w:rsidP="00B36726">
      <w:pPr>
        <w:pStyle w:val="BlockText"/>
        <w:numPr>
          <w:ilvl w:val="2"/>
          <w:numId w:val="15"/>
        </w:numPr>
      </w:pPr>
      <w:r w:rsidRPr="00B36726">
        <w:rPr>
          <w:b/>
        </w:rPr>
        <w:t xml:space="preserve">Bruce Stowe/Roth Global Plastics, Inc. </w:t>
      </w:r>
      <w:r w:rsidR="0091203A" w:rsidRPr="00B36726">
        <w:rPr>
          <w:b/>
        </w:rPr>
        <w:t>–</w:t>
      </w:r>
      <w:r w:rsidR="003B59EA">
        <w:t xml:space="preserve"> </w:t>
      </w:r>
      <w:r>
        <w:t>Received on August 12, 2014, r</w:t>
      </w:r>
      <w:r w:rsidR="0091203A">
        <w:t>egarding Rule 64E-</w:t>
      </w:r>
      <w:r>
        <w:t>6.013(2)(a) regarding receptacle-stiffening members.</w:t>
      </w:r>
    </w:p>
    <w:p w:rsidR="00B36726" w:rsidRDefault="00B36726" w:rsidP="00B36726">
      <w:pPr>
        <w:pStyle w:val="BlockText"/>
        <w:ind w:left="2340"/>
      </w:pPr>
    </w:p>
    <w:p w:rsidR="00B36726" w:rsidRDefault="00B36726" w:rsidP="00B36726">
      <w:pPr>
        <w:pStyle w:val="BlockText"/>
        <w:numPr>
          <w:ilvl w:val="2"/>
          <w:numId w:val="15"/>
        </w:numPr>
      </w:pPr>
      <w:r>
        <w:rPr>
          <w:b/>
        </w:rPr>
        <w:t>Sushi with Gusto</w:t>
      </w:r>
      <w:r w:rsidRPr="00B36726">
        <w:rPr>
          <w:b/>
        </w:rPr>
        <w:t xml:space="preserve"> –</w:t>
      </w:r>
      <w:r>
        <w:t xml:space="preserve"> Received on August 18, 2014, regarding Rule 64E-11.004(2) regarding </w:t>
      </w:r>
      <w:r w:rsidR="00FE58DA">
        <w:t>minimum temperature for potentially hazardous food</w:t>
      </w:r>
      <w:r>
        <w:t>.</w:t>
      </w:r>
    </w:p>
    <w:p w:rsidR="00B36726" w:rsidRDefault="00B36726" w:rsidP="00B36726">
      <w:pPr>
        <w:pStyle w:val="BlockText"/>
      </w:pPr>
    </w:p>
    <w:p w:rsidR="00B36726" w:rsidRDefault="00FE58DA" w:rsidP="00B36726">
      <w:pPr>
        <w:pStyle w:val="BlockText"/>
        <w:numPr>
          <w:ilvl w:val="2"/>
          <w:numId w:val="15"/>
        </w:numPr>
      </w:pPr>
      <w:r>
        <w:rPr>
          <w:b/>
        </w:rPr>
        <w:t xml:space="preserve">Francis </w:t>
      </w:r>
      <w:r w:rsidR="00EA1306">
        <w:rPr>
          <w:b/>
        </w:rPr>
        <w:t>McMahon</w:t>
      </w:r>
      <w:r>
        <w:rPr>
          <w:b/>
        </w:rPr>
        <w:t>/Kellygreen Innovations, LLC</w:t>
      </w:r>
      <w:r w:rsidR="00B36726" w:rsidRPr="00B36726">
        <w:rPr>
          <w:b/>
        </w:rPr>
        <w:t xml:space="preserve"> –</w:t>
      </w:r>
      <w:r w:rsidR="00B36726">
        <w:t xml:space="preserve"> Received on Augu</w:t>
      </w:r>
      <w:r>
        <w:t>st 27</w:t>
      </w:r>
      <w:r w:rsidR="00B36726">
        <w:t>, 2014, regarding Rule 64E-</w:t>
      </w:r>
      <w:r>
        <w:t xml:space="preserve">6.009(5)(a)23, </w:t>
      </w:r>
      <w:r w:rsidR="00B36726">
        <w:t>regarding</w:t>
      </w:r>
      <w:r>
        <w:t xml:space="preserve"> use of</w:t>
      </w:r>
      <w:r w:rsidR="00B36726">
        <w:t xml:space="preserve"> </w:t>
      </w:r>
      <w:r>
        <w:t>drip irrigation systems</w:t>
      </w:r>
      <w:r w:rsidR="00B36726">
        <w:t>.</w:t>
      </w:r>
    </w:p>
    <w:p w:rsidR="00B36726" w:rsidRPr="0091203A" w:rsidRDefault="00B36726" w:rsidP="00B36726">
      <w:pPr>
        <w:pStyle w:val="BlockText"/>
        <w:ind w:left="2340"/>
      </w:pPr>
    </w:p>
    <w:p w:rsidR="001D35CA" w:rsidRDefault="001D35CA" w:rsidP="001D35CA">
      <w:pPr>
        <w:pStyle w:val="BlockText"/>
      </w:pPr>
      <w:r w:rsidRPr="001D35CA">
        <w:rPr>
          <w:b/>
          <w:u w:val="single"/>
        </w:rPr>
        <w:t>Editor’s Note:</w:t>
      </w:r>
      <w:r>
        <w:t xml:space="preserve"> The 2012 repeal of the Department of Health’s authority for plan review and approval of swimming pools and bathing pools appears to have been REINSTATED effective July 1, 2014 by House Bill 7147, which prohibits </w:t>
      </w:r>
      <w:r w:rsidR="001D2330">
        <w:t>a building department from accepting</w:t>
      </w:r>
      <w:r>
        <w:t xml:space="preserve"> an application for </w:t>
      </w:r>
      <w:r w:rsidR="001D2330">
        <w:t xml:space="preserve">a </w:t>
      </w:r>
      <w:r>
        <w:t xml:space="preserve">permit to construct a “public” pool (such as at a condominium complex) without proof that an application for </w:t>
      </w:r>
      <w:r w:rsidR="001D2330">
        <w:t xml:space="preserve">an </w:t>
      </w:r>
      <w:r>
        <w:t xml:space="preserve">OPERATING permit has been filed with the Department of Health, and prohibits </w:t>
      </w:r>
      <w:r w:rsidR="001D2330">
        <w:t xml:space="preserve">a building department from issuing </w:t>
      </w:r>
      <w:r>
        <w:t>a Certificate of Completion</w:t>
      </w:r>
      <w:r w:rsidR="001D2330">
        <w:t xml:space="preserve"> for a public pool without proof that the DOH has issued the OPERATING permit. This appears to be a compromise that reinstates the role of DOH.</w:t>
      </w:r>
    </w:p>
    <w:p w:rsidR="00756A0C" w:rsidRDefault="00756A0C" w:rsidP="003B59EA"/>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8F58B8" w:rsidRDefault="00DE52F2" w:rsidP="00781A63">
      <w:pPr>
        <w:pStyle w:val="BlockText"/>
        <w:ind w:firstLine="720"/>
      </w:pPr>
      <w:r>
        <w:t xml:space="preserve">1. </w:t>
      </w:r>
      <w:r w:rsidR="003B59EA">
        <w:t xml:space="preserve"> </w:t>
      </w:r>
      <w:r w:rsidR="00436BA2">
        <w:t>Boiler Safety Act - Chapter 554, F. S., and Chapter 69A-51, F.A.C.</w:t>
      </w:r>
      <w:r w:rsidR="008476AE">
        <w:t>: Nothing to report.</w:t>
      </w:r>
    </w:p>
    <w:p w:rsidR="003B59EA" w:rsidRDefault="003B59EA" w:rsidP="00781A63">
      <w:pPr>
        <w:pStyle w:val="BlockText"/>
        <w:ind w:firstLine="720"/>
      </w:pPr>
    </w:p>
    <w:p w:rsidR="0001260C" w:rsidRDefault="003C2DE3" w:rsidP="00DD6729">
      <w:pPr>
        <w:pStyle w:val="BlockText"/>
        <w:numPr>
          <w:ilvl w:val="0"/>
          <w:numId w:val="15"/>
        </w:numPr>
      </w:pPr>
      <w:r>
        <w:t>Division of Workers’ Compensation</w:t>
      </w:r>
      <w:r w:rsidR="004E142A">
        <w:t xml:space="preserve"> – Chapter 440 and 6</w:t>
      </w:r>
      <w:r w:rsidR="00BD42D8">
        <w:t>9L FAC:</w:t>
      </w:r>
      <w:r w:rsidR="007D12C5">
        <w:t xml:space="preserve"> </w:t>
      </w:r>
      <w:r w:rsidR="003B59EA">
        <w:t>Rule 69L-6.012 is proposed for amendmen</w:t>
      </w:r>
      <w:r w:rsidR="00DD6729">
        <w:t>ts relating to the process by w</w:t>
      </w:r>
      <w:r w:rsidR="003B59EA">
        <w:t xml:space="preserve">hich corporate </w:t>
      </w:r>
      <w:r w:rsidR="001D2330">
        <w:t>offices may apply for exemption.</w:t>
      </w: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76A95" w:rsidRDefault="0001260C" w:rsidP="00876A95">
      <w:pPr>
        <w:pStyle w:val="BlockText"/>
        <w:numPr>
          <w:ilvl w:val="0"/>
          <w:numId w:val="15"/>
        </w:numPr>
      </w:pPr>
      <w:r>
        <w:t xml:space="preserve">Office of State Fire Marshal - Chapter 633, Florida Statutes and Chapter 69A, F.C.A.: </w:t>
      </w:r>
    </w:p>
    <w:p w:rsidR="00876A95" w:rsidRDefault="00876A95" w:rsidP="00876A95">
      <w:pPr>
        <w:pStyle w:val="BlockText"/>
        <w:ind w:left="1080"/>
      </w:pPr>
    </w:p>
    <w:p w:rsidR="007D12C5" w:rsidRDefault="000E282A" w:rsidP="00DF2996">
      <w:pPr>
        <w:pStyle w:val="BlockText"/>
        <w:numPr>
          <w:ilvl w:val="1"/>
          <w:numId w:val="15"/>
        </w:numPr>
      </w:pPr>
      <w:r>
        <w:t>The following rules are being proposed or amended</w:t>
      </w:r>
      <w:r w:rsidR="001D2330">
        <w:t xml:space="preserve"> (if any)</w:t>
      </w:r>
      <w:r>
        <w:t>:</w:t>
      </w:r>
      <w:r w:rsidR="00DF2996">
        <w:t xml:space="preserve"> </w:t>
      </w:r>
      <w:r w:rsidR="001D2330">
        <w:t>Rule 69A-</w:t>
      </w:r>
      <w:r w:rsidR="00DF2996">
        <w:t>69A-62.024, regarding standards for construction, repair and maintenance of places of employment has been WITHDRAWN.</w:t>
      </w:r>
    </w:p>
    <w:p w:rsidR="00FE58DA" w:rsidRDefault="00FE58DA" w:rsidP="00FE58DA">
      <w:pPr>
        <w:pStyle w:val="BlockText"/>
        <w:ind w:left="2520"/>
      </w:pPr>
    </w:p>
    <w:p w:rsidR="005C76EE" w:rsidRDefault="000E282A" w:rsidP="005C76EE">
      <w:pPr>
        <w:pStyle w:val="BlockText"/>
        <w:numPr>
          <w:ilvl w:val="1"/>
          <w:numId w:val="15"/>
        </w:numPr>
      </w:pPr>
      <w:r>
        <w:t>The following petitions for Declaratory Statement have been received or disposed of</w:t>
      </w:r>
      <w:r w:rsidR="00AE4D48">
        <w:t xml:space="preserve"> (if any)</w:t>
      </w:r>
      <w:r>
        <w:t>:</w:t>
      </w:r>
    </w:p>
    <w:p w:rsidR="005C76EE" w:rsidRDefault="005C76EE" w:rsidP="005C76EE">
      <w:pPr>
        <w:pStyle w:val="ListParagraph"/>
        <w:rPr>
          <w:b/>
        </w:rPr>
      </w:pPr>
    </w:p>
    <w:p w:rsidR="00DF2996" w:rsidRDefault="00925171" w:rsidP="00DF2996">
      <w:pPr>
        <w:pStyle w:val="BlockText"/>
        <w:numPr>
          <w:ilvl w:val="2"/>
          <w:numId w:val="15"/>
        </w:numPr>
      </w:pPr>
      <w:r>
        <w:rPr>
          <w:b/>
        </w:rPr>
        <w:t>Michael Sheeh</w:t>
      </w:r>
      <w:r w:rsidR="00DF2996" w:rsidRPr="00925171">
        <w:rPr>
          <w:b/>
        </w:rPr>
        <w:t>an</w:t>
      </w:r>
      <w:r w:rsidR="00DF2996">
        <w:t xml:space="preserve"> – Order </w:t>
      </w:r>
      <w:r>
        <w:t>filed Au</w:t>
      </w:r>
      <w:r w:rsidR="00DF2996">
        <w:t xml:space="preserve">gust 21, 2014, DISMISSING </w:t>
      </w:r>
      <w:r>
        <w:t xml:space="preserve">petition for failure to </w:t>
      </w:r>
      <w:r w:rsidR="00C45435">
        <w:t xml:space="preserve">first </w:t>
      </w:r>
      <w:r>
        <w:t xml:space="preserve">proceed through the local appeal process with an adverse ruling as to a determination as to the applicability of </w:t>
      </w:r>
      <w:r w:rsidRPr="00925171">
        <w:rPr>
          <w:i/>
        </w:rPr>
        <w:t>Florida Fire Prevention Code</w:t>
      </w:r>
      <w:r>
        <w:t xml:space="preserve"> 101:7.7.4.1.6, 2010 edition.</w:t>
      </w:r>
    </w:p>
    <w:p w:rsidR="00925171" w:rsidRDefault="00925171" w:rsidP="00925171">
      <w:pPr>
        <w:pStyle w:val="BlockText"/>
        <w:ind w:left="2520"/>
      </w:pPr>
    </w:p>
    <w:p w:rsidR="00925171" w:rsidRDefault="00925171" w:rsidP="00DF2996">
      <w:pPr>
        <w:pStyle w:val="BlockText"/>
        <w:numPr>
          <w:ilvl w:val="2"/>
          <w:numId w:val="15"/>
        </w:numPr>
      </w:pPr>
      <w:r>
        <w:rPr>
          <w:b/>
        </w:rPr>
        <w:t xml:space="preserve">William Harrison/Clermont Fire Department </w:t>
      </w:r>
      <w:r>
        <w:t>– Order issued (no date specified) answering in the negative that NFPA 25 inspections required the water pressure to meet the base riser demand as listed on the hydraulic calculation plate or be red-tagged/reported pursuant to Rule 69A-46.041.</w:t>
      </w:r>
    </w:p>
    <w:p w:rsidR="00925171" w:rsidRDefault="00925171" w:rsidP="00925171">
      <w:pPr>
        <w:pStyle w:val="ListParagraph"/>
      </w:pPr>
    </w:p>
    <w:p w:rsidR="00925171" w:rsidRDefault="00925171" w:rsidP="00DF2996">
      <w:pPr>
        <w:pStyle w:val="BlockText"/>
        <w:numPr>
          <w:ilvl w:val="2"/>
          <w:numId w:val="15"/>
        </w:numPr>
      </w:pPr>
      <w:r w:rsidRPr="00925171">
        <w:rPr>
          <w:b/>
        </w:rPr>
        <w:t>Concord Management Limite</w:t>
      </w:r>
      <w:r>
        <w:t>d – Petition received on August 1, 2014, regarding the applicability of NFPA 101:7.10.1.5.1, 2009 edition to the required use of exit signs in an apartment building’s breezeway.</w:t>
      </w:r>
    </w:p>
    <w:p w:rsidR="00925171" w:rsidRDefault="00925171" w:rsidP="00925171">
      <w:pPr>
        <w:pStyle w:val="ListParagraph"/>
      </w:pPr>
    </w:p>
    <w:p w:rsidR="00925171" w:rsidRDefault="00925171" w:rsidP="00DF2996">
      <w:pPr>
        <w:pStyle w:val="BlockText"/>
        <w:numPr>
          <w:ilvl w:val="2"/>
          <w:numId w:val="15"/>
        </w:numPr>
      </w:pPr>
      <w:r w:rsidRPr="00C45435">
        <w:rPr>
          <w:b/>
        </w:rPr>
        <w:t>Gregory J. Cahanin Fire &amp; Code Consulting</w:t>
      </w:r>
      <w:r w:rsidR="00C45435" w:rsidRPr="00C45435">
        <w:rPr>
          <w:b/>
        </w:rPr>
        <w:t>/Spare Room Mini Storage</w:t>
      </w:r>
      <w:r>
        <w:t xml:space="preserve"> – Order i</w:t>
      </w:r>
      <w:r w:rsidR="00C45435">
        <w:t>ssued on August 18, 2014, DENING petition</w:t>
      </w:r>
      <w:r>
        <w:t xml:space="preserve"> for failure to </w:t>
      </w:r>
      <w:r w:rsidR="00C45435">
        <w:t xml:space="preserve">first </w:t>
      </w:r>
      <w:r>
        <w:t>proceed through the local appeal process and receive an adverse ruling</w:t>
      </w:r>
      <w:r w:rsidR="00C45435">
        <w:t xml:space="preserve"> as to the applicability of FFPC 101, Chapter 42, section 7.1.4.1.</w:t>
      </w:r>
    </w:p>
    <w:p w:rsidR="00925171" w:rsidRDefault="00925171" w:rsidP="00925171">
      <w:pPr>
        <w:pStyle w:val="BlockText"/>
      </w:pPr>
    </w:p>
    <w:p w:rsidR="00DF2996" w:rsidRDefault="00DF2996" w:rsidP="00DF2996">
      <w:pPr>
        <w:pStyle w:val="BlockText"/>
        <w:numPr>
          <w:ilvl w:val="1"/>
          <w:numId w:val="15"/>
        </w:numPr>
      </w:pPr>
      <w:r>
        <w:t>The following pe</w:t>
      </w:r>
      <w:r>
        <w:t xml:space="preserve">titions for Variance or Waiver </w:t>
      </w:r>
      <w:r>
        <w:t>t have been received or disposed of (if any):</w:t>
      </w:r>
      <w:r>
        <w:t xml:space="preserve"> </w:t>
      </w:r>
      <w:r w:rsidRPr="00DF2996">
        <w:rPr>
          <w:b/>
        </w:rPr>
        <w:t>Burton Construction Co</w:t>
      </w:r>
      <w:r>
        <w:t>.– petition received on July 25, 2014, regarding application of Rule 69L-6.025 to a conditional release of a stop-work order and periodic payment agreement.</w:t>
      </w:r>
    </w:p>
    <w:p w:rsidR="00DD6729" w:rsidRDefault="00DD6729" w:rsidP="00997BD1">
      <w:pPr>
        <w:pStyle w:val="BlockText"/>
      </w:pPr>
    </w:p>
    <w:p w:rsidR="00D255AC" w:rsidRPr="00997BD1" w:rsidRDefault="008476AE" w:rsidP="00E028F5">
      <w:pPr>
        <w:pStyle w:val="BlockText"/>
        <w:rPr>
          <w:b/>
          <w:i/>
          <w:u w:val="single"/>
        </w:rPr>
      </w:pPr>
      <w:r w:rsidRPr="003C2DE3">
        <w:rPr>
          <w:b/>
          <w:u w:val="single"/>
        </w:rPr>
        <w:t>Reminder:</w:t>
      </w:r>
      <w:r>
        <w:t xml:space="preserve"> </w:t>
      </w:r>
      <w:r w:rsidR="0001260C">
        <w:t>Rule 69A-60.003, amended ef</w:t>
      </w:r>
      <w:r w:rsidR="00B40FA6">
        <w:t xml:space="preserve">fective May 1, 2013, </w:t>
      </w:r>
      <w:r w:rsidR="00997BD1">
        <w:t>and adopted</w:t>
      </w:r>
      <w:r w:rsidR="00B40FA6">
        <w:t xml:space="preserve"> </w:t>
      </w:r>
      <w:r w:rsidR="0001260C">
        <w:t>NPR 1, the Fire Code, Florida 2009 edition (as amended 3/2013 to add Section 18.4.1.3 to Section 18.4 - Fire Flow Requirements for Buildings).</w:t>
      </w:r>
      <w:r w:rsidR="003C2DE3">
        <w:t xml:space="preserve"> </w:t>
      </w:r>
      <w:r w:rsidR="00997BD1">
        <w:t>S</w:t>
      </w:r>
      <w:r w:rsidR="00757661">
        <w:t>ection 633.0215(6)(b)</w:t>
      </w:r>
      <w:r w:rsidR="00997BD1">
        <w:t>, effective July 1, 2013,</w:t>
      </w:r>
      <w:r w:rsidR="00757661">
        <w:t xml:space="preserve"> EXMEPTS certain structures from application of the Florida Fire Prevention Code.</w:t>
      </w:r>
      <w:r w:rsidR="00997BD1" w:rsidRPr="00997BD1">
        <w:rPr>
          <w:b/>
        </w:rPr>
        <w:t xml:space="preserve"> </w:t>
      </w:r>
    </w:p>
    <w:p w:rsidR="00997BD1" w:rsidRDefault="00997BD1" w:rsidP="00997BD1">
      <w:pPr>
        <w:pStyle w:val="BlockText"/>
        <w:rPr>
          <w:b/>
          <w:i/>
          <w:u w:val="single"/>
        </w:rPr>
      </w:pPr>
    </w:p>
    <w:p w:rsidR="00B22750" w:rsidRDefault="00CF37B7" w:rsidP="005C76EE">
      <w:pPr>
        <w:pStyle w:val="BlockText"/>
      </w:pPr>
      <w:r w:rsidRPr="00CD02EB">
        <w:rPr>
          <w:b/>
          <w:u w:val="single"/>
        </w:rPr>
        <w:t>Legislative Action:</w:t>
      </w:r>
      <w:r w:rsidR="00156092">
        <w:t xml:space="preserve"> </w:t>
      </w:r>
      <w:r w:rsidR="005C76EE">
        <w:t xml:space="preserve"> No bills have yet been filed for consideration during the 2015 regular legislative session; typically, no bills are filed in an election year (even) prior to the general election (November</w:t>
      </w:r>
      <w:r w:rsidR="00FE58DA">
        <w:t>), except that Claims Bills had</w:t>
      </w:r>
      <w:r w:rsidR="005C76EE">
        <w:t xml:space="preserve"> a filing deadline in the Senate of August 1, 2014.</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Senators.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Committees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Committees.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Offices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Offices.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Media</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Media. </w:t>
      </w:r>
    </w:p>
    <w:p w:rsidR="002438D2" w:rsidRDefault="002438D2" w:rsidP="008476AE">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997BD1" w:rsidRDefault="00997BD1" w:rsidP="002B78B0">
      <w:pPr>
        <w:pStyle w:val="BlockText"/>
      </w:pPr>
      <w:r>
        <w:t>Tallahassee, Florida</w:t>
      </w:r>
    </w:p>
    <w:p w:rsidR="00156092" w:rsidRDefault="00C45435" w:rsidP="002B78B0">
      <w:pPr>
        <w:pStyle w:val="BlockText"/>
      </w:pPr>
      <w:r>
        <w:t>September 6</w:t>
      </w:r>
      <w:r w:rsidR="0029168D">
        <w:t>, 2</w:t>
      </w:r>
      <w:r w:rsidR="004B10A3">
        <w:t>014</w:t>
      </w:r>
      <w:r w:rsidR="00156092">
        <w:t>.</w:t>
      </w:r>
    </w:p>
    <w:p w:rsidR="009C6CE8" w:rsidRDefault="009C6CE8" w:rsidP="00922A6D">
      <w:pPr>
        <w:pStyle w:val="BlockText"/>
        <w:ind w:left="360"/>
      </w:pPr>
    </w:p>
    <w:p w:rsidR="005B581D" w:rsidRDefault="005B581D">
      <w:pPr>
        <w:pStyle w:val="BlockText"/>
        <w:ind w:left="360"/>
      </w:pPr>
    </w:p>
    <w:sectPr w:rsidR="005B581D"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A38" w:rsidRDefault="00774A38" w:rsidP="009A2CBA">
      <w:r>
        <w:separator/>
      </w:r>
    </w:p>
  </w:endnote>
  <w:endnote w:type="continuationSeparator" w:id="0">
    <w:p w:rsidR="00774A38" w:rsidRDefault="00774A38"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B40FA6" w:rsidRDefault="00CA5EE6" w:rsidP="000421B5">
    <w:pPr>
      <w:pStyle w:val="Footer"/>
      <w:rPr>
        <w:rStyle w:val="DocID"/>
        <w:sz w:val="24"/>
      </w:rPr>
    </w:pPr>
    <w:r>
      <w:tab/>
    </w:r>
    <w:r>
      <w:fldChar w:fldCharType="begin"/>
    </w:r>
    <w:r>
      <w:instrText xml:space="preserve"> PAGE   \* MERGEFORMAT </w:instrText>
    </w:r>
    <w:r>
      <w:fldChar w:fldCharType="separate"/>
    </w:r>
    <w:r w:rsidR="001D2333">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911FE4" w:rsidRDefault="00CA5EE6"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1D2333">
      <w:rPr>
        <w:noProof/>
        <w:sz w:val="20"/>
      </w:rPr>
      <w:instrText>7</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A38" w:rsidRDefault="00774A38" w:rsidP="009A2CBA">
      <w:r>
        <w:separator/>
      </w:r>
    </w:p>
  </w:footnote>
  <w:footnote w:type="continuationSeparator" w:id="0">
    <w:p w:rsidR="00774A38" w:rsidRDefault="00774A38" w:rsidP="009A2CBA">
      <w:r>
        <w:continuationSeparator/>
      </w:r>
    </w:p>
  </w:footnote>
  <w:footnote w:id="1">
    <w:p w:rsidR="00CA5EE6" w:rsidRPr="0038047E" w:rsidRDefault="00CA5EE6"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w:t>
      </w:r>
      <w:r w:rsidR="00E3126D">
        <w:t>ndicapped accessibility issues.</w:t>
      </w:r>
    </w:p>
    <w:p w:rsidR="00CA5EE6" w:rsidRDefault="00CA5EE6" w:rsidP="004E142A">
      <w:pPr>
        <w:pStyle w:val="BlockText"/>
      </w:pPr>
    </w:p>
    <w:p w:rsidR="00CA5EE6" w:rsidRDefault="00CA5EE6"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702DC"/>
    <w:multiLevelType w:val="hybridMultilevel"/>
    <w:tmpl w:val="CD6E6FE8"/>
    <w:lvl w:ilvl="0" w:tplc="3CA63B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50E0A57"/>
    <w:multiLevelType w:val="hybridMultilevel"/>
    <w:tmpl w:val="A2423DA4"/>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3"/>
  </w:num>
  <w:num w:numId="4">
    <w:abstractNumId w:val="15"/>
  </w:num>
  <w:num w:numId="5">
    <w:abstractNumId w:val="12"/>
  </w:num>
  <w:num w:numId="6">
    <w:abstractNumId w:val="16"/>
  </w:num>
  <w:num w:numId="7">
    <w:abstractNumId w:val="5"/>
  </w:num>
  <w:num w:numId="8">
    <w:abstractNumId w:val="7"/>
  </w:num>
  <w:num w:numId="9">
    <w:abstractNumId w:val="3"/>
  </w:num>
  <w:num w:numId="10">
    <w:abstractNumId w:val="1"/>
  </w:num>
  <w:num w:numId="11">
    <w:abstractNumId w:val="10"/>
  </w:num>
  <w:num w:numId="12">
    <w:abstractNumId w:val="4"/>
  </w:num>
  <w:num w:numId="13">
    <w:abstractNumId w:val="11"/>
  </w:num>
  <w:num w:numId="14">
    <w:abstractNumId w:val="6"/>
  </w:num>
  <w:num w:numId="15">
    <w:abstractNumId w:val="8"/>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6394"/>
    <w:rsid w:val="00026C6B"/>
    <w:rsid w:val="00027FC3"/>
    <w:rsid w:val="000302BC"/>
    <w:rsid w:val="000324B5"/>
    <w:rsid w:val="000340FB"/>
    <w:rsid w:val="000341ED"/>
    <w:rsid w:val="000421B5"/>
    <w:rsid w:val="0005012E"/>
    <w:rsid w:val="000509E7"/>
    <w:rsid w:val="00052694"/>
    <w:rsid w:val="00054D0D"/>
    <w:rsid w:val="0005515D"/>
    <w:rsid w:val="00055700"/>
    <w:rsid w:val="00061C8E"/>
    <w:rsid w:val="00065B23"/>
    <w:rsid w:val="00066D23"/>
    <w:rsid w:val="00071707"/>
    <w:rsid w:val="00074EDF"/>
    <w:rsid w:val="0008109E"/>
    <w:rsid w:val="00084298"/>
    <w:rsid w:val="00094361"/>
    <w:rsid w:val="00094EBD"/>
    <w:rsid w:val="000A3246"/>
    <w:rsid w:val="000A4BA4"/>
    <w:rsid w:val="000A66AC"/>
    <w:rsid w:val="000B0D3F"/>
    <w:rsid w:val="000B0E17"/>
    <w:rsid w:val="000B1DDB"/>
    <w:rsid w:val="000B1E71"/>
    <w:rsid w:val="000B2203"/>
    <w:rsid w:val="000B76DD"/>
    <w:rsid w:val="000C4772"/>
    <w:rsid w:val="000C4BC7"/>
    <w:rsid w:val="000D08E7"/>
    <w:rsid w:val="000D2555"/>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6E4E"/>
    <w:rsid w:val="001476D7"/>
    <w:rsid w:val="00151063"/>
    <w:rsid w:val="00151720"/>
    <w:rsid w:val="00151F43"/>
    <w:rsid w:val="00156092"/>
    <w:rsid w:val="001572A8"/>
    <w:rsid w:val="00162E5A"/>
    <w:rsid w:val="001649EE"/>
    <w:rsid w:val="00165F0B"/>
    <w:rsid w:val="001673C5"/>
    <w:rsid w:val="0017187B"/>
    <w:rsid w:val="00172C04"/>
    <w:rsid w:val="00175923"/>
    <w:rsid w:val="001768AB"/>
    <w:rsid w:val="00177AA7"/>
    <w:rsid w:val="00183D27"/>
    <w:rsid w:val="0019065B"/>
    <w:rsid w:val="001963BC"/>
    <w:rsid w:val="001B0E80"/>
    <w:rsid w:val="001B11FD"/>
    <w:rsid w:val="001B4226"/>
    <w:rsid w:val="001B5A99"/>
    <w:rsid w:val="001B5DD4"/>
    <w:rsid w:val="001B6195"/>
    <w:rsid w:val="001B73F6"/>
    <w:rsid w:val="001D0121"/>
    <w:rsid w:val="001D1B70"/>
    <w:rsid w:val="001D2330"/>
    <w:rsid w:val="001D2333"/>
    <w:rsid w:val="001D25D1"/>
    <w:rsid w:val="001D35CA"/>
    <w:rsid w:val="001D50A8"/>
    <w:rsid w:val="001E327E"/>
    <w:rsid w:val="001E3281"/>
    <w:rsid w:val="001F01B4"/>
    <w:rsid w:val="001F0D0C"/>
    <w:rsid w:val="001F18CD"/>
    <w:rsid w:val="001F7DB9"/>
    <w:rsid w:val="00200951"/>
    <w:rsid w:val="002031ED"/>
    <w:rsid w:val="00210263"/>
    <w:rsid w:val="00217DA2"/>
    <w:rsid w:val="00217EBB"/>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58FB"/>
    <w:rsid w:val="00262A25"/>
    <w:rsid w:val="002630F7"/>
    <w:rsid w:val="00273404"/>
    <w:rsid w:val="00274276"/>
    <w:rsid w:val="002857BE"/>
    <w:rsid w:val="00286558"/>
    <w:rsid w:val="00286B40"/>
    <w:rsid w:val="00286B5F"/>
    <w:rsid w:val="00290B6F"/>
    <w:rsid w:val="0029168D"/>
    <w:rsid w:val="00292E15"/>
    <w:rsid w:val="00293452"/>
    <w:rsid w:val="002935A9"/>
    <w:rsid w:val="00294F80"/>
    <w:rsid w:val="002A4DD8"/>
    <w:rsid w:val="002A5595"/>
    <w:rsid w:val="002A7577"/>
    <w:rsid w:val="002A777F"/>
    <w:rsid w:val="002B09F1"/>
    <w:rsid w:val="002B0DFC"/>
    <w:rsid w:val="002B35C5"/>
    <w:rsid w:val="002B3E98"/>
    <w:rsid w:val="002B78B0"/>
    <w:rsid w:val="002C378F"/>
    <w:rsid w:val="002C5E1D"/>
    <w:rsid w:val="002D1599"/>
    <w:rsid w:val="002D366C"/>
    <w:rsid w:val="002D4362"/>
    <w:rsid w:val="002E2A6D"/>
    <w:rsid w:val="002E2F5E"/>
    <w:rsid w:val="002F015B"/>
    <w:rsid w:val="002F16B3"/>
    <w:rsid w:val="002F2016"/>
    <w:rsid w:val="002F61E3"/>
    <w:rsid w:val="00305D83"/>
    <w:rsid w:val="00305FDE"/>
    <w:rsid w:val="00311BC1"/>
    <w:rsid w:val="00312FA2"/>
    <w:rsid w:val="003134D3"/>
    <w:rsid w:val="0031487D"/>
    <w:rsid w:val="003154E8"/>
    <w:rsid w:val="00317330"/>
    <w:rsid w:val="00321E89"/>
    <w:rsid w:val="003239B0"/>
    <w:rsid w:val="0032598E"/>
    <w:rsid w:val="00325FC1"/>
    <w:rsid w:val="003319A7"/>
    <w:rsid w:val="00332825"/>
    <w:rsid w:val="003376F7"/>
    <w:rsid w:val="00340637"/>
    <w:rsid w:val="00340740"/>
    <w:rsid w:val="00340B4E"/>
    <w:rsid w:val="00342DB6"/>
    <w:rsid w:val="00345235"/>
    <w:rsid w:val="003473F4"/>
    <w:rsid w:val="003508EE"/>
    <w:rsid w:val="003563EF"/>
    <w:rsid w:val="00356433"/>
    <w:rsid w:val="00361628"/>
    <w:rsid w:val="0036439B"/>
    <w:rsid w:val="00364771"/>
    <w:rsid w:val="003747B5"/>
    <w:rsid w:val="00376DA1"/>
    <w:rsid w:val="0038047E"/>
    <w:rsid w:val="00383EFB"/>
    <w:rsid w:val="00384141"/>
    <w:rsid w:val="00385904"/>
    <w:rsid w:val="003A0148"/>
    <w:rsid w:val="003A1E91"/>
    <w:rsid w:val="003A33A5"/>
    <w:rsid w:val="003A4FB0"/>
    <w:rsid w:val="003B59EA"/>
    <w:rsid w:val="003B5B30"/>
    <w:rsid w:val="003C09F0"/>
    <w:rsid w:val="003C265E"/>
    <w:rsid w:val="003C2DE3"/>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401A5C"/>
    <w:rsid w:val="00413E91"/>
    <w:rsid w:val="00414D9E"/>
    <w:rsid w:val="00416C25"/>
    <w:rsid w:val="00416CC9"/>
    <w:rsid w:val="004200FB"/>
    <w:rsid w:val="004204AE"/>
    <w:rsid w:val="00421A4C"/>
    <w:rsid w:val="00425FE8"/>
    <w:rsid w:val="00427E2F"/>
    <w:rsid w:val="00436BA2"/>
    <w:rsid w:val="004406AC"/>
    <w:rsid w:val="00441CD1"/>
    <w:rsid w:val="00454846"/>
    <w:rsid w:val="0045543B"/>
    <w:rsid w:val="0046192D"/>
    <w:rsid w:val="0046330C"/>
    <w:rsid w:val="004634BE"/>
    <w:rsid w:val="00465432"/>
    <w:rsid w:val="0047003F"/>
    <w:rsid w:val="0047163D"/>
    <w:rsid w:val="00474D96"/>
    <w:rsid w:val="00480712"/>
    <w:rsid w:val="00484142"/>
    <w:rsid w:val="00484B9C"/>
    <w:rsid w:val="00491907"/>
    <w:rsid w:val="00491948"/>
    <w:rsid w:val="00492027"/>
    <w:rsid w:val="004A0671"/>
    <w:rsid w:val="004A451E"/>
    <w:rsid w:val="004A5613"/>
    <w:rsid w:val="004A582F"/>
    <w:rsid w:val="004A6E9B"/>
    <w:rsid w:val="004B10A3"/>
    <w:rsid w:val="004B196B"/>
    <w:rsid w:val="004C458B"/>
    <w:rsid w:val="004C63D8"/>
    <w:rsid w:val="004C7846"/>
    <w:rsid w:val="004E1249"/>
    <w:rsid w:val="004E142A"/>
    <w:rsid w:val="004E2A5D"/>
    <w:rsid w:val="004E35D0"/>
    <w:rsid w:val="004E61C2"/>
    <w:rsid w:val="004E7067"/>
    <w:rsid w:val="004F030C"/>
    <w:rsid w:val="004F3D87"/>
    <w:rsid w:val="00500503"/>
    <w:rsid w:val="00502614"/>
    <w:rsid w:val="00504537"/>
    <w:rsid w:val="005063F3"/>
    <w:rsid w:val="0051221A"/>
    <w:rsid w:val="00512724"/>
    <w:rsid w:val="00512A9F"/>
    <w:rsid w:val="00520F5E"/>
    <w:rsid w:val="005237C4"/>
    <w:rsid w:val="0052642A"/>
    <w:rsid w:val="00530892"/>
    <w:rsid w:val="00530CD6"/>
    <w:rsid w:val="00535353"/>
    <w:rsid w:val="00535A2B"/>
    <w:rsid w:val="0053686B"/>
    <w:rsid w:val="00537681"/>
    <w:rsid w:val="00540398"/>
    <w:rsid w:val="005463F4"/>
    <w:rsid w:val="00553CBE"/>
    <w:rsid w:val="00555FBF"/>
    <w:rsid w:val="005665C2"/>
    <w:rsid w:val="00571120"/>
    <w:rsid w:val="00576B27"/>
    <w:rsid w:val="00592B85"/>
    <w:rsid w:val="0059572F"/>
    <w:rsid w:val="005A61CC"/>
    <w:rsid w:val="005A74C3"/>
    <w:rsid w:val="005B212C"/>
    <w:rsid w:val="005B2CCD"/>
    <w:rsid w:val="005B558F"/>
    <w:rsid w:val="005B581D"/>
    <w:rsid w:val="005C08FA"/>
    <w:rsid w:val="005C40F9"/>
    <w:rsid w:val="005C5CFC"/>
    <w:rsid w:val="005C76EE"/>
    <w:rsid w:val="005D217B"/>
    <w:rsid w:val="005D446B"/>
    <w:rsid w:val="005D5F3E"/>
    <w:rsid w:val="005D71D8"/>
    <w:rsid w:val="005E4539"/>
    <w:rsid w:val="005E73B8"/>
    <w:rsid w:val="005F17D4"/>
    <w:rsid w:val="005F1FB3"/>
    <w:rsid w:val="005F2E38"/>
    <w:rsid w:val="005F4A79"/>
    <w:rsid w:val="005F705E"/>
    <w:rsid w:val="005F770C"/>
    <w:rsid w:val="00600D46"/>
    <w:rsid w:val="00604806"/>
    <w:rsid w:val="0060730E"/>
    <w:rsid w:val="00614279"/>
    <w:rsid w:val="00620CC5"/>
    <w:rsid w:val="006221E1"/>
    <w:rsid w:val="0063019F"/>
    <w:rsid w:val="0063517A"/>
    <w:rsid w:val="0064116F"/>
    <w:rsid w:val="0064458E"/>
    <w:rsid w:val="00644BDC"/>
    <w:rsid w:val="0064574F"/>
    <w:rsid w:val="006465C5"/>
    <w:rsid w:val="00654846"/>
    <w:rsid w:val="006577D7"/>
    <w:rsid w:val="00657E5B"/>
    <w:rsid w:val="00660F73"/>
    <w:rsid w:val="0066317C"/>
    <w:rsid w:val="006639C7"/>
    <w:rsid w:val="00667D54"/>
    <w:rsid w:val="00675E10"/>
    <w:rsid w:val="00685808"/>
    <w:rsid w:val="00691E1A"/>
    <w:rsid w:val="00695A6D"/>
    <w:rsid w:val="00697F28"/>
    <w:rsid w:val="006A3547"/>
    <w:rsid w:val="006A3A6B"/>
    <w:rsid w:val="006A3B11"/>
    <w:rsid w:val="006A4458"/>
    <w:rsid w:val="006A50BC"/>
    <w:rsid w:val="006B1D63"/>
    <w:rsid w:val="006B60DD"/>
    <w:rsid w:val="006C5A7D"/>
    <w:rsid w:val="006C704A"/>
    <w:rsid w:val="006D3AD0"/>
    <w:rsid w:val="006D7744"/>
    <w:rsid w:val="006E3B26"/>
    <w:rsid w:val="006E5368"/>
    <w:rsid w:val="006E5C27"/>
    <w:rsid w:val="006E6103"/>
    <w:rsid w:val="006F336C"/>
    <w:rsid w:val="006F4CE9"/>
    <w:rsid w:val="00700924"/>
    <w:rsid w:val="007017B0"/>
    <w:rsid w:val="0070218E"/>
    <w:rsid w:val="007065A1"/>
    <w:rsid w:val="007135EE"/>
    <w:rsid w:val="007150E1"/>
    <w:rsid w:val="00720A29"/>
    <w:rsid w:val="00722B80"/>
    <w:rsid w:val="00722DD1"/>
    <w:rsid w:val="0074468A"/>
    <w:rsid w:val="00756A0C"/>
    <w:rsid w:val="00757661"/>
    <w:rsid w:val="00760E2D"/>
    <w:rsid w:val="00774A2B"/>
    <w:rsid w:val="00774A38"/>
    <w:rsid w:val="007755F6"/>
    <w:rsid w:val="00780CCE"/>
    <w:rsid w:val="00781A63"/>
    <w:rsid w:val="00783765"/>
    <w:rsid w:val="007862BD"/>
    <w:rsid w:val="007870BA"/>
    <w:rsid w:val="007902F3"/>
    <w:rsid w:val="00790ED1"/>
    <w:rsid w:val="00793514"/>
    <w:rsid w:val="00795394"/>
    <w:rsid w:val="00795F45"/>
    <w:rsid w:val="00797252"/>
    <w:rsid w:val="007977D0"/>
    <w:rsid w:val="007A0040"/>
    <w:rsid w:val="007A040E"/>
    <w:rsid w:val="007A2C34"/>
    <w:rsid w:val="007A7335"/>
    <w:rsid w:val="007B455D"/>
    <w:rsid w:val="007C06B0"/>
    <w:rsid w:val="007C3596"/>
    <w:rsid w:val="007C479E"/>
    <w:rsid w:val="007C534A"/>
    <w:rsid w:val="007C689D"/>
    <w:rsid w:val="007D12C5"/>
    <w:rsid w:val="007D14A8"/>
    <w:rsid w:val="007E128E"/>
    <w:rsid w:val="007E2299"/>
    <w:rsid w:val="007E4176"/>
    <w:rsid w:val="007F16BD"/>
    <w:rsid w:val="007F2F12"/>
    <w:rsid w:val="007F63B9"/>
    <w:rsid w:val="007F6E51"/>
    <w:rsid w:val="00801B02"/>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14D7"/>
    <w:rsid w:val="00875906"/>
    <w:rsid w:val="00876A95"/>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E5BE5"/>
    <w:rsid w:val="008F051F"/>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5188"/>
    <w:rsid w:val="009679F7"/>
    <w:rsid w:val="00972224"/>
    <w:rsid w:val="0098369B"/>
    <w:rsid w:val="00990086"/>
    <w:rsid w:val="009939EF"/>
    <w:rsid w:val="00994DC4"/>
    <w:rsid w:val="00995739"/>
    <w:rsid w:val="00997BD1"/>
    <w:rsid w:val="009A1012"/>
    <w:rsid w:val="009A10B6"/>
    <w:rsid w:val="009A2CBA"/>
    <w:rsid w:val="009B2454"/>
    <w:rsid w:val="009B472E"/>
    <w:rsid w:val="009B53D8"/>
    <w:rsid w:val="009B7504"/>
    <w:rsid w:val="009C4A92"/>
    <w:rsid w:val="009C6254"/>
    <w:rsid w:val="009C6CE8"/>
    <w:rsid w:val="009C6F42"/>
    <w:rsid w:val="009D4AA9"/>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2844"/>
    <w:rsid w:val="00A52BEC"/>
    <w:rsid w:val="00A57777"/>
    <w:rsid w:val="00A57E0F"/>
    <w:rsid w:val="00A65C42"/>
    <w:rsid w:val="00A82F6F"/>
    <w:rsid w:val="00A862A4"/>
    <w:rsid w:val="00A903BC"/>
    <w:rsid w:val="00A92BA2"/>
    <w:rsid w:val="00A9360E"/>
    <w:rsid w:val="00A973D9"/>
    <w:rsid w:val="00AA1C3B"/>
    <w:rsid w:val="00AA1DC4"/>
    <w:rsid w:val="00AA20DC"/>
    <w:rsid w:val="00AA2435"/>
    <w:rsid w:val="00AA49B9"/>
    <w:rsid w:val="00AB392A"/>
    <w:rsid w:val="00AB6124"/>
    <w:rsid w:val="00AB759F"/>
    <w:rsid w:val="00AB7A77"/>
    <w:rsid w:val="00AC25D8"/>
    <w:rsid w:val="00AC4FD0"/>
    <w:rsid w:val="00AC560D"/>
    <w:rsid w:val="00AD19E4"/>
    <w:rsid w:val="00AD319B"/>
    <w:rsid w:val="00AD3673"/>
    <w:rsid w:val="00AD4A48"/>
    <w:rsid w:val="00AE082C"/>
    <w:rsid w:val="00AE0C03"/>
    <w:rsid w:val="00AE36D0"/>
    <w:rsid w:val="00AE40E2"/>
    <w:rsid w:val="00AE4928"/>
    <w:rsid w:val="00AE4CE1"/>
    <w:rsid w:val="00AE4D48"/>
    <w:rsid w:val="00AF0CA4"/>
    <w:rsid w:val="00AF4CC5"/>
    <w:rsid w:val="00B02CB3"/>
    <w:rsid w:val="00B04E9C"/>
    <w:rsid w:val="00B0622F"/>
    <w:rsid w:val="00B102F7"/>
    <w:rsid w:val="00B11BE8"/>
    <w:rsid w:val="00B1354A"/>
    <w:rsid w:val="00B14506"/>
    <w:rsid w:val="00B22750"/>
    <w:rsid w:val="00B228D4"/>
    <w:rsid w:val="00B231A5"/>
    <w:rsid w:val="00B26EF6"/>
    <w:rsid w:val="00B33726"/>
    <w:rsid w:val="00B34CB8"/>
    <w:rsid w:val="00B36726"/>
    <w:rsid w:val="00B36BD2"/>
    <w:rsid w:val="00B40CCF"/>
    <w:rsid w:val="00B40FA6"/>
    <w:rsid w:val="00B43413"/>
    <w:rsid w:val="00B442F3"/>
    <w:rsid w:val="00B51F07"/>
    <w:rsid w:val="00B52A30"/>
    <w:rsid w:val="00B55AA9"/>
    <w:rsid w:val="00B576FB"/>
    <w:rsid w:val="00B605B3"/>
    <w:rsid w:val="00B6409D"/>
    <w:rsid w:val="00B65A78"/>
    <w:rsid w:val="00B665B0"/>
    <w:rsid w:val="00B70EED"/>
    <w:rsid w:val="00B7209C"/>
    <w:rsid w:val="00B754FE"/>
    <w:rsid w:val="00B75D21"/>
    <w:rsid w:val="00B82AFD"/>
    <w:rsid w:val="00B82F44"/>
    <w:rsid w:val="00B854DA"/>
    <w:rsid w:val="00B901A9"/>
    <w:rsid w:val="00B92C29"/>
    <w:rsid w:val="00B94BF6"/>
    <w:rsid w:val="00B94EB0"/>
    <w:rsid w:val="00BA2CBC"/>
    <w:rsid w:val="00BA5910"/>
    <w:rsid w:val="00BA7E0B"/>
    <w:rsid w:val="00BB3CE8"/>
    <w:rsid w:val="00BB43FD"/>
    <w:rsid w:val="00BC3E94"/>
    <w:rsid w:val="00BC3ED9"/>
    <w:rsid w:val="00BC4B4F"/>
    <w:rsid w:val="00BC5032"/>
    <w:rsid w:val="00BC59CC"/>
    <w:rsid w:val="00BD0579"/>
    <w:rsid w:val="00BD1D69"/>
    <w:rsid w:val="00BD42D8"/>
    <w:rsid w:val="00BD45AE"/>
    <w:rsid w:val="00BE7523"/>
    <w:rsid w:val="00BE7E71"/>
    <w:rsid w:val="00BF06EC"/>
    <w:rsid w:val="00BF09D3"/>
    <w:rsid w:val="00BF5744"/>
    <w:rsid w:val="00BF5A88"/>
    <w:rsid w:val="00C00519"/>
    <w:rsid w:val="00C014A9"/>
    <w:rsid w:val="00C02420"/>
    <w:rsid w:val="00C04971"/>
    <w:rsid w:val="00C0615F"/>
    <w:rsid w:val="00C10CCD"/>
    <w:rsid w:val="00C10E53"/>
    <w:rsid w:val="00C10FB4"/>
    <w:rsid w:val="00C15A97"/>
    <w:rsid w:val="00C16757"/>
    <w:rsid w:val="00C17A11"/>
    <w:rsid w:val="00C20A49"/>
    <w:rsid w:val="00C22965"/>
    <w:rsid w:val="00C25BD9"/>
    <w:rsid w:val="00C41104"/>
    <w:rsid w:val="00C41134"/>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80F74"/>
    <w:rsid w:val="00C84E54"/>
    <w:rsid w:val="00C8621F"/>
    <w:rsid w:val="00C906E0"/>
    <w:rsid w:val="00C959A0"/>
    <w:rsid w:val="00CA1872"/>
    <w:rsid w:val="00CA1D5A"/>
    <w:rsid w:val="00CA5910"/>
    <w:rsid w:val="00CA5EE6"/>
    <w:rsid w:val="00CA6A88"/>
    <w:rsid w:val="00CB0D76"/>
    <w:rsid w:val="00CB169A"/>
    <w:rsid w:val="00CB18D5"/>
    <w:rsid w:val="00CB393B"/>
    <w:rsid w:val="00CD02EB"/>
    <w:rsid w:val="00CD6E9F"/>
    <w:rsid w:val="00CF0F17"/>
    <w:rsid w:val="00CF2384"/>
    <w:rsid w:val="00CF2A48"/>
    <w:rsid w:val="00CF2DBD"/>
    <w:rsid w:val="00CF37B7"/>
    <w:rsid w:val="00CF7C33"/>
    <w:rsid w:val="00D025A9"/>
    <w:rsid w:val="00D11596"/>
    <w:rsid w:val="00D15049"/>
    <w:rsid w:val="00D17EF8"/>
    <w:rsid w:val="00D255AC"/>
    <w:rsid w:val="00D318BB"/>
    <w:rsid w:val="00D31E05"/>
    <w:rsid w:val="00D35E4B"/>
    <w:rsid w:val="00D42313"/>
    <w:rsid w:val="00D45220"/>
    <w:rsid w:val="00D45FC8"/>
    <w:rsid w:val="00D500CC"/>
    <w:rsid w:val="00D51EF8"/>
    <w:rsid w:val="00D532DF"/>
    <w:rsid w:val="00D550EA"/>
    <w:rsid w:val="00D5683A"/>
    <w:rsid w:val="00D6075F"/>
    <w:rsid w:val="00D64A8A"/>
    <w:rsid w:val="00D64ACA"/>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30E3"/>
    <w:rsid w:val="00DA399C"/>
    <w:rsid w:val="00DA43F1"/>
    <w:rsid w:val="00DA5E85"/>
    <w:rsid w:val="00DB01F6"/>
    <w:rsid w:val="00DB1B72"/>
    <w:rsid w:val="00DD18B8"/>
    <w:rsid w:val="00DD3ECB"/>
    <w:rsid w:val="00DD4201"/>
    <w:rsid w:val="00DD5BF9"/>
    <w:rsid w:val="00DD6729"/>
    <w:rsid w:val="00DD760C"/>
    <w:rsid w:val="00DE0FB7"/>
    <w:rsid w:val="00DE3DD6"/>
    <w:rsid w:val="00DE4100"/>
    <w:rsid w:val="00DE517B"/>
    <w:rsid w:val="00DE52F2"/>
    <w:rsid w:val="00DE5A5D"/>
    <w:rsid w:val="00DF072F"/>
    <w:rsid w:val="00DF0B84"/>
    <w:rsid w:val="00DF255F"/>
    <w:rsid w:val="00DF2996"/>
    <w:rsid w:val="00DF4C21"/>
    <w:rsid w:val="00E028F5"/>
    <w:rsid w:val="00E07E81"/>
    <w:rsid w:val="00E10E84"/>
    <w:rsid w:val="00E1125C"/>
    <w:rsid w:val="00E16D83"/>
    <w:rsid w:val="00E17AA2"/>
    <w:rsid w:val="00E253BD"/>
    <w:rsid w:val="00E267AB"/>
    <w:rsid w:val="00E27BF3"/>
    <w:rsid w:val="00E30C2C"/>
    <w:rsid w:val="00E311DC"/>
    <w:rsid w:val="00E3126D"/>
    <w:rsid w:val="00E31752"/>
    <w:rsid w:val="00E3534A"/>
    <w:rsid w:val="00E4082C"/>
    <w:rsid w:val="00E4444A"/>
    <w:rsid w:val="00E44DA1"/>
    <w:rsid w:val="00E46C87"/>
    <w:rsid w:val="00E576B4"/>
    <w:rsid w:val="00E62413"/>
    <w:rsid w:val="00E64091"/>
    <w:rsid w:val="00E66470"/>
    <w:rsid w:val="00E67C64"/>
    <w:rsid w:val="00E71BDF"/>
    <w:rsid w:val="00E8267C"/>
    <w:rsid w:val="00E86BD7"/>
    <w:rsid w:val="00E901CE"/>
    <w:rsid w:val="00E93A85"/>
    <w:rsid w:val="00E95DE1"/>
    <w:rsid w:val="00E97E26"/>
    <w:rsid w:val="00EA0931"/>
    <w:rsid w:val="00EA1306"/>
    <w:rsid w:val="00EA1B72"/>
    <w:rsid w:val="00EA3A1A"/>
    <w:rsid w:val="00EA49A8"/>
    <w:rsid w:val="00EA4F51"/>
    <w:rsid w:val="00EB0314"/>
    <w:rsid w:val="00EB087C"/>
    <w:rsid w:val="00EB2DD7"/>
    <w:rsid w:val="00EB56F6"/>
    <w:rsid w:val="00EB61E2"/>
    <w:rsid w:val="00EC0471"/>
    <w:rsid w:val="00EC3C0E"/>
    <w:rsid w:val="00EC539A"/>
    <w:rsid w:val="00ED39C3"/>
    <w:rsid w:val="00EE41E2"/>
    <w:rsid w:val="00EF1906"/>
    <w:rsid w:val="00EF1953"/>
    <w:rsid w:val="00EF2D9E"/>
    <w:rsid w:val="00EF30B1"/>
    <w:rsid w:val="00EF3BC8"/>
    <w:rsid w:val="00EF7F7D"/>
    <w:rsid w:val="00F003DC"/>
    <w:rsid w:val="00F00476"/>
    <w:rsid w:val="00F012AB"/>
    <w:rsid w:val="00F023FE"/>
    <w:rsid w:val="00F054FC"/>
    <w:rsid w:val="00F06E3E"/>
    <w:rsid w:val="00F07308"/>
    <w:rsid w:val="00F0773C"/>
    <w:rsid w:val="00F10ABD"/>
    <w:rsid w:val="00F10E90"/>
    <w:rsid w:val="00F1558B"/>
    <w:rsid w:val="00F15B84"/>
    <w:rsid w:val="00F16CBD"/>
    <w:rsid w:val="00F17078"/>
    <w:rsid w:val="00F21394"/>
    <w:rsid w:val="00F3234E"/>
    <w:rsid w:val="00F33F66"/>
    <w:rsid w:val="00F372CE"/>
    <w:rsid w:val="00F419B2"/>
    <w:rsid w:val="00F4233A"/>
    <w:rsid w:val="00F42B22"/>
    <w:rsid w:val="00F43272"/>
    <w:rsid w:val="00F45EBD"/>
    <w:rsid w:val="00F50B67"/>
    <w:rsid w:val="00F52831"/>
    <w:rsid w:val="00F53B73"/>
    <w:rsid w:val="00F53D3E"/>
    <w:rsid w:val="00F56C3E"/>
    <w:rsid w:val="00F60C95"/>
    <w:rsid w:val="00F61714"/>
    <w:rsid w:val="00F6434D"/>
    <w:rsid w:val="00F7015E"/>
    <w:rsid w:val="00F7297C"/>
    <w:rsid w:val="00F73B56"/>
    <w:rsid w:val="00F777FA"/>
    <w:rsid w:val="00F77D99"/>
    <w:rsid w:val="00F820A6"/>
    <w:rsid w:val="00F828AE"/>
    <w:rsid w:val="00F83282"/>
    <w:rsid w:val="00F8540B"/>
    <w:rsid w:val="00F85ED6"/>
    <w:rsid w:val="00F91098"/>
    <w:rsid w:val="00F917FF"/>
    <w:rsid w:val="00F9398C"/>
    <w:rsid w:val="00F9535D"/>
    <w:rsid w:val="00F97BF7"/>
    <w:rsid w:val="00FA0D68"/>
    <w:rsid w:val="00FA2710"/>
    <w:rsid w:val="00FA5090"/>
    <w:rsid w:val="00FA7229"/>
    <w:rsid w:val="00FA7F61"/>
    <w:rsid w:val="00FB554A"/>
    <w:rsid w:val="00FB588A"/>
    <w:rsid w:val="00FC0694"/>
    <w:rsid w:val="00FC470A"/>
    <w:rsid w:val="00FC6F29"/>
    <w:rsid w:val="00FD1341"/>
    <w:rsid w:val="00FD2F47"/>
    <w:rsid w:val="00FE363C"/>
    <w:rsid w:val="00FE3AE2"/>
    <w:rsid w:val="00FE58DA"/>
    <w:rsid w:val="00FF1E9C"/>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8FCE-40A6-431B-A3DE-B075FA81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17590</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2014-09-06T15:22:00Z</dcterms:created>
  <dcterms:modified xsi:type="dcterms:W3CDTF">2014-09-06T18:45:00Z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