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286B5F">
      <w:pPr>
        <w:pStyle w:val="BlockText"/>
        <w:jc w:val="center"/>
      </w:pPr>
      <w:r>
        <w:t>Month</w:t>
      </w:r>
      <w:r w:rsidR="00DE4100">
        <w:t>s</w:t>
      </w:r>
      <w:r>
        <w:t xml:space="preserve"> of</w:t>
      </w:r>
      <w:r w:rsidR="003D1D42">
        <w:t xml:space="preserve"> May</w:t>
      </w:r>
      <w:r w:rsidR="007D14A8">
        <w:t xml:space="preserve"> </w:t>
      </w:r>
      <w:r w:rsidR="00DE4100">
        <w:t>2014</w:t>
      </w:r>
    </w:p>
    <w:p w:rsidR="006F4CE9" w:rsidRDefault="006F4CE9" w:rsidP="00D9771C">
      <w:pPr>
        <w:pStyle w:val="BlockText"/>
        <w:rPr>
          <w:b/>
          <w:u w:val="single"/>
        </w:rPr>
      </w:pPr>
    </w:p>
    <w:p w:rsidR="007F16BD" w:rsidRDefault="009F4440" w:rsidP="007D14A8">
      <w:pPr>
        <w:pStyle w:val="BlockText"/>
        <w:rPr>
          <w:b/>
          <w:u w:val="single"/>
        </w:rPr>
      </w:pPr>
      <w:r>
        <w:rPr>
          <w:b/>
          <w:u w:val="single"/>
        </w:rPr>
        <w:t xml:space="preserve">State </w:t>
      </w:r>
      <w:r w:rsidR="00D9771C" w:rsidRPr="00D9771C">
        <w:rPr>
          <w:b/>
          <w:u w:val="single"/>
        </w:rPr>
        <w:t>Appellate Decisions:</w:t>
      </w:r>
    </w:p>
    <w:p w:rsidR="00512A9F" w:rsidRDefault="00512A9F" w:rsidP="007D14A8">
      <w:pPr>
        <w:pStyle w:val="BlockText"/>
        <w:rPr>
          <w:b/>
          <w:u w:val="single"/>
        </w:rPr>
      </w:pPr>
    </w:p>
    <w:p w:rsidR="00781A63" w:rsidRDefault="00781A63" w:rsidP="00781A63">
      <w:pPr>
        <w:ind w:firstLine="720"/>
        <w:jc w:val="both"/>
      </w:pPr>
      <w:r>
        <w:rPr>
          <w:lang w:val="en-CA"/>
        </w:rPr>
        <w:fldChar w:fldCharType="begin"/>
      </w:r>
      <w:r>
        <w:rPr>
          <w:lang w:val="en-CA"/>
        </w:rPr>
        <w:instrText xml:space="preserve"> SEQ CHAPTER \h \r 1</w:instrText>
      </w:r>
      <w:r>
        <w:rPr>
          <w:lang w:val="en-CA"/>
        </w:rPr>
        <w:fldChar w:fldCharType="end"/>
      </w:r>
      <w:r>
        <w:rPr>
          <w:u w:val="single"/>
        </w:rPr>
        <w:t>The Village at Dolphin Commerce Center, LLC v. Construction Service Solutions, LLC</w:t>
      </w:r>
      <w:r>
        <w:t xml:space="preserve">, 2014 WL 2116361 (3D13-1499, May 21, 2014). </w:t>
      </w:r>
      <w:r>
        <w:t xml:space="preserve"> </w:t>
      </w:r>
      <w:r>
        <w:rPr>
          <w:i/>
          <w:iCs/>
        </w:rPr>
        <w:t xml:space="preserve">Court defers to arbitration panel’s implied finding that the contract was enforceable even though illegal because contractor was not licensed at the time of contracting.  </w:t>
      </w:r>
      <w:r>
        <w:t>An unlicensed contractor recorded a claim of lien against an owner and filed a demand for arbitration pursuant to the contract.  Owner answered and raised the defense that the contract was unenforceable because the contractor was unlicensed.  Owner also filed a state court declaratory judgment action challenging the claim of lien on the enforceability issue, but that action was stayed because of the pending arbitration.  Arbitration panel found in favor of contractor in an order that did not directly address the enforceability issue and the trial court affirmed the award, entered judgment for the amount awarded plus attorneys’ fees under section 713.29, and enforced the lien.</w:t>
      </w:r>
    </w:p>
    <w:p w:rsidR="00781A63" w:rsidRDefault="00781A63" w:rsidP="00781A63">
      <w:pPr>
        <w:ind w:firstLine="720"/>
        <w:jc w:val="both"/>
      </w:pPr>
      <w:r>
        <w:t xml:space="preserve">The Third District Court of Appeal affirmed in all respects.  The court found that “determination of the legality of the contract was a decision for the arbitrators.”  This is based in part on the court’s deference to the party’s agreement to arbitrate this issue and in part on the decision of the United States Supreme Court in </w:t>
      </w:r>
      <w:r>
        <w:rPr>
          <w:u w:val="single"/>
        </w:rPr>
        <w:t>Buckeye Check Cashing, Inc. v. Cardegna</w:t>
      </w:r>
      <w:r>
        <w:t>, 546 U.S. 440 (2006)(“Unless the challenge is to the arbitration clause itself, the issue of the contract’s validity is considered by the arbitrator in the first instance.”).</w:t>
      </w:r>
    </w:p>
    <w:p w:rsidR="00781A63" w:rsidRDefault="00781A63" w:rsidP="00781A63">
      <w:pPr>
        <w:jc w:val="both"/>
      </w:pPr>
    </w:p>
    <w:p w:rsidR="00781A63" w:rsidRDefault="00781A63" w:rsidP="00781A63">
      <w:pPr>
        <w:ind w:firstLine="720"/>
        <w:jc w:val="both"/>
      </w:pPr>
      <w:r>
        <w:rPr>
          <w:u w:val="single"/>
        </w:rPr>
        <w:t>Diaz &amp; Russell Corporation v. Department of Business and Professional Regulation</w:t>
      </w:r>
      <w:r>
        <w:t>, 2014 WL 2199757 (3D13-1764, May 28, 2014).</w:t>
      </w:r>
      <w:r>
        <w:t xml:space="preserve"> </w:t>
      </w:r>
      <w:r>
        <w:rPr>
          <w:i/>
          <w:iCs/>
        </w:rPr>
        <w:t>A licensed general contractor does not have to identify the architect in its design-build contract - DBPR oversteps its authority in sanctioning contractor.</w:t>
      </w:r>
      <w:r>
        <w:t xml:space="preserve">  The Board of Architecture and Interior Design entered a final administrative order imposing a fine of $10,000 and costs of $6,867.53 on a licensed general contractor for not identifying its intended architect before offering the design-build services.  The project was an interior partition wall with a total contract price of $5,900.  The Third District Court of Appeal reversed on the grounds the Board’s interpretation of the statute was erroneous; there is no requirement in Florida law that requires a licensed contractor to identify the architect it intends to use - it is sufficient that the architect hired by the design-build contractor is licensed as an architect.</w:t>
      </w:r>
    </w:p>
    <w:p w:rsidR="00781A63" w:rsidRDefault="00781A63" w:rsidP="00781A63">
      <w:pPr>
        <w:jc w:val="both"/>
      </w:pPr>
      <w:r w:rsidRPr="00781A63">
        <w:rPr>
          <w:u w:val="single"/>
        </w:rPr>
        <w:t>Editor’s Note:</w:t>
      </w:r>
      <w:r>
        <w:t xml:space="preserve"> The board has filed a motion for rehearing based on an alleged factual distinction that the contractor hired an engineer to prepare the drawings and specifications, rather than an architect. Of course, that raised another issue: can an engineer perform architectural services?</w:t>
      </w:r>
    </w:p>
    <w:p w:rsidR="00781A63" w:rsidRDefault="00781A63" w:rsidP="00781A63">
      <w:pPr>
        <w:jc w:val="both"/>
      </w:pPr>
    </w:p>
    <w:p w:rsidR="00781A63" w:rsidRDefault="00781A63" w:rsidP="00781A63">
      <w:pPr>
        <w:ind w:firstLine="720"/>
        <w:jc w:val="both"/>
      </w:pPr>
      <w:r>
        <w:rPr>
          <w:u w:val="single"/>
        </w:rPr>
        <w:t>Snell v. Mott’s Contracting Services, Inc.</w:t>
      </w:r>
      <w:r>
        <w:t>, 2014 WL 2118044 (2D13-2836, May 21, 2014).</w:t>
      </w:r>
    </w:p>
    <w:p w:rsidR="00781A63" w:rsidRDefault="00781A63" w:rsidP="00781A63">
      <w:pPr>
        <w:jc w:val="both"/>
        <w:rPr>
          <w:u w:val="single"/>
        </w:rPr>
      </w:pPr>
      <w:r>
        <w:rPr>
          <w:i/>
          <w:iCs/>
        </w:rPr>
        <w:t>Arbitrator has no authority to award attorneys’ fees under section 713.29 unless parties expressly agree otherwise.</w:t>
      </w:r>
      <w:r>
        <w:t xml:space="preserve">  Contractor filed claim of lien against homeowner’s residence, and homeowners recorded notice of contest of lien and filed complaint in county court.  Contractor had court action stayed and compelled arbitration pursuant to the contract.  Contractor prevailed in arbitration and court affirmed but denied that part of the award for attorneys’ fees.  The Second District Court of Appeal held that the only basis for an award of attorneys’ fees is section 713.29, and that statute authorizes an award only when an action to enforce the lien is brought in a court of competent jurisdiction and not an arbitration proceeding.  In a footnote the court noted that the parties “may expressly waive the statutory right to have the court determine entitlement to fees.”</w:t>
      </w:r>
    </w:p>
    <w:p w:rsidR="00781A63" w:rsidRDefault="00781A63" w:rsidP="00781A63">
      <w:pPr>
        <w:jc w:val="both"/>
        <w:rPr>
          <w:u w:val="single"/>
        </w:rPr>
      </w:pPr>
    </w:p>
    <w:p w:rsidR="00781A63" w:rsidRDefault="00781A63" w:rsidP="00781A63">
      <w:pPr>
        <w:ind w:firstLine="720"/>
        <w:jc w:val="both"/>
      </w:pPr>
      <w:r>
        <w:rPr>
          <w:u w:val="single"/>
        </w:rPr>
        <w:t>Hibachi Grill, Inc. v. Arki Construction, Inc.</w:t>
      </w:r>
      <w:r>
        <w:t>, 2014 WL 1814163 (3D13-2876, May 7, 2014).</w:t>
      </w:r>
    </w:p>
    <w:p w:rsidR="00781A63" w:rsidRDefault="00781A63" w:rsidP="00781A63">
      <w:pPr>
        <w:jc w:val="both"/>
      </w:pPr>
      <w:r>
        <w:rPr>
          <w:i/>
          <w:iCs/>
        </w:rPr>
        <w:t>Owner entitled to set off amounts it paid to contractor’s subcontractors, and contractor not limited to recover only lost profits.</w:t>
      </w:r>
      <w:r>
        <w:t xml:space="preserve"> Owner sued contractor and contractor counterclaimed.  Trial court granted summary judgment to contractor for full remaining contract balance with no set off for amounts undisputedly paid by the owner to contractor’s subcontractors.  On appeal to the Third District Court of Appeal, the court reversed in part and remanded for the trial court to allow the set off.  Contractor’s own complaint demanded the contract balance less amounts paid by owner to the subcontractors and the court would not allow an award that went beyond the pleadings.  However, the court found that the contract was “substantially performed” and that the contractor was therefore entitled to the contract balance with no set off other than the amounts paid by the owner to subcontractors.   It appears the court presumed there would have been no expenses remaining to fully complete the project.</w:t>
      </w:r>
    </w:p>
    <w:p w:rsidR="00502614" w:rsidRDefault="00502614" w:rsidP="00781A63">
      <w:pPr>
        <w:autoSpaceDE w:val="0"/>
        <w:autoSpaceDN w:val="0"/>
        <w:adjustRightInd w:val="0"/>
        <w:jc w:val="both"/>
        <w:rPr>
          <w:rFonts w:ascii="TimesNewRomanPSMT" w:hAnsi="TimesNewRomanPSMT" w:cs="TimesNewRomanPSMT"/>
        </w:rPr>
      </w:pPr>
    </w:p>
    <w:p w:rsidR="00D9771C" w:rsidRDefault="00EB61E2" w:rsidP="00781A63">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401A5C" w:rsidRDefault="00401A5C" w:rsidP="00781A63">
      <w:pPr>
        <w:pStyle w:val="BlockText"/>
      </w:pPr>
    </w:p>
    <w:p w:rsidR="003E6F51" w:rsidRDefault="00401A5C" w:rsidP="00781A63">
      <w:pPr>
        <w:pStyle w:val="BlockText"/>
      </w:pPr>
      <w:r>
        <w:tab/>
      </w:r>
      <w:r w:rsidR="00783765" w:rsidRPr="00783765">
        <w:rPr>
          <w:i/>
          <w:u w:val="single"/>
        </w:rPr>
        <w:t>Agency for Health Care Administration v. The Chrysallis Center, Inc..</w:t>
      </w:r>
      <w:r w:rsidR="00783765">
        <w:t xml:space="preserve"> DOAH Case No. 14-0136MPI (Recommended Order entered on June 3, 2014): </w:t>
      </w:r>
      <w:r w:rsidR="007C06B0">
        <w:t>On agency’s petition to recover $284,535,83 in alleged “overpayments” of Medicaid claims for community mental health services provided (plus fines of $56,907.17 and costs of $172.29) based on program audits, for which respondent provided admitted to overpayments of only $2,587.38, “recommended order” in favor of respondent AND a “final” order for section 57.105 fees was entered, with a finding that agency knew or should have known that it lacked the necessary material facts to support its claim.</w:t>
      </w:r>
    </w:p>
    <w:p w:rsidR="007C06B0" w:rsidRPr="00691E1A" w:rsidRDefault="007C06B0" w:rsidP="00781A63">
      <w:pPr>
        <w:pStyle w:val="BlockText"/>
      </w:pPr>
      <w:r w:rsidRPr="003E6F51">
        <w:rPr>
          <w:u w:val="single"/>
        </w:rPr>
        <w:t>Editor’s Note:</w:t>
      </w:r>
      <w:r>
        <w:t xml:space="preserve"> This case exemplifies the importance of </w:t>
      </w:r>
      <w:r w:rsidR="003E6F51">
        <w:t xml:space="preserve">the respondent </w:t>
      </w:r>
      <w:r>
        <w:t>seeking attorney f</w:t>
      </w:r>
      <w:r w:rsidR="003E6F51">
        <w:t xml:space="preserve">ees in </w:t>
      </w:r>
      <w:r>
        <w:t xml:space="preserve">administrative proceedings, particularly under section 57.105 vs. section 57.111, both of which must be pled, but only the former of which appears to allow </w:t>
      </w:r>
      <w:r w:rsidR="00876A95">
        <w:t xml:space="preserve">for </w:t>
      </w:r>
      <w:r>
        <w:t>entry of a “final” order</w:t>
      </w:r>
      <w:r w:rsidR="00876A95">
        <w:t xml:space="preserve"> on liability for fees   (subject to such further evidentiary hearing may be necessary to establish the a</w:t>
      </w:r>
      <w:r w:rsidR="00876A95" w:rsidRPr="003E6F51">
        <w:rPr>
          <w:u w:val="single"/>
        </w:rPr>
        <w:t>mount</w:t>
      </w:r>
      <w:r w:rsidR="00876A95">
        <w:t xml:space="preserve"> thereof),</w:t>
      </w:r>
      <w:r>
        <w:t xml:space="preserve"> </w:t>
      </w:r>
      <w:r w:rsidR="00876A95">
        <w:t>together with a “recommended” order on the underlying issue</w:t>
      </w:r>
      <w:r w:rsidR="003E6F51">
        <w:t xml:space="preserve">. This appears to be a case of first impression, which, subject to such judicial review as maybe sought by the agency, may lead to more cases in which the recovery of attorney fees </w:t>
      </w:r>
      <w:r w:rsidR="007D12C5">
        <w:t xml:space="preserve">from an agency </w:t>
      </w:r>
      <w:r w:rsidR="003E6F51">
        <w:t>are sought.</w:t>
      </w:r>
    </w:p>
    <w:p w:rsidR="003747B5" w:rsidRDefault="003747B5" w:rsidP="00DE52F2">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2A7577" w:rsidRPr="00B36BD2" w:rsidRDefault="004E142A" w:rsidP="0008109E">
      <w:pPr>
        <w:pStyle w:val="BlockText"/>
        <w:numPr>
          <w:ilvl w:val="0"/>
          <w:numId w:val="11"/>
        </w:numPr>
        <w:rPr>
          <w:b/>
        </w:rPr>
      </w:pPr>
      <w:r w:rsidRPr="00936542">
        <w:rPr>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B92C29" w:rsidRPr="00B92C29" w:rsidRDefault="00E1125C" w:rsidP="0008109E">
      <w:pPr>
        <w:pStyle w:val="BlockText"/>
        <w:numPr>
          <w:ilvl w:val="1"/>
          <w:numId w:val="11"/>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p>
    <w:p w:rsidR="00B92C29" w:rsidRPr="00B92C29" w:rsidRDefault="00B92C29" w:rsidP="00B92C29">
      <w:pPr>
        <w:pStyle w:val="BlockText"/>
        <w:ind w:left="1800"/>
        <w:rPr>
          <w:b/>
        </w:rPr>
      </w:pPr>
    </w:p>
    <w:p w:rsidR="00B36BD2" w:rsidRPr="00BA7E0B" w:rsidRDefault="00B36BD2" w:rsidP="0008109E">
      <w:pPr>
        <w:pStyle w:val="BlockText"/>
        <w:numPr>
          <w:ilvl w:val="2"/>
          <w:numId w:val="11"/>
        </w:numPr>
        <w:rPr>
          <w:b/>
        </w:rPr>
      </w:pPr>
      <w:r>
        <w:t>Proposed addition to Rule 61G4-12.001 to add a definition of “structure” as it relates to s. 489.103(6).</w:t>
      </w:r>
      <w:r w:rsidR="00B665B0">
        <w:t xml:space="preserve"> This proposed rule has been placed on “hold” for the time being since it had been first considered as a possible alternative to proposed rule 61G4-15.039 (below).</w:t>
      </w:r>
    </w:p>
    <w:p w:rsidR="00B36BD2" w:rsidRPr="00B36BD2" w:rsidRDefault="00B36BD2" w:rsidP="00B36BD2">
      <w:pPr>
        <w:pStyle w:val="BlockText"/>
        <w:ind w:left="2340"/>
        <w:rPr>
          <w:b/>
        </w:rPr>
      </w:pPr>
    </w:p>
    <w:p w:rsidR="00B36BD2" w:rsidRPr="00781A63" w:rsidRDefault="00B36BD2" w:rsidP="00781A63">
      <w:pPr>
        <w:pStyle w:val="BlockText"/>
        <w:numPr>
          <w:ilvl w:val="2"/>
          <w:numId w:val="11"/>
        </w:numPr>
        <w:rPr>
          <w:b/>
        </w:rPr>
      </w:pPr>
      <w:r>
        <w:t>P</w:t>
      </w:r>
      <w:r w:rsidR="00C959A0">
        <w:t>roposed R</w:t>
      </w:r>
      <w:r w:rsidR="00B92C29">
        <w:t>ule 61G4-15.039, which would create a new specialty contractor l</w:t>
      </w:r>
      <w:r>
        <w:t>ic</w:t>
      </w:r>
      <w:r w:rsidR="00B665B0">
        <w:t>ense for “Industrial Facilities,</w:t>
      </w:r>
      <w:r>
        <w:t>”</w:t>
      </w:r>
      <w:r w:rsidR="00B665B0">
        <w:t xml:space="preserve"> has received final approval by this board and by the agency head on May 27</w:t>
      </w:r>
      <w:r w:rsidR="00B665B0" w:rsidRPr="00B665B0">
        <w:rPr>
          <w:vertAlign w:val="superscript"/>
        </w:rPr>
        <w:t>th</w:t>
      </w:r>
      <w:r w:rsidR="00B665B0">
        <w:t>, and published in final form as required by law (subject to challenge by any adversely affected party).</w:t>
      </w:r>
    </w:p>
    <w:p w:rsidR="00C959A0" w:rsidRPr="00B665B0" w:rsidRDefault="00B36BD2" w:rsidP="00B665B0">
      <w:pPr>
        <w:pStyle w:val="BlockText"/>
        <w:numPr>
          <w:ilvl w:val="2"/>
          <w:numId w:val="11"/>
        </w:numPr>
        <w:rPr>
          <w:b/>
        </w:rPr>
      </w:pPr>
      <w:r>
        <w:t xml:space="preserve">Proposed Rule 61G4-15.040, which would create a new specialty contractor license for </w:t>
      </w:r>
      <w:r w:rsidRPr="00B665B0">
        <w:rPr>
          <w:u w:val="single"/>
        </w:rPr>
        <w:t>Residential</w:t>
      </w:r>
      <w:r>
        <w:t xml:space="preserve"> Pool Servicing</w:t>
      </w:r>
      <w:r w:rsidR="00B665B0">
        <w:t xml:space="preserve"> has also received final approval by this board, and published in final form as required by law (subject to challenge by any adversely affected party).</w:t>
      </w:r>
    </w:p>
    <w:p w:rsidR="00C959A0" w:rsidRPr="00B665B0" w:rsidRDefault="00B36BD2" w:rsidP="00B665B0">
      <w:pPr>
        <w:pStyle w:val="BlockText"/>
        <w:numPr>
          <w:ilvl w:val="2"/>
          <w:numId w:val="11"/>
        </w:numPr>
        <w:rPr>
          <w:b/>
        </w:rPr>
      </w:pPr>
      <w:r>
        <w:t>P</w:t>
      </w:r>
      <w:r w:rsidR="00C959A0">
        <w:t xml:space="preserve">roposed </w:t>
      </w:r>
      <w:r>
        <w:t xml:space="preserve">changes to </w:t>
      </w:r>
      <w:r w:rsidR="00C959A0">
        <w:t>Rule 61G4-16.001 to update and add exam questions for Marine Specialty and Irrigation Specialty Contractors</w:t>
      </w:r>
      <w:r w:rsidR="00B665B0">
        <w:t xml:space="preserve"> has also received final approval by this board, and published in final form as required by law (subject to challenge by any adversely affected party).</w:t>
      </w:r>
    </w:p>
    <w:p w:rsidR="00B36BD2" w:rsidRDefault="00B36BD2" w:rsidP="00B36BD2">
      <w:pPr>
        <w:pStyle w:val="ListParagraph"/>
        <w:rPr>
          <w:b/>
        </w:rPr>
      </w:pPr>
    </w:p>
    <w:p w:rsidR="00B36BD2" w:rsidRPr="00B665B0" w:rsidRDefault="00B36BD2" w:rsidP="00B665B0">
      <w:pPr>
        <w:pStyle w:val="BlockText"/>
        <w:numPr>
          <w:ilvl w:val="2"/>
          <w:numId w:val="11"/>
        </w:numPr>
        <w:rPr>
          <w:b/>
        </w:rPr>
      </w:pPr>
      <w:r>
        <w:t>Proposed changes to Rule 61G4-17.001 to increase penalty guideline amounts</w:t>
      </w:r>
      <w:r w:rsidR="00B665B0" w:rsidRPr="00B665B0">
        <w:t xml:space="preserve"> </w:t>
      </w:r>
      <w:r w:rsidR="00B665B0">
        <w:t>has also received final approval by this board, and published in final form as required by law (subject to challenge by any adversely affected party).</w:t>
      </w:r>
      <w:r>
        <w:t>.</w:t>
      </w:r>
    </w:p>
    <w:p w:rsidR="00E62413" w:rsidRDefault="00E62413" w:rsidP="00E62413">
      <w:pPr>
        <w:pStyle w:val="ListParagraph"/>
        <w:rPr>
          <w:b/>
        </w:rPr>
      </w:pPr>
    </w:p>
    <w:p w:rsidR="00E62413" w:rsidRDefault="00E62413" w:rsidP="0008109E">
      <w:pPr>
        <w:pStyle w:val="Default"/>
        <w:numPr>
          <w:ilvl w:val="1"/>
          <w:numId w:val="11"/>
        </w:numPr>
        <w:rPr>
          <w:rFonts w:asciiTheme="majorHAnsi" w:hAnsiTheme="majorHAnsi" w:cstheme="majorHAnsi"/>
        </w:rPr>
      </w:pPr>
      <w:r>
        <w:rPr>
          <w:rFonts w:asciiTheme="majorHAnsi" w:hAnsiTheme="majorHAnsi" w:cstheme="majorHAnsi"/>
        </w:rPr>
        <w:t>The following Petitions for Declaratory Statement have been disposed of:</w:t>
      </w:r>
      <w:r w:rsidRPr="00BA7E0B">
        <w:rPr>
          <w:rFonts w:asciiTheme="majorHAnsi" w:hAnsiTheme="majorHAnsi" w:cstheme="majorHAnsi"/>
        </w:rPr>
        <w:tab/>
      </w:r>
    </w:p>
    <w:p w:rsidR="00E62413" w:rsidRDefault="00E62413" w:rsidP="00E62413">
      <w:pPr>
        <w:pStyle w:val="Default"/>
        <w:ind w:left="1440"/>
        <w:rPr>
          <w:rFonts w:asciiTheme="majorHAnsi" w:hAnsiTheme="majorHAnsi" w:cstheme="majorHAnsi"/>
        </w:rPr>
      </w:pPr>
    </w:p>
    <w:p w:rsidR="00E62413" w:rsidRDefault="00B665B0" w:rsidP="0008109E">
      <w:pPr>
        <w:pStyle w:val="Default"/>
        <w:numPr>
          <w:ilvl w:val="2"/>
          <w:numId w:val="11"/>
        </w:numPr>
        <w:jc w:val="both"/>
        <w:rPr>
          <w:rFonts w:asciiTheme="majorHAnsi" w:hAnsiTheme="majorHAnsi" w:cstheme="majorHAnsi"/>
        </w:rPr>
      </w:pPr>
      <w:r>
        <w:rPr>
          <w:rFonts w:asciiTheme="majorHAnsi" w:hAnsiTheme="majorHAnsi" w:cstheme="majorHAnsi"/>
          <w:b/>
          <w:bCs/>
        </w:rPr>
        <w:t>City of Port St. Joe</w:t>
      </w:r>
      <w:r w:rsidR="00E62413" w:rsidRPr="00BA7E0B">
        <w:rPr>
          <w:rFonts w:asciiTheme="majorHAnsi" w:hAnsiTheme="majorHAnsi" w:cstheme="majorHAnsi"/>
          <w:b/>
          <w:bCs/>
        </w:rPr>
        <w:t xml:space="preserve"> – </w:t>
      </w:r>
      <w:r w:rsidR="00E62413">
        <w:rPr>
          <w:rFonts w:asciiTheme="majorHAnsi" w:hAnsiTheme="majorHAnsi" w:cstheme="majorHAnsi"/>
        </w:rPr>
        <w:t xml:space="preserve">Petition for </w:t>
      </w:r>
      <w:r w:rsidR="00E62413" w:rsidRPr="00BA7E0B">
        <w:rPr>
          <w:rFonts w:asciiTheme="majorHAnsi" w:hAnsiTheme="majorHAnsi" w:cstheme="majorHAnsi"/>
        </w:rPr>
        <w:t>Dec</w:t>
      </w:r>
      <w:r w:rsidR="00E62413">
        <w:rPr>
          <w:rFonts w:asciiTheme="majorHAnsi" w:hAnsiTheme="majorHAnsi" w:cstheme="majorHAnsi"/>
        </w:rPr>
        <w:t>larato</w:t>
      </w:r>
      <w:r>
        <w:rPr>
          <w:rFonts w:asciiTheme="majorHAnsi" w:hAnsiTheme="majorHAnsi" w:cstheme="majorHAnsi"/>
        </w:rPr>
        <w:t>ry Statement filed on January 28</w:t>
      </w:r>
      <w:r w:rsidR="00E62413">
        <w:rPr>
          <w:rFonts w:asciiTheme="majorHAnsi" w:hAnsiTheme="majorHAnsi" w:cstheme="majorHAnsi"/>
        </w:rPr>
        <w:t>, 2014, seeking agency’</w:t>
      </w:r>
      <w:r>
        <w:rPr>
          <w:rFonts w:asciiTheme="majorHAnsi" w:hAnsiTheme="majorHAnsi" w:cstheme="majorHAnsi"/>
        </w:rPr>
        <w:t xml:space="preserve">s opinion regarding whether </w:t>
      </w:r>
      <w:r w:rsidR="00E62413">
        <w:rPr>
          <w:rFonts w:asciiTheme="majorHAnsi" w:hAnsiTheme="majorHAnsi" w:cstheme="majorHAnsi"/>
        </w:rPr>
        <w:t xml:space="preserve">a </w:t>
      </w:r>
      <w:r>
        <w:rPr>
          <w:rFonts w:asciiTheme="majorHAnsi" w:hAnsiTheme="majorHAnsi" w:cstheme="majorHAnsi"/>
        </w:rPr>
        <w:t xml:space="preserve">general or building contractor can subcontract to an unlicensed contractor for the structural masonry work on a commercial structure, where the local government requires a license for masonry work. Order entered on May 23, 2014, issues a declaratory statement </w:t>
      </w:r>
      <w:r w:rsidR="00F83282">
        <w:rPr>
          <w:rFonts w:asciiTheme="majorHAnsi" w:hAnsiTheme="majorHAnsi" w:cstheme="majorHAnsi"/>
        </w:rPr>
        <w:t>that a general or building contractor cantor subcontract to an unlicensed contractor for such work</w:t>
      </w:r>
      <w:r w:rsidR="00E62413">
        <w:rPr>
          <w:rFonts w:asciiTheme="majorHAnsi" w:hAnsiTheme="majorHAnsi" w:cstheme="majorHAnsi"/>
        </w:rPr>
        <w:t>.</w:t>
      </w:r>
    </w:p>
    <w:p w:rsidR="00E62413" w:rsidRDefault="00E62413" w:rsidP="00E62413">
      <w:pPr>
        <w:pStyle w:val="Default"/>
        <w:ind w:left="2520"/>
        <w:jc w:val="both"/>
        <w:rPr>
          <w:rFonts w:asciiTheme="majorHAnsi" w:hAnsiTheme="majorHAnsi" w:cstheme="majorHAnsi"/>
        </w:rPr>
      </w:pPr>
    </w:p>
    <w:p w:rsidR="0094446C" w:rsidRDefault="00F83282" w:rsidP="00B01E16">
      <w:pPr>
        <w:pStyle w:val="Default"/>
        <w:numPr>
          <w:ilvl w:val="2"/>
          <w:numId w:val="11"/>
        </w:numPr>
        <w:jc w:val="both"/>
        <w:rPr>
          <w:rFonts w:asciiTheme="majorHAnsi" w:hAnsiTheme="majorHAnsi" w:cstheme="majorHAnsi"/>
        </w:rPr>
      </w:pPr>
      <w:r w:rsidRPr="00F83282">
        <w:rPr>
          <w:rFonts w:asciiTheme="majorHAnsi" w:hAnsiTheme="majorHAnsi" w:cstheme="majorHAnsi"/>
          <w:b/>
          <w:bCs/>
        </w:rPr>
        <w:t>Iron Horse Energy Services</w:t>
      </w:r>
      <w:r w:rsidR="00E62413" w:rsidRPr="00F83282">
        <w:rPr>
          <w:rFonts w:asciiTheme="majorHAnsi" w:hAnsiTheme="majorHAnsi" w:cstheme="majorHAnsi"/>
          <w:b/>
          <w:bCs/>
        </w:rPr>
        <w:t xml:space="preserve">– </w:t>
      </w:r>
      <w:r w:rsidR="00E62413" w:rsidRPr="00F83282">
        <w:rPr>
          <w:rFonts w:asciiTheme="majorHAnsi" w:hAnsiTheme="majorHAnsi" w:cstheme="majorHAnsi"/>
        </w:rPr>
        <w:t>Petition for Declarato</w:t>
      </w:r>
      <w:r w:rsidRPr="00F83282">
        <w:rPr>
          <w:rFonts w:asciiTheme="majorHAnsi" w:hAnsiTheme="majorHAnsi" w:cstheme="majorHAnsi"/>
        </w:rPr>
        <w:t>ry Statement filed on February 14</w:t>
      </w:r>
      <w:r w:rsidR="00E62413" w:rsidRPr="00F83282">
        <w:rPr>
          <w:rFonts w:asciiTheme="majorHAnsi" w:hAnsiTheme="majorHAnsi" w:cstheme="majorHAnsi"/>
        </w:rPr>
        <w:t>, 2014, seeking the agency’s opinion</w:t>
      </w:r>
      <w:r w:rsidRPr="00F83282">
        <w:rPr>
          <w:rFonts w:asciiTheme="majorHAnsi" w:hAnsiTheme="majorHAnsi" w:cstheme="majorHAnsi"/>
        </w:rPr>
        <w:t xml:space="preserve"> as to </w:t>
      </w:r>
      <w:r w:rsidR="00E62413" w:rsidRPr="00F83282">
        <w:rPr>
          <w:rFonts w:asciiTheme="majorHAnsi" w:hAnsiTheme="majorHAnsi" w:cstheme="majorHAnsi"/>
        </w:rPr>
        <w:t>whether</w:t>
      </w:r>
      <w:r w:rsidRPr="00F83282">
        <w:rPr>
          <w:rFonts w:asciiTheme="majorHAnsi" w:hAnsiTheme="majorHAnsi" w:cstheme="majorHAnsi"/>
        </w:rPr>
        <w:t xml:space="preserve"> it was</w:t>
      </w:r>
      <w:r w:rsidR="00E62413" w:rsidRPr="00F83282">
        <w:rPr>
          <w:rFonts w:asciiTheme="majorHAnsi" w:hAnsiTheme="majorHAnsi" w:cstheme="majorHAnsi"/>
        </w:rPr>
        <w:t xml:space="preserve"> </w:t>
      </w:r>
      <w:r w:rsidRPr="00F83282">
        <w:rPr>
          <w:rFonts w:asciiTheme="majorHAnsi" w:hAnsiTheme="majorHAnsi" w:cstheme="majorHAnsi"/>
        </w:rPr>
        <w:t>exempt from licensure working for a natural gas transmission company</w:t>
      </w:r>
      <w:r w:rsidR="0094446C" w:rsidRPr="00F83282">
        <w:rPr>
          <w:rFonts w:asciiTheme="majorHAnsi" w:hAnsiTheme="majorHAnsi" w:cstheme="majorHAnsi"/>
        </w:rPr>
        <w:t>.</w:t>
      </w:r>
      <w:r w:rsidRPr="00F83282">
        <w:rPr>
          <w:rFonts w:asciiTheme="majorHAnsi" w:hAnsiTheme="majorHAnsi" w:cstheme="majorHAnsi"/>
        </w:rPr>
        <w:t xml:space="preserve"> Order entered on May 23, 2014, </w:t>
      </w:r>
      <w:r w:rsidR="0094446C" w:rsidRPr="00F83282">
        <w:rPr>
          <w:rFonts w:asciiTheme="majorHAnsi" w:hAnsiTheme="majorHAnsi" w:cstheme="majorHAnsi"/>
        </w:rPr>
        <w:t>issue</w:t>
      </w:r>
      <w:r w:rsidRPr="00F83282">
        <w:rPr>
          <w:rFonts w:asciiTheme="majorHAnsi" w:hAnsiTheme="majorHAnsi" w:cstheme="majorHAnsi"/>
        </w:rPr>
        <w:t>d</w:t>
      </w:r>
      <w:r w:rsidR="0094446C" w:rsidRPr="00F83282">
        <w:rPr>
          <w:rFonts w:asciiTheme="majorHAnsi" w:hAnsiTheme="majorHAnsi" w:cstheme="majorHAnsi"/>
        </w:rPr>
        <w:t xml:space="preserve"> a declaratory statement</w:t>
      </w:r>
      <w:r w:rsidRPr="00F83282">
        <w:rPr>
          <w:rFonts w:asciiTheme="majorHAnsi" w:hAnsiTheme="majorHAnsi" w:cstheme="majorHAnsi"/>
        </w:rPr>
        <w:t xml:space="preserve"> that the exemption did not apply to the employees of petitione</w:t>
      </w:r>
      <w:r>
        <w:rPr>
          <w:rFonts w:asciiTheme="majorHAnsi" w:hAnsiTheme="majorHAnsi" w:cstheme="majorHAnsi"/>
        </w:rPr>
        <w:t>r</w:t>
      </w:r>
      <w:r w:rsidRPr="00F83282">
        <w:rPr>
          <w:rFonts w:asciiTheme="majorHAnsi" w:hAnsiTheme="majorHAnsi" w:cstheme="majorHAnsi"/>
        </w:rPr>
        <w:t>.</w:t>
      </w:r>
    </w:p>
    <w:p w:rsidR="00F83282" w:rsidRPr="00F83282" w:rsidRDefault="00F83282" w:rsidP="00F83282">
      <w:pPr>
        <w:pStyle w:val="Default"/>
        <w:jc w:val="both"/>
        <w:rPr>
          <w:rFonts w:asciiTheme="majorHAnsi" w:hAnsiTheme="majorHAnsi" w:cstheme="majorHAnsi"/>
        </w:rPr>
      </w:pPr>
    </w:p>
    <w:p w:rsidR="00E62413" w:rsidRDefault="00F83282" w:rsidP="0008109E">
      <w:pPr>
        <w:pStyle w:val="Default"/>
        <w:numPr>
          <w:ilvl w:val="2"/>
          <w:numId w:val="11"/>
        </w:numPr>
        <w:jc w:val="both"/>
        <w:rPr>
          <w:rFonts w:asciiTheme="majorHAnsi" w:hAnsiTheme="majorHAnsi" w:cstheme="majorHAnsi"/>
        </w:rPr>
      </w:pPr>
      <w:r>
        <w:rPr>
          <w:rFonts w:asciiTheme="majorHAnsi" w:hAnsiTheme="majorHAnsi" w:cstheme="majorHAnsi"/>
          <w:b/>
          <w:bCs/>
        </w:rPr>
        <w:t>Ricki Moran</w:t>
      </w:r>
      <w:r w:rsidR="00E62413" w:rsidRPr="00BA7E0B">
        <w:rPr>
          <w:rFonts w:asciiTheme="majorHAnsi" w:hAnsiTheme="majorHAnsi" w:cstheme="majorHAnsi"/>
          <w:b/>
          <w:bCs/>
        </w:rPr>
        <w:t xml:space="preserve"> – </w:t>
      </w:r>
      <w:r w:rsidR="00E62413" w:rsidRPr="00BA7E0B">
        <w:rPr>
          <w:rFonts w:asciiTheme="majorHAnsi" w:hAnsiTheme="majorHAnsi" w:cstheme="majorHAnsi"/>
        </w:rPr>
        <w:t>Petition for De</w:t>
      </w:r>
      <w:r w:rsidR="0094446C">
        <w:rPr>
          <w:rFonts w:asciiTheme="majorHAnsi" w:hAnsiTheme="majorHAnsi" w:cstheme="majorHAnsi"/>
        </w:rPr>
        <w:t>clarato</w:t>
      </w:r>
      <w:r>
        <w:rPr>
          <w:rFonts w:asciiTheme="majorHAnsi" w:hAnsiTheme="majorHAnsi" w:cstheme="majorHAnsi"/>
        </w:rPr>
        <w:t>ry Statement filed on February 19</w:t>
      </w:r>
      <w:r w:rsidR="0094446C">
        <w:rPr>
          <w:rFonts w:asciiTheme="majorHAnsi" w:hAnsiTheme="majorHAnsi" w:cstheme="majorHAnsi"/>
        </w:rPr>
        <w:t xml:space="preserve">, 2014, seeking </w:t>
      </w:r>
      <w:r>
        <w:rPr>
          <w:rFonts w:asciiTheme="majorHAnsi" w:hAnsiTheme="majorHAnsi" w:cstheme="majorHAnsi"/>
        </w:rPr>
        <w:t>the agency’s opinion whether a building contractor may erect a brand new building. Order entered on May 23, 2014, issued a declaratory statement that the definition of “building contractor” includes the ability to construct new buildings</w:t>
      </w:r>
      <w:r w:rsidR="0094446C">
        <w:rPr>
          <w:rFonts w:asciiTheme="majorHAnsi" w:hAnsiTheme="majorHAnsi" w:cstheme="majorHAnsi"/>
        </w:rPr>
        <w:t>.</w:t>
      </w:r>
    </w:p>
    <w:p w:rsidR="00E62413" w:rsidRDefault="00E62413" w:rsidP="0094446C">
      <w:pPr>
        <w:pStyle w:val="Default"/>
        <w:ind w:left="2520"/>
        <w:jc w:val="both"/>
        <w:rPr>
          <w:rFonts w:asciiTheme="majorHAnsi" w:hAnsiTheme="majorHAnsi" w:cstheme="majorHAnsi"/>
        </w:rPr>
      </w:pPr>
    </w:p>
    <w:p w:rsidR="00E62413" w:rsidRPr="008E5BE5" w:rsidRDefault="00F83282" w:rsidP="0094446C">
      <w:pPr>
        <w:pStyle w:val="Default"/>
        <w:numPr>
          <w:ilvl w:val="2"/>
          <w:numId w:val="11"/>
        </w:numPr>
        <w:jc w:val="both"/>
        <w:rPr>
          <w:rFonts w:asciiTheme="majorHAnsi" w:hAnsiTheme="majorHAnsi" w:cstheme="majorHAnsi"/>
        </w:rPr>
      </w:pPr>
      <w:r>
        <w:rPr>
          <w:rFonts w:asciiTheme="majorHAnsi" w:hAnsiTheme="majorHAnsi" w:cstheme="majorHAnsi"/>
          <w:b/>
        </w:rPr>
        <w:t>Mike Fossett</w:t>
      </w:r>
      <w:r w:rsidR="0094446C">
        <w:rPr>
          <w:rFonts w:asciiTheme="majorHAnsi" w:hAnsiTheme="majorHAnsi" w:cstheme="majorHAnsi"/>
        </w:rPr>
        <w:t xml:space="preserve"> – Petition for Declara</w:t>
      </w:r>
      <w:r>
        <w:rPr>
          <w:rFonts w:asciiTheme="majorHAnsi" w:hAnsiTheme="majorHAnsi" w:cstheme="majorHAnsi"/>
        </w:rPr>
        <w:t xml:space="preserve">tory Statement filed on </w:t>
      </w:r>
      <w:r w:rsidR="00BA2CBC">
        <w:rPr>
          <w:rFonts w:asciiTheme="majorHAnsi" w:hAnsiTheme="majorHAnsi" w:cstheme="majorHAnsi"/>
        </w:rPr>
        <w:t>February</w:t>
      </w:r>
      <w:r w:rsidR="0094446C">
        <w:rPr>
          <w:rFonts w:asciiTheme="majorHAnsi" w:hAnsiTheme="majorHAnsi" w:cstheme="majorHAnsi"/>
        </w:rPr>
        <w:t xml:space="preserve"> 20, 2013, seeking the agency’s opinion as to whether a </w:t>
      </w:r>
      <w:r>
        <w:rPr>
          <w:rFonts w:asciiTheme="majorHAnsi" w:hAnsiTheme="majorHAnsi" w:cstheme="majorHAnsi"/>
        </w:rPr>
        <w:t xml:space="preserve">“Pollutant </w:t>
      </w:r>
      <w:r>
        <w:rPr>
          <w:rFonts w:asciiTheme="majorHAnsi" w:hAnsiTheme="majorHAnsi" w:cstheme="majorHAnsi"/>
        </w:rPr>
        <w:br/>
        <w:t>Storage Systems Contractor”</w:t>
      </w:r>
      <w:r w:rsidR="0094446C">
        <w:rPr>
          <w:rFonts w:asciiTheme="majorHAnsi" w:hAnsiTheme="majorHAnsi" w:cstheme="majorHAnsi"/>
        </w:rPr>
        <w:t xml:space="preserve"> </w:t>
      </w:r>
      <w:r>
        <w:rPr>
          <w:rFonts w:asciiTheme="majorHAnsi" w:hAnsiTheme="majorHAnsi" w:cstheme="majorHAnsi"/>
        </w:rPr>
        <w:t>can construct or alter an aviation hydrant fueling systems at airports that are tied to an above-ground tank fuel distribution system. Order entered on May 23</w:t>
      </w:r>
      <w:r w:rsidR="0094446C">
        <w:rPr>
          <w:rFonts w:asciiTheme="majorHAnsi" w:hAnsiTheme="majorHAnsi" w:cstheme="majorHAnsi"/>
        </w:rPr>
        <w:t>, 2</w:t>
      </w:r>
      <w:r>
        <w:rPr>
          <w:rFonts w:asciiTheme="majorHAnsi" w:hAnsiTheme="majorHAnsi" w:cstheme="majorHAnsi"/>
        </w:rPr>
        <w:t xml:space="preserve">014, issued a declaratory statement that </w:t>
      </w:r>
      <w:r w:rsidR="008E5BE5">
        <w:rPr>
          <w:rFonts w:asciiTheme="majorHAnsi" w:hAnsiTheme="majorHAnsi" w:cstheme="majorHAnsi"/>
        </w:rPr>
        <w:t>the work is not within their scope of license and that a plumbing or mechanical license is required for distribution</w:t>
      </w:r>
      <w:r w:rsidR="0094446C">
        <w:rPr>
          <w:rFonts w:asciiTheme="majorHAnsi" w:hAnsiTheme="majorHAnsi" w:cstheme="majorHAnsi"/>
        </w:rPr>
        <w:t>.</w:t>
      </w:r>
    </w:p>
    <w:p w:rsidR="002A7577" w:rsidRPr="002A7577" w:rsidRDefault="002A7577" w:rsidP="0094446C">
      <w:pPr>
        <w:pStyle w:val="BlockText"/>
        <w:rPr>
          <w:b/>
        </w:rPr>
      </w:pPr>
    </w:p>
    <w:p w:rsidR="000C4BC7" w:rsidRDefault="004E142A" w:rsidP="0008109E">
      <w:pPr>
        <w:pStyle w:val="Default"/>
        <w:numPr>
          <w:ilvl w:val="1"/>
          <w:numId w:val="11"/>
        </w:numPr>
        <w:jc w:val="both"/>
        <w:rPr>
          <w:rFonts w:asciiTheme="majorHAnsi" w:hAnsiTheme="majorHAnsi" w:cstheme="majorHAnsi"/>
        </w:rPr>
      </w:pPr>
      <w:r w:rsidRPr="00BA7E0B">
        <w:rPr>
          <w:rFonts w:asciiTheme="majorHAnsi" w:hAnsiTheme="majorHAnsi" w:cstheme="majorHAnsi"/>
        </w:rPr>
        <w:t>This bo</w:t>
      </w:r>
      <w:r w:rsidR="000C4BC7">
        <w:rPr>
          <w:rFonts w:asciiTheme="majorHAnsi" w:hAnsiTheme="majorHAnsi" w:cstheme="majorHAnsi"/>
        </w:rPr>
        <w:t xml:space="preserve">ard has received </w:t>
      </w:r>
      <w:r w:rsidRPr="00BA7E0B">
        <w:rPr>
          <w:rFonts w:asciiTheme="majorHAnsi" w:hAnsiTheme="majorHAnsi" w:cstheme="majorHAnsi"/>
        </w:rPr>
        <w:t>the following Petitions for</w:t>
      </w:r>
      <w:r w:rsidR="000C4BC7">
        <w:rPr>
          <w:rFonts w:asciiTheme="majorHAnsi" w:hAnsiTheme="majorHAnsi" w:cstheme="majorHAnsi"/>
        </w:rPr>
        <w:t xml:space="preserve"> Declaratory Statement</w:t>
      </w:r>
      <w:r w:rsidR="00DB01F6" w:rsidRPr="00BA7E0B">
        <w:rPr>
          <w:rFonts w:asciiTheme="majorHAnsi" w:hAnsiTheme="majorHAnsi" w:cstheme="majorHAnsi"/>
        </w:rPr>
        <w:t>:</w:t>
      </w:r>
    </w:p>
    <w:p w:rsidR="00C5163E" w:rsidRDefault="00C5163E" w:rsidP="00C5163E">
      <w:pPr>
        <w:pStyle w:val="Default"/>
        <w:ind w:left="1800"/>
        <w:jc w:val="both"/>
        <w:rPr>
          <w:rFonts w:asciiTheme="majorHAnsi" w:hAnsiTheme="majorHAnsi" w:cstheme="majorHAnsi"/>
        </w:rPr>
      </w:pPr>
    </w:p>
    <w:p w:rsidR="00C5163E" w:rsidRPr="008E5BE5" w:rsidRDefault="008E5BE5" w:rsidP="001201C0">
      <w:pPr>
        <w:pStyle w:val="Default"/>
        <w:numPr>
          <w:ilvl w:val="2"/>
          <w:numId w:val="11"/>
        </w:numPr>
        <w:jc w:val="both"/>
        <w:rPr>
          <w:rFonts w:asciiTheme="majorHAnsi" w:hAnsiTheme="majorHAnsi" w:cstheme="majorHAnsi"/>
        </w:rPr>
      </w:pPr>
      <w:r w:rsidRPr="008E5BE5">
        <w:rPr>
          <w:rFonts w:asciiTheme="majorHAnsi" w:hAnsiTheme="majorHAnsi" w:cstheme="majorHAnsi"/>
          <w:b/>
        </w:rPr>
        <w:t>Isler Demolition, Inc.</w:t>
      </w:r>
      <w:r w:rsidRPr="008E5BE5">
        <w:rPr>
          <w:rFonts w:asciiTheme="majorHAnsi" w:hAnsiTheme="majorHAnsi" w:cstheme="majorHAnsi"/>
        </w:rPr>
        <w:t xml:space="preserve"> - Petition filed on May 5</w:t>
      </w:r>
      <w:r w:rsidR="00C5163E" w:rsidRPr="008E5BE5">
        <w:rPr>
          <w:rFonts w:asciiTheme="majorHAnsi" w:hAnsiTheme="majorHAnsi" w:cstheme="majorHAnsi"/>
        </w:rPr>
        <w:t xml:space="preserve">, 2014, seeking the agency’s opinion whether a </w:t>
      </w:r>
      <w:r w:rsidRPr="008E5BE5">
        <w:rPr>
          <w:rFonts w:asciiTheme="majorHAnsi" w:hAnsiTheme="majorHAnsi" w:cstheme="majorHAnsi"/>
        </w:rPr>
        <w:t xml:space="preserve">petitioner is required to have a contractor’s license for demolishing steel water storage structures in Florida. </w:t>
      </w:r>
    </w:p>
    <w:p w:rsidR="008E5BE5" w:rsidRDefault="00C5163E" w:rsidP="007D12C5">
      <w:pPr>
        <w:pStyle w:val="Default"/>
        <w:ind w:left="2520"/>
        <w:jc w:val="both"/>
        <w:rPr>
          <w:rFonts w:asciiTheme="majorHAnsi" w:hAnsiTheme="majorHAnsi" w:cstheme="majorHAnsi"/>
        </w:rPr>
      </w:pPr>
      <w:r w:rsidRPr="007D12C5">
        <w:rPr>
          <w:rFonts w:asciiTheme="majorHAnsi" w:hAnsiTheme="majorHAnsi" w:cstheme="majorHAnsi"/>
          <w:u w:val="single"/>
        </w:rPr>
        <w:t>EDITOR’S NOTE:</w:t>
      </w:r>
      <w:r>
        <w:rPr>
          <w:rFonts w:asciiTheme="majorHAnsi" w:hAnsiTheme="majorHAnsi" w:cstheme="majorHAnsi"/>
        </w:rPr>
        <w:t xml:space="preserve"> </w:t>
      </w:r>
      <w:r w:rsidR="007D12C5">
        <w:rPr>
          <w:rFonts w:asciiTheme="majorHAnsi" w:hAnsiTheme="majorHAnsi" w:cstheme="majorHAnsi"/>
        </w:rPr>
        <w:t xml:space="preserve">The </w:t>
      </w:r>
      <w:r w:rsidR="008E5BE5">
        <w:rPr>
          <w:rFonts w:asciiTheme="majorHAnsi" w:hAnsiTheme="majorHAnsi" w:cstheme="majorHAnsi"/>
        </w:rPr>
        <w:t xml:space="preserve">demolition of structures up to 50’ in height used to be exempt from licensing requirements, and the repeal of that exemption </w:t>
      </w:r>
      <w:r w:rsidR="007D12C5">
        <w:rPr>
          <w:rFonts w:asciiTheme="majorHAnsi" w:hAnsiTheme="majorHAnsi" w:cstheme="majorHAnsi"/>
        </w:rPr>
        <w:t xml:space="preserve">several years ago </w:t>
      </w:r>
      <w:r w:rsidR="008E5BE5">
        <w:rPr>
          <w:rFonts w:asciiTheme="majorHAnsi" w:hAnsiTheme="majorHAnsi" w:cstheme="majorHAnsi"/>
        </w:rPr>
        <w:t>has led to a “scrabble” for contractor’s licenses.</w:t>
      </w:r>
    </w:p>
    <w:p w:rsidR="00781A63" w:rsidRDefault="00781A63" w:rsidP="007D12C5">
      <w:pPr>
        <w:pStyle w:val="Default"/>
        <w:ind w:left="2520"/>
        <w:jc w:val="both"/>
        <w:rPr>
          <w:rFonts w:asciiTheme="majorHAnsi" w:hAnsiTheme="majorHAnsi" w:cstheme="majorHAnsi"/>
        </w:rPr>
      </w:pPr>
    </w:p>
    <w:p w:rsidR="00C5163E" w:rsidRDefault="008E5BE5" w:rsidP="0008109E">
      <w:pPr>
        <w:pStyle w:val="Default"/>
        <w:numPr>
          <w:ilvl w:val="2"/>
          <w:numId w:val="11"/>
        </w:numPr>
        <w:jc w:val="both"/>
        <w:rPr>
          <w:rFonts w:asciiTheme="majorHAnsi" w:hAnsiTheme="majorHAnsi" w:cstheme="majorHAnsi"/>
        </w:rPr>
      </w:pPr>
      <w:r>
        <w:rPr>
          <w:rFonts w:asciiTheme="majorHAnsi" w:hAnsiTheme="majorHAnsi" w:cstheme="majorHAnsi"/>
          <w:b/>
        </w:rPr>
        <w:t>Playmore Recreational Products and Services</w:t>
      </w:r>
      <w:r>
        <w:rPr>
          <w:rFonts w:asciiTheme="majorHAnsi" w:hAnsiTheme="majorHAnsi" w:cstheme="majorHAnsi"/>
        </w:rPr>
        <w:t>– Petition filed on May 5</w:t>
      </w:r>
      <w:r w:rsidR="00C5163E">
        <w:rPr>
          <w:rFonts w:asciiTheme="majorHAnsi" w:hAnsiTheme="majorHAnsi" w:cstheme="majorHAnsi"/>
        </w:rPr>
        <w:t xml:space="preserve">, 2014, seeking the agency’s opinion whether </w:t>
      </w:r>
      <w:r>
        <w:rPr>
          <w:rFonts w:asciiTheme="majorHAnsi" w:hAnsiTheme="majorHAnsi" w:cstheme="majorHAnsi"/>
        </w:rPr>
        <w:t>an unlicensed contractor may hire a licensed contractor when a permit needs to be obtained.</w:t>
      </w:r>
    </w:p>
    <w:p w:rsidR="00AE36D0" w:rsidRDefault="00AE36D0" w:rsidP="00AE36D0">
      <w:pPr>
        <w:pStyle w:val="Default"/>
        <w:ind w:left="2520"/>
        <w:jc w:val="both"/>
        <w:rPr>
          <w:rFonts w:asciiTheme="majorHAnsi" w:hAnsiTheme="majorHAnsi" w:cstheme="majorHAnsi"/>
        </w:rPr>
      </w:pPr>
    </w:p>
    <w:p w:rsidR="00C5163E" w:rsidRDefault="008E5BE5" w:rsidP="0008109E">
      <w:pPr>
        <w:pStyle w:val="Default"/>
        <w:numPr>
          <w:ilvl w:val="2"/>
          <w:numId w:val="11"/>
        </w:numPr>
        <w:jc w:val="both"/>
        <w:rPr>
          <w:rFonts w:asciiTheme="majorHAnsi" w:hAnsiTheme="majorHAnsi" w:cstheme="majorHAnsi"/>
        </w:rPr>
      </w:pPr>
      <w:r>
        <w:rPr>
          <w:rFonts w:asciiTheme="majorHAnsi" w:hAnsiTheme="majorHAnsi" w:cstheme="majorHAnsi"/>
          <w:b/>
        </w:rPr>
        <w:t>Lapi West, LLC</w:t>
      </w:r>
      <w:r w:rsidR="00AE36D0">
        <w:rPr>
          <w:rFonts w:asciiTheme="majorHAnsi" w:hAnsiTheme="majorHAnsi" w:cstheme="majorHAnsi"/>
          <w:b/>
        </w:rPr>
        <w:t xml:space="preserve"> </w:t>
      </w:r>
      <w:r>
        <w:rPr>
          <w:rFonts w:asciiTheme="majorHAnsi" w:hAnsiTheme="majorHAnsi" w:cstheme="majorHAnsi"/>
        </w:rPr>
        <w:t>– Petition filed on May 12</w:t>
      </w:r>
      <w:r w:rsidR="00AE36D0">
        <w:rPr>
          <w:rFonts w:asciiTheme="majorHAnsi" w:hAnsiTheme="majorHAnsi" w:cstheme="majorHAnsi"/>
        </w:rPr>
        <w:t>, 2014,</w:t>
      </w:r>
      <w:r w:rsidR="00416CC9">
        <w:rPr>
          <w:rFonts w:asciiTheme="majorHAnsi" w:hAnsiTheme="majorHAnsi" w:cstheme="majorHAnsi"/>
        </w:rPr>
        <w:t xml:space="preserve"> seeking the agency’s opinion of which type of Division I license is required to construct a one-story commercial barn and stable on residentially zoned property to be used in furtherance of a commercial endeavor.</w:t>
      </w:r>
    </w:p>
    <w:p w:rsidR="00AE36D0" w:rsidRDefault="00AE36D0" w:rsidP="00AE36D0">
      <w:pPr>
        <w:pStyle w:val="ListParagraph"/>
        <w:rPr>
          <w:rFonts w:asciiTheme="majorHAnsi" w:hAnsiTheme="majorHAnsi" w:cstheme="majorHAnsi"/>
        </w:rPr>
      </w:pPr>
    </w:p>
    <w:p w:rsidR="00B36BD2" w:rsidRPr="00AE36D0" w:rsidRDefault="00AE36D0" w:rsidP="0008109E">
      <w:pPr>
        <w:pStyle w:val="Default"/>
        <w:numPr>
          <w:ilvl w:val="2"/>
          <w:numId w:val="11"/>
        </w:numPr>
        <w:tabs>
          <w:tab w:val="left" w:pos="2340"/>
        </w:tabs>
        <w:jc w:val="both"/>
        <w:rPr>
          <w:rFonts w:asciiTheme="majorHAnsi" w:hAnsiTheme="majorHAnsi" w:cstheme="majorHAnsi"/>
          <w:b/>
          <w:bCs/>
        </w:rPr>
      </w:pPr>
      <w:r w:rsidRPr="00AE36D0">
        <w:rPr>
          <w:rFonts w:asciiTheme="majorHAnsi" w:hAnsiTheme="majorHAnsi" w:cstheme="majorHAnsi"/>
          <w:b/>
        </w:rPr>
        <w:t xml:space="preserve">  </w:t>
      </w:r>
      <w:r w:rsidR="00416CC9">
        <w:rPr>
          <w:rFonts w:asciiTheme="majorHAnsi" w:hAnsiTheme="majorHAnsi" w:cstheme="majorHAnsi"/>
          <w:b/>
        </w:rPr>
        <w:t>Pro/Max Construction, LLC</w:t>
      </w:r>
      <w:r w:rsidRPr="00AE36D0">
        <w:rPr>
          <w:rFonts w:asciiTheme="majorHAnsi" w:hAnsiTheme="majorHAnsi" w:cstheme="majorHAnsi"/>
          <w:b/>
        </w:rPr>
        <w:t xml:space="preserve"> </w:t>
      </w:r>
      <w:r w:rsidR="00416CC9">
        <w:rPr>
          <w:rFonts w:asciiTheme="majorHAnsi" w:hAnsiTheme="majorHAnsi" w:cstheme="majorHAnsi"/>
        </w:rPr>
        <w:t>– Petition filed on May 20</w:t>
      </w:r>
      <w:r w:rsidRPr="00AE36D0">
        <w:rPr>
          <w:rFonts w:asciiTheme="majorHAnsi" w:hAnsiTheme="majorHAnsi" w:cstheme="majorHAnsi"/>
        </w:rPr>
        <w:t xml:space="preserve">, 2014, seeking the agency’s opinion as to </w:t>
      </w:r>
      <w:r w:rsidR="00416CC9">
        <w:rPr>
          <w:rFonts w:asciiTheme="majorHAnsi" w:hAnsiTheme="majorHAnsi" w:cstheme="majorHAnsi"/>
        </w:rPr>
        <w:t xml:space="preserve">whether a general contractor can shingle the roof of an addition to a house that he did not originally build. </w:t>
      </w:r>
    </w:p>
    <w:p w:rsidR="00B228D4" w:rsidRDefault="00B228D4" w:rsidP="0094446C">
      <w:pPr>
        <w:jc w:val="both"/>
      </w:pPr>
    </w:p>
    <w:p w:rsidR="00A52844" w:rsidRDefault="004E142A" w:rsidP="00416CC9">
      <w:pPr>
        <w:pStyle w:val="BlockText"/>
        <w:numPr>
          <w:ilvl w:val="1"/>
          <w:numId w:val="11"/>
        </w:numPr>
      </w:pPr>
      <w:r>
        <w:t>This board has received or dis</w:t>
      </w:r>
      <w:r w:rsidR="002558FB">
        <w:t>posed of the following Petition</w:t>
      </w:r>
      <w:r>
        <w:t xml:space="preserve"> for Va</w:t>
      </w:r>
      <w:r w:rsidR="008C23E6">
        <w:t>riance or Waiver (if any):</w:t>
      </w:r>
      <w:r w:rsidR="00416CC9">
        <w:t xml:space="preserve"> Nothing to report at this time.</w:t>
      </w:r>
    </w:p>
    <w:p w:rsidR="00BA7E0B" w:rsidRDefault="00BA7E0B" w:rsidP="00AE36D0">
      <w:pPr>
        <w:pStyle w:val="BlockText"/>
      </w:pPr>
    </w:p>
    <w:p w:rsidR="00B228D4" w:rsidRDefault="004E142A" w:rsidP="0008109E">
      <w:pPr>
        <w:pStyle w:val="BlockText"/>
        <w:numPr>
          <w:ilvl w:val="0"/>
          <w:numId w:val="11"/>
        </w:numPr>
      </w:pPr>
      <w:r w:rsidRPr="00BD45AE">
        <w:rPr>
          <w:u w:val="single"/>
        </w:rPr>
        <w:t>Electrical Contracting Licensing Board</w:t>
      </w:r>
      <w:r>
        <w:t xml:space="preserve"> (includes both electricians and alarm contractors) – Chapter </w:t>
      </w:r>
      <w:r w:rsidR="00EF30B1">
        <w:t>489, Part II, FS and 61G6, FAC</w:t>
      </w:r>
      <w:r w:rsidR="00BD45AE">
        <w:t xml:space="preserve">: </w:t>
      </w:r>
    </w:p>
    <w:p w:rsidR="00BD45AE" w:rsidRDefault="00BD45AE" w:rsidP="00BE7523">
      <w:pPr>
        <w:pStyle w:val="BlockText"/>
      </w:pPr>
    </w:p>
    <w:p w:rsidR="00480712" w:rsidRDefault="00BD45AE" w:rsidP="0008109E">
      <w:pPr>
        <w:pStyle w:val="BlockText"/>
        <w:numPr>
          <w:ilvl w:val="1"/>
          <w:numId w:val="11"/>
        </w:numPr>
      </w:pPr>
      <w:r>
        <w:t xml:space="preserve">This board has </w:t>
      </w:r>
      <w:r w:rsidR="00BE7523">
        <w:t>proposed</w:t>
      </w:r>
      <w:r>
        <w:t xml:space="preserve"> adopted, repealed or amended the following rules (if any): </w:t>
      </w:r>
    </w:p>
    <w:p w:rsidR="00BA7E0B" w:rsidRDefault="00BA7E0B" w:rsidP="00BA7E0B">
      <w:pPr>
        <w:pStyle w:val="BlockText"/>
        <w:ind w:left="1800"/>
      </w:pPr>
    </w:p>
    <w:p w:rsidR="00576B27" w:rsidRDefault="004E142A" w:rsidP="0008109E">
      <w:pPr>
        <w:pStyle w:val="BlockText"/>
        <w:numPr>
          <w:ilvl w:val="1"/>
          <w:numId w:val="11"/>
        </w:numPr>
      </w:pPr>
      <w:r>
        <w:t xml:space="preserve">This board has received or disposed of the following Petitions for </w:t>
      </w:r>
      <w:r w:rsidR="00480712">
        <w:t>Declaratory Statement (if any):</w:t>
      </w:r>
      <w:r w:rsidR="00576B27">
        <w:t xml:space="preserve"> </w:t>
      </w:r>
      <w:r w:rsidR="0084009D" w:rsidRPr="0084009D">
        <w:rPr>
          <w:b/>
        </w:rPr>
        <w:t>TF Wireless Products, LLC</w:t>
      </w:r>
      <w:r w:rsidR="0084009D">
        <w:t xml:space="preserve"> – petition filed on May 6</w:t>
      </w:r>
      <w:r w:rsidR="00576B27">
        <w:t xml:space="preserve">, 2014, </w:t>
      </w:r>
      <w:r w:rsidR="0084009D">
        <w:t xml:space="preserve">and amended on May 21, 20914, </w:t>
      </w:r>
      <w:r w:rsidR="00576B27">
        <w:t xml:space="preserve">seeking </w:t>
      </w:r>
      <w:r w:rsidR="0084009D">
        <w:t>the board’s determination of whether anyone acting on the Petitioner’s behalf is required to be registered.</w:t>
      </w:r>
    </w:p>
    <w:p w:rsidR="00480712" w:rsidRDefault="00480712" w:rsidP="00480712">
      <w:pPr>
        <w:pStyle w:val="BlockText"/>
        <w:ind w:left="1800"/>
      </w:pPr>
    </w:p>
    <w:p w:rsidR="004E142A" w:rsidRDefault="004E142A" w:rsidP="0008109E">
      <w:pPr>
        <w:pStyle w:val="BlockText"/>
        <w:numPr>
          <w:ilvl w:val="1"/>
          <w:numId w:val="11"/>
        </w:numPr>
      </w:pPr>
      <w:r>
        <w:t xml:space="preserve">This board has received or disposed of the following Petitions for </w:t>
      </w:r>
      <w:r w:rsidR="009E2A70">
        <w:t>Va</w:t>
      </w:r>
      <w:r w:rsidR="00BD45AE">
        <w:t>riance or Waiver (if any):</w:t>
      </w:r>
      <w:r w:rsidR="00876A95">
        <w:t xml:space="preserve"> None noticed.</w:t>
      </w:r>
    </w:p>
    <w:p w:rsidR="004E142A" w:rsidRDefault="004E142A" w:rsidP="001E3281">
      <w:pPr>
        <w:pStyle w:val="BlockText"/>
      </w:pPr>
    </w:p>
    <w:p w:rsidR="004E142A" w:rsidRDefault="004E142A" w:rsidP="0008109E">
      <w:pPr>
        <w:pStyle w:val="BlockText"/>
        <w:numPr>
          <w:ilvl w:val="0"/>
          <w:numId w:val="11"/>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3C40E8" w:rsidRDefault="00E1125C" w:rsidP="0008109E">
      <w:pPr>
        <w:pStyle w:val="BlockText"/>
        <w:numPr>
          <w:ilvl w:val="1"/>
          <w:numId w:val="11"/>
        </w:numPr>
      </w:pPr>
      <w:r>
        <w:t>This board has proposed, adopted, repealed or amended the following rules (if any</w:t>
      </w:r>
      <w:r w:rsidR="00691E1A">
        <w:t>):</w:t>
      </w:r>
      <w:r w:rsidR="0084009D">
        <w:t xml:space="preserve"> None noticed.</w:t>
      </w:r>
    </w:p>
    <w:p w:rsidR="00AC4FD0" w:rsidRDefault="00AC4FD0" w:rsidP="00AC4FD0">
      <w:pPr>
        <w:pStyle w:val="BlockText"/>
        <w:ind w:left="1800"/>
      </w:pPr>
    </w:p>
    <w:p w:rsidR="004E142A" w:rsidRDefault="004E142A" w:rsidP="0008109E">
      <w:pPr>
        <w:pStyle w:val="BlockText"/>
        <w:numPr>
          <w:ilvl w:val="1"/>
          <w:numId w:val="11"/>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08109E">
      <w:pPr>
        <w:pStyle w:val="BlockText"/>
        <w:numPr>
          <w:ilvl w:val="1"/>
          <w:numId w:val="11"/>
        </w:numPr>
      </w:pPr>
      <w:r>
        <w:t>This board has received or disposed of the following Petitions f</w:t>
      </w:r>
      <w:r w:rsidR="00273404">
        <w:t>or Variance or Waiver (if any):</w:t>
      </w:r>
      <w:r w:rsidR="00AC4FD0">
        <w:t xml:space="preserve"> None noticed.</w:t>
      </w:r>
    </w:p>
    <w:p w:rsidR="004E2A5D" w:rsidRDefault="004E2A5D" w:rsidP="00AC4FD0">
      <w:pPr>
        <w:pStyle w:val="BlockText"/>
      </w:pPr>
    </w:p>
    <w:p w:rsidR="004E142A" w:rsidRDefault="004E142A" w:rsidP="004E142A">
      <w:pPr>
        <w:pStyle w:val="BlockText"/>
        <w:numPr>
          <w:ilvl w:val="0"/>
          <w:numId w:val="11"/>
        </w:numPr>
      </w:pPr>
      <w:r w:rsidRPr="00EF1953">
        <w:rPr>
          <w:u w:val="single"/>
        </w:rPr>
        <w:t>Board of Landscape Architecture</w:t>
      </w:r>
      <w:r>
        <w:t xml:space="preserve"> – Chapter 481, Part II, FS and 61G10 FAC: </w:t>
      </w:r>
    </w:p>
    <w:p w:rsidR="004E142A" w:rsidRDefault="004E142A" w:rsidP="00D255AC">
      <w:pPr>
        <w:ind w:left="720" w:firstLine="720"/>
      </w:pPr>
      <w:r>
        <w:t>(Nothing to report)</w:t>
      </w:r>
    </w:p>
    <w:p w:rsidR="004E142A" w:rsidRDefault="004E142A" w:rsidP="004E142A"/>
    <w:p w:rsidR="004E142A" w:rsidRDefault="004E142A" w:rsidP="0008109E">
      <w:pPr>
        <w:pStyle w:val="BlockText"/>
        <w:numPr>
          <w:ilvl w:val="0"/>
          <w:numId w:val="11"/>
        </w:numPr>
      </w:pPr>
      <w:r w:rsidRPr="00D42313">
        <w:rPr>
          <w:u w:val="single"/>
        </w:rPr>
        <w:t>Board of Professional Engineers</w:t>
      </w:r>
      <w:r>
        <w:t xml:space="preserve"> – Chapter 471, FS and 61G15 FAC: </w:t>
      </w:r>
    </w:p>
    <w:p w:rsidR="004E142A" w:rsidRDefault="004E142A" w:rsidP="004E142A">
      <w:pPr>
        <w:pStyle w:val="BlockText"/>
      </w:pPr>
    </w:p>
    <w:p w:rsidR="00003119" w:rsidRDefault="00E1125C" w:rsidP="0084009D">
      <w:pPr>
        <w:pStyle w:val="BlockText"/>
        <w:numPr>
          <w:ilvl w:val="1"/>
          <w:numId w:val="11"/>
        </w:numPr>
      </w:pPr>
      <w:r>
        <w:t xml:space="preserve">This board has </w:t>
      </w:r>
      <w:r w:rsidR="004204AE">
        <w:t>proposed</w:t>
      </w:r>
      <w:r>
        <w:t xml:space="preserve"> adopted, repealed or amended</w:t>
      </w:r>
      <w:r w:rsidR="004204AE">
        <w:t xml:space="preserve"> the following rules (if </w:t>
      </w:r>
      <w:r>
        <w:t>any)</w:t>
      </w:r>
      <w:r w:rsidR="00003119">
        <w:t>:</w:t>
      </w:r>
      <w:r w:rsidR="0084009D">
        <w:t xml:space="preserve"> None noticed.</w:t>
      </w:r>
    </w:p>
    <w:p w:rsidR="00691E1A" w:rsidRDefault="00691E1A" w:rsidP="00691E1A">
      <w:pPr>
        <w:pStyle w:val="BlockText"/>
        <w:ind w:left="1800"/>
      </w:pPr>
    </w:p>
    <w:p w:rsidR="002438D2" w:rsidRDefault="009E2A70" w:rsidP="001B1FFA">
      <w:pPr>
        <w:pStyle w:val="BlockText"/>
        <w:numPr>
          <w:ilvl w:val="1"/>
          <w:numId w:val="11"/>
        </w:numPr>
      </w:pPr>
      <w:r>
        <w:t xml:space="preserve">This board has received or disposed of the following Petitions for </w:t>
      </w:r>
      <w:r w:rsidR="00052694">
        <w:t>Declaratory Statement</w:t>
      </w:r>
      <w:r w:rsidR="00003119">
        <w:t xml:space="preserve"> (if any): </w:t>
      </w:r>
      <w:r w:rsidR="0084009D">
        <w:t>None noticed.</w:t>
      </w:r>
    </w:p>
    <w:p w:rsidR="0084009D" w:rsidRDefault="0084009D" w:rsidP="0084009D">
      <w:pPr>
        <w:pStyle w:val="BlockText"/>
      </w:pPr>
    </w:p>
    <w:p w:rsidR="0084009D" w:rsidRDefault="009E2A70" w:rsidP="00C90AA9">
      <w:pPr>
        <w:pStyle w:val="BlockText"/>
        <w:numPr>
          <w:ilvl w:val="1"/>
          <w:numId w:val="11"/>
        </w:numPr>
      </w:pPr>
      <w:r>
        <w:t>This board has received or disposed of the following Petitions for Va</w:t>
      </w:r>
      <w:r w:rsidR="00920535">
        <w:t>riance or Waiver (if any</w:t>
      </w:r>
      <w:r w:rsidR="0084009D">
        <w:t>): None noticed.</w:t>
      </w:r>
    </w:p>
    <w:p w:rsidR="004E142A" w:rsidRDefault="004E142A" w:rsidP="0084009D">
      <w:pPr>
        <w:pStyle w:val="BlockText"/>
      </w:pPr>
      <w:r>
        <w:tab/>
      </w:r>
    </w:p>
    <w:p w:rsidR="004E142A" w:rsidRDefault="004E142A" w:rsidP="0008109E">
      <w:pPr>
        <w:pStyle w:val="BlockText"/>
        <w:numPr>
          <w:ilvl w:val="0"/>
          <w:numId w:val="11"/>
        </w:numPr>
      </w:pPr>
      <w:r w:rsidRPr="009A1012">
        <w:rPr>
          <w:u w:val="single"/>
        </w:rPr>
        <w:t>Building Code Administrators and Inspectors</w:t>
      </w:r>
      <w:r>
        <w:t xml:space="preserve"> Board – Chapter 468, Part XII and 61G19 FAC: </w:t>
      </w:r>
    </w:p>
    <w:p w:rsidR="004E142A" w:rsidRDefault="004E142A" w:rsidP="004E142A">
      <w:pPr>
        <w:pStyle w:val="BlockText"/>
        <w:ind w:left="1440"/>
      </w:pPr>
    </w:p>
    <w:p w:rsidR="004E142A" w:rsidRDefault="00E1125C" w:rsidP="0008109E">
      <w:pPr>
        <w:pStyle w:val="BlockText"/>
        <w:numPr>
          <w:ilvl w:val="1"/>
          <w:numId w:val="11"/>
        </w:numPr>
      </w:pPr>
      <w:r>
        <w:t>This board has proposed, adopted, repealed or amended the following rules (if any):</w:t>
      </w:r>
      <w:r w:rsidR="00071707">
        <w:t xml:space="preserve"> None noticed.</w:t>
      </w:r>
    </w:p>
    <w:p w:rsidR="004E142A" w:rsidRDefault="004E142A" w:rsidP="004E142A">
      <w:pPr>
        <w:pStyle w:val="BlockText"/>
      </w:pPr>
    </w:p>
    <w:p w:rsidR="004E2A5D" w:rsidRDefault="004E142A" w:rsidP="002D366C">
      <w:pPr>
        <w:pStyle w:val="BlockText"/>
        <w:numPr>
          <w:ilvl w:val="1"/>
          <w:numId w:val="11"/>
        </w:numPr>
      </w:pPr>
      <w:r>
        <w:t>This board has received or disposed of the following Petitions for Declaratory Statement (if any</w:t>
      </w:r>
      <w:r w:rsidR="004E2A5D">
        <w:t>): None noticed.</w:t>
      </w:r>
    </w:p>
    <w:p w:rsidR="0084009D" w:rsidRDefault="0084009D" w:rsidP="0084009D">
      <w:pPr>
        <w:pStyle w:val="BlockText"/>
      </w:pPr>
    </w:p>
    <w:p w:rsidR="004E142A" w:rsidRDefault="004E142A" w:rsidP="0008109E">
      <w:pPr>
        <w:pStyle w:val="BlockText"/>
        <w:numPr>
          <w:ilvl w:val="1"/>
          <w:numId w:val="11"/>
        </w:numPr>
      </w:pPr>
      <w:r>
        <w:t xml:space="preserve">This board has received or disposed of the following Petitions for Variance or Waiver (if any): </w:t>
      </w:r>
      <w:r w:rsidR="004204AE">
        <w:t>None</w:t>
      </w:r>
      <w:r w:rsidR="00920535">
        <w:t xml:space="preserve"> noticed</w:t>
      </w:r>
      <w:r w:rsidR="004204AE">
        <w:t>.</w:t>
      </w:r>
    </w:p>
    <w:p w:rsidR="004E142A" w:rsidRPr="003134D3" w:rsidRDefault="004E142A" w:rsidP="004E142A">
      <w:pPr>
        <w:pStyle w:val="BlockText"/>
      </w:pPr>
    </w:p>
    <w:p w:rsidR="00F73B56" w:rsidRDefault="004E142A" w:rsidP="0008109E">
      <w:pPr>
        <w:pStyle w:val="BlockText"/>
        <w:numPr>
          <w:ilvl w:val="0"/>
          <w:numId w:val="11"/>
        </w:numPr>
      </w:pPr>
      <w:r w:rsidRPr="00A82F6F">
        <w:rPr>
          <w:u w:val="single"/>
        </w:rPr>
        <w:t>Florida Building Commission</w:t>
      </w:r>
      <w:r>
        <w:rPr>
          <w:rStyle w:val="FootnoteReference"/>
          <w:u w:val="single"/>
        </w:rPr>
        <w:footnoteReference w:id="1"/>
      </w:r>
      <w:r>
        <w:t xml:space="preserve"> – Chapter 553, Part IV and Chapter 61G20, FAC): </w:t>
      </w:r>
    </w:p>
    <w:p w:rsidR="00F73B56" w:rsidRDefault="00F73B56" w:rsidP="00F73B56">
      <w:pPr>
        <w:pStyle w:val="BlockText"/>
        <w:ind w:left="720"/>
        <w:rPr>
          <w:u w:val="single"/>
        </w:rPr>
      </w:pPr>
    </w:p>
    <w:p w:rsidR="00F73B56" w:rsidRPr="00571120" w:rsidRDefault="00F73B56" w:rsidP="00F73B56">
      <w:pPr>
        <w:pStyle w:val="BlockText"/>
        <w:rPr>
          <w:b/>
        </w:rPr>
      </w:pPr>
      <w:r>
        <w:rPr>
          <w:b/>
          <w:u w:val="single"/>
        </w:rPr>
        <w:t xml:space="preserve">CODE </w:t>
      </w:r>
      <w:r w:rsidRPr="00D255AC">
        <w:rPr>
          <w:b/>
          <w:u w:val="single"/>
        </w:rPr>
        <w:t>NOTE</w:t>
      </w:r>
      <w:r w:rsidRPr="00D255AC">
        <w:rPr>
          <w:b/>
        </w:rPr>
        <w:t xml:space="preserve">: </w:t>
      </w:r>
      <w:r w:rsidRPr="00571120">
        <w:rPr>
          <w:b/>
        </w:rPr>
        <w:t xml:space="preserve">Due to a delay in adoption of the latest NFPA fire codes, the effective date of the next Florida Building has been postponed until </w:t>
      </w:r>
      <w:r>
        <w:rPr>
          <w:b/>
        </w:rPr>
        <w:t>December 31, 201</w:t>
      </w:r>
      <w:r w:rsidRPr="00571120">
        <w:rPr>
          <w:b/>
          <w:i/>
          <w:u w:val="single"/>
        </w:rPr>
        <w:t>4</w:t>
      </w:r>
      <w:r>
        <w:rPr>
          <w:b/>
          <w:i/>
          <w:u w:val="single"/>
        </w:rPr>
        <w:t xml:space="preserve"> </w:t>
      </w:r>
      <w:r>
        <w:rPr>
          <w:b/>
        </w:rPr>
        <w:t>and will be entitled "Florida Building Code 5</w:t>
      </w:r>
      <w:r w:rsidRPr="00571120">
        <w:rPr>
          <w:b/>
          <w:vertAlign w:val="superscript"/>
        </w:rPr>
        <w:t>th</w:t>
      </w:r>
      <w:r>
        <w:rPr>
          <w:b/>
        </w:rPr>
        <w:t xml:space="preserve"> Edition (2014)."</w:t>
      </w:r>
    </w:p>
    <w:p w:rsidR="00F73B56" w:rsidRDefault="00F73B56" w:rsidP="00F73B56">
      <w:pPr>
        <w:pStyle w:val="BlockText"/>
      </w:pPr>
    </w:p>
    <w:p w:rsidR="00941C32" w:rsidRPr="00F73B56" w:rsidRDefault="00071707" w:rsidP="00F73B56">
      <w:pPr>
        <w:pStyle w:val="BlockText"/>
      </w:pPr>
      <w:r w:rsidRPr="00071707">
        <w:rPr>
          <w:b/>
        </w:rPr>
        <w:t>NOTE: The FBC has published a notice that it has determined the posting of incorporated materials on the internet would viola</w:t>
      </w:r>
      <w:r>
        <w:rPr>
          <w:b/>
        </w:rPr>
        <w:t xml:space="preserve">te federal copyright laws, and </w:t>
      </w:r>
      <w:r w:rsidRPr="00071707">
        <w:rPr>
          <w:b/>
        </w:rPr>
        <w:t>that such materials are available for public inspection and examination at the Department of State, Room 101, R. A. Gray Building, 500 South Bronough Street, or at the Office of Codes and Standards, 1940 North Monroe Street, Room 90, Tallahassee, Florida.</w:t>
      </w:r>
    </w:p>
    <w:p w:rsidR="00920535" w:rsidRDefault="00920535" w:rsidP="00920535">
      <w:pPr>
        <w:pStyle w:val="BlockText"/>
        <w:ind w:left="1080"/>
      </w:pPr>
    </w:p>
    <w:p w:rsidR="00691E1A" w:rsidRDefault="00E1125C" w:rsidP="0008109E">
      <w:pPr>
        <w:pStyle w:val="BlockText"/>
        <w:numPr>
          <w:ilvl w:val="1"/>
          <w:numId w:val="11"/>
        </w:numPr>
      </w:pPr>
      <w:r>
        <w:t>This board has proposed, adopted, repealed or amended the following rules (if any):</w:t>
      </w:r>
      <w:r w:rsidR="0084009D">
        <w:t xml:space="preserve"> </w:t>
      </w:r>
    </w:p>
    <w:p w:rsidR="00C60ABB" w:rsidRDefault="00C60ABB" w:rsidP="00C60ABB">
      <w:pPr>
        <w:pStyle w:val="BlockText"/>
        <w:ind w:left="1800"/>
      </w:pPr>
    </w:p>
    <w:p w:rsidR="0084009D" w:rsidRDefault="0084009D" w:rsidP="0084009D">
      <w:pPr>
        <w:pStyle w:val="BlockText"/>
        <w:numPr>
          <w:ilvl w:val="2"/>
          <w:numId w:val="11"/>
        </w:numPr>
      </w:pPr>
      <w:r>
        <w:t>Rule 61G20-6.002 to clarify the application deadline for revised accredited advanced courses, as corrected.</w:t>
      </w:r>
    </w:p>
    <w:p w:rsidR="00C60ABB" w:rsidRDefault="00C60ABB" w:rsidP="00C60ABB">
      <w:pPr>
        <w:pStyle w:val="BlockText"/>
        <w:ind w:left="2520"/>
      </w:pPr>
    </w:p>
    <w:p w:rsidR="0084009D" w:rsidRDefault="0084009D" w:rsidP="0084009D">
      <w:pPr>
        <w:pStyle w:val="BlockText"/>
        <w:numPr>
          <w:ilvl w:val="2"/>
          <w:numId w:val="11"/>
        </w:numPr>
      </w:pPr>
      <w:r>
        <w:t xml:space="preserve">Rule 61G20-3.015 proposed changes </w:t>
      </w:r>
      <w:r w:rsidR="00C60ABB">
        <w:t xml:space="preserve">for “Equivence of Standards” </w:t>
      </w:r>
      <w:r>
        <w:t xml:space="preserve">will be heard </w:t>
      </w:r>
      <w:r w:rsidR="00C60ABB">
        <w:t xml:space="preserve">by the commission </w:t>
      </w:r>
      <w:r w:rsidR="00876A95">
        <w:t xml:space="preserve">at its next meeting </w:t>
      </w:r>
      <w:r w:rsidR="00C60ABB">
        <w:t>on</w:t>
      </w:r>
      <w:r>
        <w:t xml:space="preserve"> June 20, 2014</w:t>
      </w:r>
      <w:r w:rsidR="00C60ABB">
        <w:t xml:space="preserve"> </w:t>
      </w:r>
      <w:r>
        <w:t xml:space="preserve">at </w:t>
      </w:r>
      <w:r w:rsidR="00C60ABB">
        <w:t xml:space="preserve">Renaissance </w:t>
      </w:r>
      <w:r>
        <w:t>World Golf Village in St. Augustine</w:t>
      </w:r>
      <w:r w:rsidR="00C60ABB">
        <w:t>, beginning at 8:30 a.m.</w:t>
      </w:r>
    </w:p>
    <w:p w:rsidR="00691E1A" w:rsidRDefault="00691E1A" w:rsidP="00691E1A">
      <w:pPr>
        <w:pStyle w:val="BlockText"/>
        <w:ind w:left="2520"/>
      </w:pPr>
    </w:p>
    <w:p w:rsidR="00571120" w:rsidRPr="00C60ABB" w:rsidRDefault="00E1125C" w:rsidP="00C60ABB">
      <w:pPr>
        <w:pStyle w:val="BlockText"/>
        <w:numPr>
          <w:ilvl w:val="1"/>
          <w:numId w:val="11"/>
        </w:numPr>
      </w:pPr>
      <w:r>
        <w:t xml:space="preserve">This board has received or disposed of the following Petitions for </w:t>
      </w:r>
      <w:r w:rsidR="003747B5">
        <w:t xml:space="preserve">Declaratory Statement: </w:t>
      </w:r>
    </w:p>
    <w:p w:rsidR="00217EBB" w:rsidRPr="00F73B56" w:rsidRDefault="00217EBB" w:rsidP="00217EBB">
      <w:pPr>
        <w:pStyle w:val="BlockText"/>
        <w:ind w:left="2520"/>
        <w:rPr>
          <w:b/>
        </w:rPr>
      </w:pPr>
    </w:p>
    <w:p w:rsidR="00F73B56" w:rsidRPr="00217EBB" w:rsidRDefault="00C60ABB" w:rsidP="0008109E">
      <w:pPr>
        <w:pStyle w:val="BlockText"/>
        <w:numPr>
          <w:ilvl w:val="2"/>
          <w:numId w:val="11"/>
        </w:numPr>
        <w:rPr>
          <w:b/>
        </w:rPr>
      </w:pPr>
      <w:r>
        <w:rPr>
          <w:b/>
        </w:rPr>
        <w:t>City of Oviedo/Donald Fuchs, Jr., DS 2014-042</w:t>
      </w:r>
      <w:r w:rsidR="00217EBB">
        <w:rPr>
          <w:b/>
        </w:rPr>
        <w:t xml:space="preserve"> </w:t>
      </w:r>
      <w:r w:rsidR="00217EBB">
        <w:t>seeking clarification of whether a townhouse unit with zero lot lines much each have separate utilities.</w:t>
      </w:r>
    </w:p>
    <w:p w:rsidR="00217EBB" w:rsidRDefault="00217EBB" w:rsidP="00217EBB">
      <w:pPr>
        <w:pStyle w:val="BlockText"/>
        <w:rPr>
          <w:b/>
        </w:rPr>
      </w:pPr>
    </w:p>
    <w:p w:rsidR="00217EBB" w:rsidRDefault="00C60ABB" w:rsidP="00217EBB">
      <w:pPr>
        <w:pStyle w:val="BlockText"/>
        <w:numPr>
          <w:ilvl w:val="2"/>
          <w:numId w:val="11"/>
        </w:numPr>
        <w:rPr>
          <w:b/>
        </w:rPr>
      </w:pPr>
      <w:r>
        <w:rPr>
          <w:b/>
        </w:rPr>
        <w:t>Karins Engineering Group, Inc., DS 2014-057</w:t>
      </w:r>
      <w:r w:rsidR="00F73B56">
        <w:rPr>
          <w:b/>
        </w:rPr>
        <w:t xml:space="preserve"> –</w:t>
      </w:r>
      <w:r w:rsidR="00217EBB">
        <w:rPr>
          <w:b/>
        </w:rPr>
        <w:t xml:space="preserve"> </w:t>
      </w:r>
      <w:r w:rsidR="00217EBB">
        <w:t>seeking clarification regarding repairs/modifications of foundations seaward of the Coastal Construction Control Line.</w:t>
      </w:r>
    </w:p>
    <w:p w:rsidR="00C60ABB" w:rsidRPr="00C60ABB" w:rsidRDefault="00C60ABB" w:rsidP="00C60ABB">
      <w:pPr>
        <w:pStyle w:val="BlockText"/>
        <w:rPr>
          <w:b/>
        </w:rPr>
      </w:pPr>
    </w:p>
    <w:p w:rsidR="00F73B56" w:rsidRPr="00C60ABB" w:rsidRDefault="00C60ABB" w:rsidP="00C60ABB">
      <w:pPr>
        <w:pStyle w:val="BlockText"/>
        <w:numPr>
          <w:ilvl w:val="2"/>
          <w:numId w:val="11"/>
        </w:numPr>
        <w:rPr>
          <w:b/>
        </w:rPr>
      </w:pPr>
      <w:r>
        <w:rPr>
          <w:b/>
        </w:rPr>
        <w:t>Barry A. Schneer, DS 2014-043</w:t>
      </w:r>
      <w:r w:rsidR="00F73B56" w:rsidRPr="00C60ABB">
        <w:rPr>
          <w:b/>
        </w:rPr>
        <w:t xml:space="preserve"> – </w:t>
      </w:r>
      <w:r w:rsidR="00217EBB">
        <w:t>seeking an opinion of the board of whether Section 105 creates a “rebuttable presumption” for a homeowner to demonstrate that unpermitted work satisfices the building code.</w:t>
      </w:r>
    </w:p>
    <w:p w:rsidR="00C60ABB" w:rsidRDefault="00C60ABB" w:rsidP="00C60ABB">
      <w:pPr>
        <w:pStyle w:val="ListParagraph"/>
        <w:rPr>
          <w:b/>
        </w:rPr>
      </w:pPr>
    </w:p>
    <w:p w:rsidR="00C60ABB" w:rsidRPr="00312FA2" w:rsidRDefault="00C60ABB" w:rsidP="00C60ABB">
      <w:pPr>
        <w:pStyle w:val="BlockText"/>
        <w:numPr>
          <w:ilvl w:val="2"/>
          <w:numId w:val="11"/>
        </w:numPr>
        <w:rPr>
          <w:b/>
        </w:rPr>
      </w:pPr>
      <w:r>
        <w:rPr>
          <w:b/>
        </w:rPr>
        <w:t xml:space="preserve">City of Doral </w:t>
      </w:r>
      <w:r>
        <w:t xml:space="preserve">- seeking an opinion as to the applicability of Section 303.1, Exception 1 Building Code and Section 403.2, Plumbing Code, </w:t>
      </w:r>
      <w:r w:rsidR="00312FA2">
        <w:t>Exception 3, to Assembly groups.</w:t>
      </w:r>
    </w:p>
    <w:p w:rsidR="00312FA2" w:rsidRDefault="00312FA2" w:rsidP="00312FA2">
      <w:pPr>
        <w:pStyle w:val="ListParagraph"/>
        <w:rPr>
          <w:b/>
        </w:rPr>
      </w:pPr>
    </w:p>
    <w:p w:rsidR="00312FA2" w:rsidRPr="00C60ABB" w:rsidRDefault="00312FA2" w:rsidP="00C60ABB">
      <w:pPr>
        <w:pStyle w:val="BlockText"/>
        <w:numPr>
          <w:ilvl w:val="2"/>
          <w:numId w:val="11"/>
        </w:numPr>
        <w:rPr>
          <w:b/>
        </w:rPr>
      </w:pPr>
      <w:r>
        <w:rPr>
          <w:b/>
        </w:rPr>
        <w:t xml:space="preserve">Timothy Krebs </w:t>
      </w:r>
      <w:r>
        <w:t xml:space="preserve">– seeking an opinion as to the applicability of Section 101.2, Building Code and Section R101.2, Residential Code, to  an addition/remodel for a single-family residence that is not undergoing a change of </w:t>
      </w:r>
      <w:r w:rsidR="00BA2CBC">
        <w:t>occupancy</w:t>
      </w:r>
      <w:r>
        <w:t>.</w:t>
      </w:r>
    </w:p>
    <w:p w:rsidR="00217EBB" w:rsidRPr="00F73B56" w:rsidRDefault="00217EBB" w:rsidP="00C60ABB">
      <w:pPr>
        <w:pStyle w:val="BlockText"/>
        <w:rPr>
          <w:b/>
        </w:rPr>
      </w:pPr>
    </w:p>
    <w:p w:rsidR="000340FB" w:rsidRDefault="00941C32" w:rsidP="0017187B">
      <w:pPr>
        <w:pStyle w:val="BlockText"/>
        <w:ind w:firstLine="720"/>
      </w:pPr>
      <w:r>
        <w:t xml:space="preserve">8. </w:t>
      </w:r>
      <w:r w:rsidRPr="00941C32">
        <w:rPr>
          <w:u w:val="single"/>
        </w:rPr>
        <w:t>DBPR/Home Inspectors:</w:t>
      </w:r>
      <w:r>
        <w:t xml:space="preserve"> </w:t>
      </w:r>
      <w:r w:rsidR="002438D2">
        <w:t xml:space="preserve">The agency has published notice of </w:t>
      </w:r>
      <w:r w:rsidR="00B40FA6">
        <w:t>rulemaking</w:t>
      </w:r>
      <w:r w:rsidR="002438D2">
        <w:t xml:space="preserve"> pursuant to Chapter 61-31, Sections .101-.702 F. A. C., regarding licensing of mold related services.</w:t>
      </w:r>
      <w:r w:rsidR="009D71A1">
        <w:t xml:space="preserve"> Nothing new to report.</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r w:rsidR="00F054FC">
        <w:t>: Nothing to report.</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4B10A3" w:rsidRDefault="0094577A" w:rsidP="00781A63">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to report.</w:t>
      </w:r>
    </w:p>
    <w:p w:rsidR="00427E2F" w:rsidRDefault="004B10A3" w:rsidP="00876A95">
      <w:pPr>
        <w:pStyle w:val="BlockText"/>
        <w:ind w:left="810" w:hanging="90"/>
      </w:pPr>
      <w:r>
        <w:t xml:space="preserve">11. </w:t>
      </w:r>
      <w:r w:rsidRPr="00C906E0">
        <w:rPr>
          <w:u w:val="single"/>
        </w:rPr>
        <w:t>Asbestos Consultants</w:t>
      </w:r>
      <w:r>
        <w:t xml:space="preserve"> – Chapter </w:t>
      </w:r>
      <w:r w:rsidR="00C906E0">
        <w:t>469</w:t>
      </w:r>
      <w:r>
        <w:t>, Florida Statutes, and Chapter</w:t>
      </w:r>
      <w:r w:rsidR="009D71A1">
        <w:t xml:space="preserve"> 61</w:t>
      </w:r>
      <w:r w:rsidR="00C60ABB">
        <w:t>E1, F.A.C.:  Nothing new to report.</w:t>
      </w:r>
    </w:p>
    <w:p w:rsidR="007D12C5" w:rsidRPr="0094577A" w:rsidRDefault="007D12C5" w:rsidP="00876A95">
      <w:pPr>
        <w:pStyle w:val="BlockText"/>
        <w:ind w:left="810" w:hanging="90"/>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w:t>
      </w:r>
      <w:r w:rsidR="007D12C5">
        <w:t xml:space="preserve">y 1, 2013, </w:t>
      </w:r>
      <w:r w:rsidR="00E64091">
        <w:t>repeal</w:t>
      </w:r>
      <w:r w:rsidR="007D12C5">
        <w:t>s</w:t>
      </w:r>
      <w:r w:rsidR="00E64091">
        <w:t xml:space="preserve"> Rule 62-531-340(1)</w:t>
      </w:r>
      <w:r w:rsidR="000E282A">
        <w:t xml:space="preserve"> </w:t>
      </w:r>
      <w:r w:rsidR="00E64091">
        <w:t>(d),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w:t>
      </w:r>
      <w:r w:rsidR="007D12C5">
        <w:t>h</w:t>
      </w:r>
      <w:r w:rsidR="00E64091">
        <w:t>ing to report.</w:t>
      </w:r>
    </w:p>
    <w:p w:rsidR="004E142A" w:rsidRPr="002E2A6D" w:rsidRDefault="004E142A" w:rsidP="004E142A">
      <w:pPr>
        <w:pStyle w:val="BlockText"/>
        <w:ind w:left="720"/>
      </w:pPr>
    </w:p>
    <w:p w:rsidR="004E142A" w:rsidRDefault="00DE52F2" w:rsidP="00CA5EE6">
      <w:pPr>
        <w:pStyle w:val="BlockText"/>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w:t>
      </w:r>
      <w:r w:rsidR="00CA5EE6">
        <w:rPr>
          <w:b/>
        </w:rPr>
        <w:t xml:space="preserve">lowing changes: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rsidR="00436BA2">
        <w:t>s</w:t>
      </w:r>
      <w:r w:rsidR="004E142A">
        <w:t xml:space="preserve"> have opted to implement such a program at this time.</w:t>
      </w:r>
    </w:p>
    <w:p w:rsidR="00CA5EE6" w:rsidRDefault="00CA5EE6" w:rsidP="00CA5EE6">
      <w:pPr>
        <w:pStyle w:val="BlockText"/>
      </w:pPr>
    </w:p>
    <w:p w:rsidR="00CA5EE6" w:rsidRDefault="00CA5EE6" w:rsidP="00CA5EE6">
      <w:pPr>
        <w:pStyle w:val="BlockText"/>
      </w:pPr>
      <w:r w:rsidRPr="007D12C5">
        <w:rPr>
          <w:u w:val="single"/>
        </w:rPr>
        <w:t>HOWEVER,</w:t>
      </w:r>
      <w:r>
        <w:t xml:space="preserve"> the 2012 repeal of the Department of Health’s authority for plan review and approval of swimming pools and bathing pools appears to have been REINSTATED effective July 1, 2014 by House Bill 7147</w:t>
      </w:r>
      <w:r w:rsidR="007D12C5">
        <w:t xml:space="preserve"> (described below)</w:t>
      </w:r>
      <w:r>
        <w:t>.</w:t>
      </w:r>
    </w:p>
    <w:p w:rsidR="00CA5EE6" w:rsidRDefault="00CA5EE6" w:rsidP="00CA5EE6">
      <w:pPr>
        <w:pStyle w:val="BlockText"/>
      </w:pPr>
    </w:p>
    <w:p w:rsidR="00CA5EE6" w:rsidRDefault="00CA5EE6" w:rsidP="0008109E">
      <w:pPr>
        <w:pStyle w:val="BlockText"/>
        <w:numPr>
          <w:ilvl w:val="0"/>
          <w:numId w:val="15"/>
        </w:numPr>
      </w:pPr>
      <w:r>
        <w:t>Division of Environmental Health:</w:t>
      </w:r>
    </w:p>
    <w:p w:rsidR="00CA5EE6" w:rsidRDefault="00CA5EE6" w:rsidP="00CA5EE6">
      <w:pPr>
        <w:pStyle w:val="BlockText"/>
        <w:ind w:left="1080"/>
      </w:pPr>
    </w:p>
    <w:p w:rsidR="00CA5EE6" w:rsidRDefault="00CA5EE6" w:rsidP="0008109E">
      <w:pPr>
        <w:pStyle w:val="BlockText"/>
        <w:numPr>
          <w:ilvl w:val="1"/>
          <w:numId w:val="15"/>
        </w:numPr>
      </w:pPr>
      <w:r>
        <w:t>The following rules have been proposed for creation or amendments: Rules 69E-9.001 through 9.027.</w:t>
      </w:r>
    </w:p>
    <w:p w:rsidR="00CA5EE6" w:rsidRDefault="00CA5EE6" w:rsidP="00CA5EE6">
      <w:pPr>
        <w:pStyle w:val="BlockText"/>
        <w:ind w:left="1800"/>
      </w:pPr>
    </w:p>
    <w:p w:rsidR="00CA5EE6" w:rsidRDefault="00CA5EE6" w:rsidP="0008109E">
      <w:pPr>
        <w:pStyle w:val="BlockText"/>
        <w:numPr>
          <w:ilvl w:val="1"/>
          <w:numId w:val="15"/>
        </w:numPr>
      </w:pPr>
      <w:r>
        <w:t>The following Petitions for Variance or Wavier have been received or disposed of:</w:t>
      </w:r>
    </w:p>
    <w:p w:rsidR="0091203A" w:rsidRDefault="0091203A" w:rsidP="0091203A">
      <w:pPr>
        <w:pStyle w:val="BlockText"/>
      </w:pPr>
    </w:p>
    <w:p w:rsidR="0091203A" w:rsidRDefault="0091203A" w:rsidP="0008109E">
      <w:pPr>
        <w:pStyle w:val="BlockText"/>
        <w:numPr>
          <w:ilvl w:val="2"/>
          <w:numId w:val="15"/>
        </w:numPr>
      </w:pPr>
      <w:r>
        <w:rPr>
          <w:b/>
        </w:rPr>
        <w:t>D</w:t>
      </w:r>
      <w:r w:rsidR="007D12C5">
        <w:rPr>
          <w:b/>
        </w:rPr>
        <w:t xml:space="preserve">on </w:t>
      </w:r>
      <w:r>
        <w:rPr>
          <w:b/>
        </w:rPr>
        <w:t>O</w:t>
      </w:r>
      <w:r w:rsidR="007D12C5">
        <w:rPr>
          <w:b/>
        </w:rPr>
        <w:t>rr/Advanced Drainage Systems, Inc</w:t>
      </w:r>
      <w:r>
        <w:rPr>
          <w:b/>
        </w:rPr>
        <w:t>. –</w:t>
      </w:r>
      <w:r>
        <w:t xml:space="preserve"> petition received on March 25, 2014, regarding Rule 64E-6,00 providing for the standards for approval, design and use of alternative treatment systems.</w:t>
      </w:r>
    </w:p>
    <w:p w:rsidR="0091203A" w:rsidRPr="0091203A" w:rsidRDefault="0091203A" w:rsidP="0091203A">
      <w:pPr>
        <w:pStyle w:val="BlockText"/>
        <w:ind w:left="2340"/>
      </w:pPr>
    </w:p>
    <w:p w:rsidR="0091203A" w:rsidRDefault="0091203A" w:rsidP="0008109E">
      <w:pPr>
        <w:pStyle w:val="BlockText"/>
        <w:numPr>
          <w:ilvl w:val="2"/>
          <w:numId w:val="15"/>
        </w:numPr>
      </w:pPr>
      <w:r>
        <w:rPr>
          <w:b/>
        </w:rPr>
        <w:t>L</w:t>
      </w:r>
      <w:r w:rsidR="007D12C5">
        <w:rPr>
          <w:b/>
        </w:rPr>
        <w:t>ee Rashkin/Presby Environmental, Inc</w:t>
      </w:r>
      <w:r w:rsidR="00103A3B">
        <w:rPr>
          <w:b/>
        </w:rPr>
        <w:t>. –</w:t>
      </w:r>
      <w:r>
        <w:rPr>
          <w:b/>
        </w:rPr>
        <w:t xml:space="preserve"> </w:t>
      </w:r>
      <w:r>
        <w:t>petition received on March 17, 2014, regarding drain field sizing requirements. The department found a substantial hardship and granted a variance from Rule 64E-6.008.</w:t>
      </w:r>
    </w:p>
    <w:p w:rsidR="0091203A" w:rsidRPr="0091203A" w:rsidRDefault="0091203A" w:rsidP="0091203A">
      <w:pPr>
        <w:pStyle w:val="BlockText"/>
        <w:ind w:left="2520"/>
      </w:pPr>
    </w:p>
    <w:p w:rsidR="0091203A" w:rsidRDefault="0091203A" w:rsidP="0008109E">
      <w:pPr>
        <w:pStyle w:val="BlockText"/>
        <w:numPr>
          <w:ilvl w:val="2"/>
          <w:numId w:val="15"/>
        </w:numPr>
      </w:pPr>
      <w:r>
        <w:rPr>
          <w:b/>
        </w:rPr>
        <w:t>F</w:t>
      </w:r>
      <w:r w:rsidR="007D12C5">
        <w:rPr>
          <w:b/>
        </w:rPr>
        <w:t>rancis McMahon/Kelly Green Innovations</w:t>
      </w:r>
      <w:r>
        <w:rPr>
          <w:b/>
        </w:rPr>
        <w:t xml:space="preserve"> – </w:t>
      </w:r>
      <w:r>
        <w:t>petition received on May 1, 2014, regarding drip irrigation-type drain field system approvals required by Rule 64E-6.009</w:t>
      </w:r>
      <w:r w:rsidR="00756A0C">
        <w:t>. The department denied the petition.</w:t>
      </w:r>
    </w:p>
    <w:p w:rsidR="00756A0C" w:rsidRDefault="00756A0C" w:rsidP="00756A0C">
      <w:pPr>
        <w:pStyle w:val="ListParagraph"/>
      </w:pPr>
    </w:p>
    <w:p w:rsidR="00CA5EE6" w:rsidRPr="00756A0C" w:rsidRDefault="007D12C5" w:rsidP="00756A0C">
      <w:pPr>
        <w:pStyle w:val="BlockText"/>
        <w:ind w:left="720"/>
      </w:pPr>
      <w:r>
        <w:t>EDITOR’S NOTE: DOH has recently</w:t>
      </w:r>
      <w:r w:rsidR="00756A0C">
        <w:t xml:space="preserve"> published notice of a public meeting on May 14, 3014 of the Public Pool and Bathing Place Advisory Board for the purpose of reviewing and making recommendations on six (6) pending requested variances.</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8F58B8" w:rsidRDefault="00DE52F2" w:rsidP="00781A63">
      <w:pPr>
        <w:pStyle w:val="BlockText"/>
        <w:ind w:firstLine="720"/>
      </w:pPr>
      <w:r>
        <w:t xml:space="preserve">1. </w:t>
      </w:r>
      <w:r w:rsidR="00436BA2">
        <w:t>Boiler Safety Act - Chapter 554, F. S., and Chapter 69A-51, F.A.C.</w:t>
      </w:r>
      <w:r w:rsidR="008476AE">
        <w:t>: Nothing to report.</w:t>
      </w:r>
    </w:p>
    <w:p w:rsidR="00E86BD7" w:rsidRDefault="003C2DE3" w:rsidP="007D12C5">
      <w:pPr>
        <w:pStyle w:val="BlockText"/>
        <w:numPr>
          <w:ilvl w:val="0"/>
          <w:numId w:val="15"/>
        </w:numPr>
      </w:pPr>
      <w:r>
        <w:t>Division of Workers’ Compensation</w:t>
      </w:r>
      <w:r w:rsidR="004E142A">
        <w:t xml:space="preserve"> – Chapter 440 and 6</w:t>
      </w:r>
      <w:r w:rsidR="00BD42D8">
        <w:t>9L FAC:</w:t>
      </w:r>
      <w:r w:rsidR="007D12C5">
        <w:t xml:space="preserve"> </w:t>
      </w:r>
      <w:r w:rsidR="00E86BD7">
        <w:t>Rules 69L-7.710-7.750 are being proposed to implement changes in Chapter 2013-131, LOF, and substantially re-write former Rule 69L-7.710 and 69L-7.602.</w:t>
      </w:r>
    </w:p>
    <w:p w:rsidR="00E86BD7" w:rsidRDefault="00E86BD7" w:rsidP="007D12C5">
      <w:pPr>
        <w:pStyle w:val="BlockText"/>
        <w:ind w:left="1800"/>
      </w:pP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w:t>
      </w:r>
      <w:r w:rsidR="00571120">
        <w:t xml:space="preserve">now be </w:t>
      </w:r>
      <w:r>
        <w:t>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76A95" w:rsidRDefault="0001260C" w:rsidP="00876A95">
      <w:pPr>
        <w:pStyle w:val="BlockText"/>
        <w:numPr>
          <w:ilvl w:val="0"/>
          <w:numId w:val="15"/>
        </w:numPr>
      </w:pPr>
      <w:r>
        <w:t xml:space="preserve">Office of State Fire Marshal - Chapter 633, Florida Statutes and Chapter 69A, F.C.A.: </w:t>
      </w:r>
    </w:p>
    <w:p w:rsidR="00876A95" w:rsidRDefault="00876A95" w:rsidP="00876A95">
      <w:pPr>
        <w:pStyle w:val="BlockText"/>
        <w:ind w:left="1080"/>
      </w:pPr>
    </w:p>
    <w:p w:rsidR="007D12C5" w:rsidRDefault="000E282A" w:rsidP="00876A95">
      <w:pPr>
        <w:pStyle w:val="BlockText"/>
        <w:numPr>
          <w:ilvl w:val="1"/>
          <w:numId w:val="15"/>
        </w:numPr>
      </w:pPr>
      <w:r>
        <w:t>The following rules are being proposed or amended:</w:t>
      </w:r>
      <w:r w:rsidR="00876A95">
        <w:t xml:space="preserve"> </w:t>
      </w:r>
    </w:p>
    <w:p w:rsidR="007D12C5" w:rsidRDefault="007D12C5" w:rsidP="007D12C5">
      <w:pPr>
        <w:pStyle w:val="BlockText"/>
        <w:ind w:left="1800"/>
      </w:pPr>
    </w:p>
    <w:p w:rsidR="00876A95" w:rsidRDefault="00876A95" w:rsidP="007D12C5">
      <w:pPr>
        <w:pStyle w:val="BlockText"/>
        <w:numPr>
          <w:ilvl w:val="2"/>
          <w:numId w:val="15"/>
        </w:numPr>
      </w:pPr>
      <w:r>
        <w:t>New Rule 69A-62.024 setting standards for construction, repair and maintenance of Firefighter Employee Places of Employment.</w:t>
      </w:r>
    </w:p>
    <w:p w:rsidR="00103A3B" w:rsidRDefault="00103A3B" w:rsidP="00103A3B">
      <w:pPr>
        <w:pStyle w:val="BlockText"/>
        <w:ind w:left="2520"/>
      </w:pPr>
    </w:p>
    <w:p w:rsidR="007D12C5" w:rsidRDefault="007D12C5" w:rsidP="007D12C5">
      <w:pPr>
        <w:pStyle w:val="BlockText"/>
        <w:numPr>
          <w:ilvl w:val="2"/>
          <w:numId w:val="15"/>
        </w:numPr>
      </w:pPr>
      <w:r>
        <w:t xml:space="preserve">New Rule 69L-8.074 </w:t>
      </w:r>
      <w:r w:rsidR="00103A3B">
        <w:t xml:space="preserve">incorporating by reference materials used with Florida’s medial reimbursement, billing and utilization rules. </w:t>
      </w:r>
    </w:p>
    <w:p w:rsidR="00876A95" w:rsidRDefault="00876A95" w:rsidP="00876A95">
      <w:pPr>
        <w:pStyle w:val="BlockText"/>
        <w:ind w:left="1800"/>
      </w:pPr>
    </w:p>
    <w:p w:rsidR="000E282A" w:rsidRDefault="000E282A" w:rsidP="00876A95">
      <w:pPr>
        <w:pStyle w:val="BlockText"/>
        <w:numPr>
          <w:ilvl w:val="1"/>
          <w:numId w:val="15"/>
        </w:numPr>
      </w:pPr>
      <w:r>
        <w:t>The following petitions for Declaratory Statement have been received or disposed of:</w:t>
      </w:r>
    </w:p>
    <w:p w:rsidR="00AF0CA4" w:rsidRDefault="00AF0CA4" w:rsidP="00AF0CA4">
      <w:pPr>
        <w:pStyle w:val="BlockText"/>
        <w:ind w:left="1710"/>
      </w:pPr>
    </w:p>
    <w:p w:rsidR="00A25028" w:rsidRDefault="00A25028" w:rsidP="0008109E">
      <w:pPr>
        <w:pStyle w:val="BlockText"/>
        <w:numPr>
          <w:ilvl w:val="0"/>
          <w:numId w:val="13"/>
        </w:numPr>
      </w:pPr>
      <w:r>
        <w:rPr>
          <w:b/>
        </w:rPr>
        <w:t>Alan R. Cominsky</w:t>
      </w:r>
      <w:r w:rsidR="00AF0CA4">
        <w:t xml:space="preserve"> –</w:t>
      </w:r>
      <w:r>
        <w:t xml:space="preserve"> petition received on May 12</w:t>
      </w:r>
      <w:r w:rsidR="00AF0CA4">
        <w:t>, 2014, regarding application of Secti</w:t>
      </w:r>
      <w:r>
        <w:t>on 633.218, Rule 69A-60.003 and Florida Fire Prevention Code (2010) Standard 1:10.15</w:t>
      </w:r>
      <w:r w:rsidR="00AF0CA4">
        <w:t xml:space="preserve">, to </w:t>
      </w:r>
      <w:r>
        <w:t>special outdoor events, carnivals, and fairs held on state owned properties, and the authority of the local AHJ in relation to these provisions.</w:t>
      </w:r>
    </w:p>
    <w:p w:rsidR="00A25028" w:rsidRDefault="00A25028" w:rsidP="00A25028">
      <w:pPr>
        <w:pStyle w:val="BlockText"/>
        <w:ind w:left="2070"/>
      </w:pPr>
    </w:p>
    <w:p w:rsidR="003C2DE3" w:rsidRDefault="00AF0CA4" w:rsidP="00103A3B">
      <w:pPr>
        <w:pStyle w:val="BlockText"/>
        <w:ind w:left="2430" w:hanging="450"/>
      </w:pPr>
      <w:r w:rsidRPr="00A25028">
        <w:t>ii.</w:t>
      </w:r>
      <w:r w:rsidR="00A25028">
        <w:t xml:space="preserve"> </w:t>
      </w:r>
      <w:r w:rsidR="00A25028">
        <w:rPr>
          <w:b/>
        </w:rPr>
        <w:t>Gregory J. Cahanin</w:t>
      </w:r>
      <w:r>
        <w:rPr>
          <w:b/>
        </w:rPr>
        <w:t xml:space="preserve"> – </w:t>
      </w:r>
      <w:r>
        <w:t xml:space="preserve">petition </w:t>
      </w:r>
      <w:r w:rsidR="00026394">
        <w:t>fil</w:t>
      </w:r>
      <w:r w:rsidR="00A25028">
        <w:t>ed on May 22</w:t>
      </w:r>
      <w:r>
        <w:t xml:space="preserve">, 2014, seeks the agency’s opinion regarding the </w:t>
      </w:r>
      <w:r w:rsidR="00A25028">
        <w:t>applicability of Florida Fire Prevention Code – 101 Chapter 42 and Section 7.1.4.1 and referenced standards therein.</w:t>
      </w:r>
      <w:r>
        <w:t xml:space="preserve"> </w:t>
      </w:r>
    </w:p>
    <w:p w:rsidR="00A25028" w:rsidRDefault="00A25028" w:rsidP="00A25028">
      <w:pPr>
        <w:pStyle w:val="BlockText"/>
        <w:ind w:left="2070" w:hanging="360"/>
      </w:pPr>
    </w:p>
    <w:p w:rsidR="00A25028" w:rsidRDefault="00A25028" w:rsidP="00103A3B">
      <w:pPr>
        <w:pStyle w:val="BlockText"/>
        <w:ind w:left="2430" w:hanging="450"/>
      </w:pPr>
      <w:r>
        <w:t xml:space="preserve">iii. </w:t>
      </w:r>
      <w:r>
        <w:rPr>
          <w:b/>
        </w:rPr>
        <w:t xml:space="preserve">Gregory J. Cahanin – </w:t>
      </w:r>
      <w:r>
        <w:t xml:space="preserve">petition filed on May 22, 2014, seeks the agency’s opinion regarding the applicability of Subdivision 18.2.3.5.3 of NFPA 1, in particular Florida Fire Prevention Code – 101 Chapter 41 and Section 7.1.4.1 and referenced standards therein. </w:t>
      </w:r>
    </w:p>
    <w:p w:rsidR="00A25028" w:rsidRDefault="00A25028" w:rsidP="00A25028">
      <w:pPr>
        <w:pStyle w:val="BlockText"/>
        <w:ind w:left="1710"/>
      </w:pPr>
    </w:p>
    <w:p w:rsidR="003C2DE3" w:rsidRPr="003C2DE3" w:rsidRDefault="00A25028" w:rsidP="00A25028">
      <w:pPr>
        <w:pStyle w:val="BlockText"/>
        <w:ind w:left="2070" w:hanging="360"/>
      </w:pPr>
      <w:r>
        <w:t>iv</w:t>
      </w:r>
      <w:r w:rsidR="00026394">
        <w:t xml:space="preserve">. </w:t>
      </w:r>
      <w:r w:rsidR="003C2DE3">
        <w:rPr>
          <w:b/>
        </w:rPr>
        <w:t>P</w:t>
      </w:r>
      <w:r w:rsidR="00E86BD7">
        <w:rPr>
          <w:b/>
        </w:rPr>
        <w:t xml:space="preserve">hillip W. Green </w:t>
      </w:r>
      <w:r w:rsidR="003C2DE3">
        <w:rPr>
          <w:b/>
        </w:rPr>
        <w:t xml:space="preserve">– </w:t>
      </w:r>
      <w:r w:rsidR="00E86BD7">
        <w:t xml:space="preserve">Issued an order on the </w:t>
      </w:r>
      <w:r w:rsidR="003C2DE3">
        <w:t>petition filed on March 31, 2014, seeking an</w:t>
      </w:r>
      <w:r w:rsidR="00E86BD7">
        <w:t xml:space="preserve"> opinion regarding the interpretation of Rule 69A-46.041 regarding specific modes of communications, and determined that since the rule does not specify modes of communications, the methods of communications provided in the petition are acceptable</w:t>
      </w:r>
      <w:r w:rsidR="003C2DE3">
        <w:t>.</w:t>
      </w:r>
    </w:p>
    <w:p w:rsidR="008476AE" w:rsidRDefault="008476AE" w:rsidP="0001260C">
      <w:pPr>
        <w:pStyle w:val="BlockText"/>
        <w:ind w:left="360"/>
      </w:pPr>
    </w:p>
    <w:p w:rsidR="00D255AC" w:rsidRPr="00502614" w:rsidRDefault="008476AE" w:rsidP="003C2DE3">
      <w:pPr>
        <w:pStyle w:val="BlockText"/>
        <w:ind w:left="360"/>
      </w:pPr>
      <w:r w:rsidRPr="003C2DE3">
        <w:rPr>
          <w:b/>
          <w:u w:val="single"/>
        </w:rPr>
        <w:t>Reminder:</w:t>
      </w:r>
      <w:r>
        <w:t xml:space="preserve"> </w:t>
      </w:r>
      <w:r w:rsidR="0001260C">
        <w:t>Rule 69A-60.003, amended ef</w:t>
      </w:r>
      <w:r w:rsidR="00B40FA6">
        <w:t xml:space="preserve">fective May 1, 2013, adopts </w:t>
      </w:r>
      <w:r w:rsidR="0001260C">
        <w:t>NPR 1, the Fire Code, Florida 2009 edition (as amended 3/2013 to add Section 18.4.1.3 to Section 18.4 - Fire Flow Requirements for Buildings).</w:t>
      </w:r>
      <w:r w:rsidR="003C2DE3">
        <w:t xml:space="preserve"> </w:t>
      </w:r>
      <w:r w:rsidR="00757661">
        <w:t>Section 1 of Senate Bill 1122, effect</w:t>
      </w:r>
      <w:r w:rsidR="00E17AA2">
        <w:t xml:space="preserve">ive July 1, 2013 </w:t>
      </w:r>
      <w:r w:rsidR="00757661">
        <w:t>creates a new section 633.0215(6)(b) which EXMEPTS certain structures from application of the Florida Fire Prevention Code.</w:t>
      </w:r>
    </w:p>
    <w:p w:rsidR="00D255AC" w:rsidRDefault="00D255AC" w:rsidP="00F00476">
      <w:pPr>
        <w:pStyle w:val="BlockText"/>
        <w:rPr>
          <w:b/>
          <w:i/>
          <w:u w:val="single"/>
        </w:rPr>
      </w:pPr>
    </w:p>
    <w:p w:rsidR="00F00476" w:rsidRPr="00F00476" w:rsidRDefault="00F00476" w:rsidP="00F00476">
      <w:pPr>
        <w:pStyle w:val="BlockText"/>
        <w:rPr>
          <w:b/>
          <w:i/>
          <w:u w:val="single"/>
        </w:rPr>
      </w:pPr>
      <w:r w:rsidRPr="00F00476">
        <w:rPr>
          <w:b/>
          <w:i/>
          <w:u w:val="single"/>
        </w:rPr>
        <w:t>ALERT: As a result of 2013 legislation, some panhandle development permits are eligible for 6-month extension due to Tropical Storm Karen.</w:t>
      </w:r>
    </w:p>
    <w:p w:rsidR="00D255AC" w:rsidRDefault="00D255AC" w:rsidP="008476AE">
      <w:pPr>
        <w:pStyle w:val="BlockText"/>
        <w:rPr>
          <w:b/>
          <w:u w:val="single"/>
        </w:rPr>
      </w:pPr>
    </w:p>
    <w:p w:rsidR="00177AA7" w:rsidRDefault="00CF37B7" w:rsidP="008476AE">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8476AE">
        <w:t xml:space="preserve"> for 2014</w:t>
      </w:r>
      <w:r w:rsidR="00177AA7">
        <w:t>, which began</w:t>
      </w:r>
      <w:r w:rsidR="002935A9">
        <w:t xml:space="preserve"> on March 4, 2014 for sixty (60) </w:t>
      </w:r>
      <w:r w:rsidR="00177AA7">
        <w:t xml:space="preserve">calendar days </w:t>
      </w:r>
      <w:r w:rsidR="00815043">
        <w:t>ending on May 2</w:t>
      </w:r>
      <w:r w:rsidR="00815043" w:rsidRPr="00815043">
        <w:rPr>
          <w:vertAlign w:val="superscript"/>
        </w:rPr>
        <w:t>nd</w:t>
      </w:r>
      <w:r w:rsidR="00815043">
        <w:t xml:space="preserve">, </w:t>
      </w:r>
      <w:r w:rsidR="00177AA7">
        <w:t xml:space="preserve">produced the following </w:t>
      </w:r>
      <w:r w:rsidR="00815043">
        <w:rPr>
          <w:b/>
        </w:rPr>
        <w:t>construction</w:t>
      </w:r>
      <w:r w:rsidR="00815043" w:rsidRPr="00815043">
        <w:rPr>
          <w:b/>
        </w:rPr>
        <w:t>-</w:t>
      </w:r>
      <w:r w:rsidR="00177AA7" w:rsidRPr="00815043">
        <w:rPr>
          <w:b/>
        </w:rPr>
        <w:t>related</w:t>
      </w:r>
      <w:r w:rsidR="00177AA7">
        <w:t xml:space="preserve"> </w:t>
      </w:r>
      <w:r w:rsidR="00177AA7" w:rsidRPr="00815043">
        <w:rPr>
          <w:b/>
        </w:rPr>
        <w:t>bills</w:t>
      </w:r>
      <w:r w:rsidR="00177AA7">
        <w:t xml:space="preserve">, </w:t>
      </w:r>
      <w:r w:rsidR="00177AA7" w:rsidRPr="00026394">
        <w:rPr>
          <w:u w:val="single"/>
        </w:rPr>
        <w:t xml:space="preserve">all of which are effective </w:t>
      </w:r>
      <w:r w:rsidR="00177AA7" w:rsidRPr="00026394">
        <w:rPr>
          <w:b/>
          <w:u w:val="single"/>
        </w:rPr>
        <w:t>July 1, 2014</w:t>
      </w:r>
      <w:r w:rsidR="00177AA7" w:rsidRPr="00026394">
        <w:rPr>
          <w:u w:val="single"/>
        </w:rPr>
        <w:t xml:space="preserve"> </w:t>
      </w:r>
      <w:r w:rsidR="00177AA7">
        <w:t>(all other bills being reported previously having DIED, including lien law changes):</w:t>
      </w:r>
    </w:p>
    <w:p w:rsidR="003E6AD8" w:rsidRDefault="003E6AD8" w:rsidP="008476AE">
      <w:pPr>
        <w:pStyle w:val="BlockText"/>
      </w:pPr>
    </w:p>
    <w:p w:rsidR="00177AA7" w:rsidRDefault="00177AA7" w:rsidP="00177AA7">
      <w:pPr>
        <w:pStyle w:val="BlockText"/>
        <w:ind w:firstLine="720"/>
      </w:pPr>
      <w:r>
        <w:t xml:space="preserve">CS/SC for Senate Bill 286, regarding </w:t>
      </w:r>
      <w:r w:rsidRPr="00177AA7">
        <w:rPr>
          <w:b/>
        </w:rPr>
        <w:t>concrete masonry</w:t>
      </w:r>
      <w:r>
        <w:t xml:space="preserve"> education.</w:t>
      </w:r>
    </w:p>
    <w:p w:rsidR="00177AA7" w:rsidRDefault="00177AA7" w:rsidP="00177AA7">
      <w:pPr>
        <w:pStyle w:val="BlockText"/>
        <w:ind w:firstLine="720"/>
      </w:pPr>
      <w:r>
        <w:t xml:space="preserve">CS/CS for Senate Bill 272 regarding </w:t>
      </w:r>
      <w:r w:rsidRPr="00177AA7">
        <w:rPr>
          <w:b/>
        </w:rPr>
        <w:t>water and wastewater utilities</w:t>
      </w:r>
      <w:r>
        <w:t>.</w:t>
      </w:r>
    </w:p>
    <w:p w:rsidR="00177AA7" w:rsidRDefault="00177AA7" w:rsidP="00177AA7">
      <w:pPr>
        <w:pStyle w:val="BlockText"/>
        <w:ind w:firstLine="720"/>
      </w:pPr>
      <w:r>
        <w:t xml:space="preserve">CS/CS for Senate Bill 288 regarding </w:t>
      </w:r>
      <w:r w:rsidRPr="00177AA7">
        <w:rPr>
          <w:b/>
        </w:rPr>
        <w:t>underground facility and damage prevention safety</w:t>
      </w:r>
      <w:r>
        <w:t>.</w:t>
      </w:r>
    </w:p>
    <w:p w:rsidR="00177AA7" w:rsidRDefault="00177AA7" w:rsidP="00177AA7">
      <w:pPr>
        <w:pStyle w:val="BlockText"/>
        <w:ind w:firstLine="720"/>
      </w:pPr>
      <w:r>
        <w:t xml:space="preserve">CS/CS for House Bill 271 regarding </w:t>
      </w:r>
      <w:r w:rsidRPr="00177AA7">
        <w:rPr>
          <w:b/>
        </w:rPr>
        <w:t>Workers’ Compensation</w:t>
      </w:r>
      <w:r>
        <w:t>.</w:t>
      </w:r>
    </w:p>
    <w:p w:rsidR="00177AA7" w:rsidRDefault="00177AA7" w:rsidP="00177AA7">
      <w:pPr>
        <w:pStyle w:val="BlockText"/>
        <w:ind w:firstLine="720"/>
      </w:pPr>
      <w:r>
        <w:t xml:space="preserve">CS/CS for House Bill 713 regarding </w:t>
      </w:r>
      <w:r w:rsidRPr="00177AA7">
        <w:rPr>
          <w:b/>
        </w:rPr>
        <w:t>Engineers</w:t>
      </w:r>
      <w:r>
        <w:t>.</w:t>
      </w:r>
    </w:p>
    <w:p w:rsidR="00E86BD7" w:rsidRDefault="00E86BD7" w:rsidP="00E86BD7">
      <w:pPr>
        <w:pStyle w:val="BlockText"/>
        <w:ind w:firstLine="720"/>
      </w:pPr>
      <w:r>
        <w:t xml:space="preserve">CS/CS for Senate Bill 1672 passed regarding </w:t>
      </w:r>
      <w:r w:rsidRPr="00177AA7">
        <w:rPr>
          <w:b/>
        </w:rPr>
        <w:t>property insurance</w:t>
      </w:r>
      <w:r>
        <w:t>.</w:t>
      </w:r>
    </w:p>
    <w:p w:rsidR="00E86BD7" w:rsidRPr="00E86BD7" w:rsidRDefault="00177AA7" w:rsidP="00E86BD7">
      <w:pPr>
        <w:pStyle w:val="BlockText"/>
        <w:ind w:firstLine="720"/>
      </w:pPr>
      <w:r>
        <w:t xml:space="preserve">CS/CS for House Bill 7147 regarding </w:t>
      </w:r>
      <w:r w:rsidRPr="00177AA7">
        <w:rPr>
          <w:b/>
        </w:rPr>
        <w:t>Building Construction</w:t>
      </w:r>
    </w:p>
    <w:p w:rsidR="00B22750" w:rsidRPr="00103A3B" w:rsidRDefault="00E86BD7" w:rsidP="00103A3B">
      <w:pPr>
        <w:spacing w:before="100" w:beforeAutospacing="1" w:after="100" w:afterAutospacing="1"/>
        <w:outlineLvl w:val="2"/>
        <w:rPr>
          <w:rFonts w:eastAsia="Times New Roman" w:cs="Times New Roman"/>
          <w:b/>
          <w:bCs/>
          <w:sz w:val="27"/>
          <w:szCs w:val="27"/>
          <w:u w:val="single"/>
        </w:rPr>
      </w:pPr>
      <w:r w:rsidRPr="00103A3B">
        <w:rPr>
          <w:rFonts w:eastAsia="Times New Roman" w:cs="Times New Roman"/>
          <w:b/>
          <w:bCs/>
          <w:sz w:val="27"/>
          <w:szCs w:val="27"/>
          <w:u w:val="single"/>
        </w:rPr>
        <w:t>Each of these bills will be described in a separate handout for the CLE p</w:t>
      </w:r>
      <w:r w:rsidR="00103A3B">
        <w:rPr>
          <w:rFonts w:eastAsia="Times New Roman" w:cs="Times New Roman"/>
          <w:b/>
          <w:bCs/>
          <w:sz w:val="27"/>
          <w:szCs w:val="27"/>
          <w:u w:val="single"/>
        </w:rPr>
        <w:t xml:space="preserve">ortion of the committee’s June 9, </w:t>
      </w:r>
      <w:r w:rsidR="00103A3B" w:rsidRPr="00103A3B">
        <w:rPr>
          <w:rFonts w:eastAsia="Times New Roman" w:cs="Times New Roman"/>
          <w:b/>
          <w:bCs/>
          <w:sz w:val="27"/>
          <w:szCs w:val="27"/>
          <w:u w:val="single"/>
          <w:vertAlign w:val="superscript"/>
        </w:rPr>
        <w:t>2014</w:t>
      </w:r>
      <w:r w:rsidRPr="00103A3B">
        <w:rPr>
          <w:rFonts w:eastAsia="Times New Roman" w:cs="Times New Roman"/>
          <w:b/>
          <w:bCs/>
          <w:sz w:val="27"/>
          <w:szCs w:val="27"/>
          <w:u w:val="single"/>
        </w:rPr>
        <w:t xml:space="preserve"> meeting.</w:t>
      </w:r>
      <w:r w:rsidR="00B22750" w:rsidRPr="00103A3B">
        <w:rPr>
          <w:rFonts w:eastAsia="Times New Roman" w:cs="Times New Roman"/>
          <w:b/>
          <w:bCs/>
          <w:vanish/>
          <w:sz w:val="27"/>
          <w:szCs w:val="27"/>
          <w:u w:val="single"/>
        </w:rPr>
        <w:t>Senators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Senators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Senators.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Committees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meeting records and publications posted by your tracked committees for the next or previous 8 days. You will receive email notifications when committee meeting records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Committees.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Offices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by your tracked Offices in the past 7 days. You will receive email notifications when media and publications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Offices. </w:t>
      </w:r>
    </w:p>
    <w:p w:rsidR="00B22750" w:rsidRPr="00B22750" w:rsidRDefault="00B22750" w:rsidP="00B22750">
      <w:pPr>
        <w:spacing w:before="100" w:beforeAutospacing="1" w:after="100" w:afterAutospacing="1"/>
        <w:outlineLvl w:val="2"/>
        <w:rPr>
          <w:rFonts w:eastAsia="Times New Roman" w:cs="Times New Roman"/>
          <w:b/>
          <w:bCs/>
          <w:vanish/>
          <w:sz w:val="27"/>
          <w:szCs w:val="27"/>
        </w:rPr>
      </w:pPr>
      <w:r w:rsidRPr="00B22750">
        <w:rPr>
          <w:rFonts w:eastAsia="Times New Roman" w:cs="Times New Roman"/>
          <w:b/>
          <w:bCs/>
          <w:vanish/>
          <w:sz w:val="27"/>
          <w:szCs w:val="27"/>
        </w:rPr>
        <w:t>Media</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Below are the media and publications posted in the past 7 days. You will receive email notifications when Press Releases, Publications, and Speeches are posted; according to your account preferences.</w:t>
      </w:r>
    </w:p>
    <w:p w:rsidR="00B22750" w:rsidRPr="00B22750" w:rsidRDefault="00B22750" w:rsidP="00B22750">
      <w:pPr>
        <w:spacing w:before="100" w:beforeAutospacing="1" w:after="100" w:afterAutospacing="1"/>
        <w:rPr>
          <w:rFonts w:eastAsia="Times New Roman" w:cs="Times New Roman"/>
          <w:vanish/>
        </w:rPr>
      </w:pPr>
      <w:r w:rsidRPr="00B22750">
        <w:rPr>
          <w:rFonts w:eastAsia="Times New Roman" w:cs="Times New Roman"/>
          <w:vanish/>
        </w:rPr>
        <w:t>You are not tracking any Media. </w:t>
      </w:r>
    </w:p>
    <w:p w:rsidR="002438D2" w:rsidRDefault="002438D2" w:rsidP="008476AE">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502614" w:rsidRDefault="00502614" w:rsidP="002B78B0">
      <w:pPr>
        <w:pStyle w:val="BlockText"/>
      </w:pPr>
      <w:r>
        <w:t xml:space="preserve">Seller </w:t>
      </w:r>
      <w:r w:rsidR="00C10E53">
        <w:t xml:space="preserve">E. </w:t>
      </w:r>
      <w:r>
        <w:t>Sellers</w:t>
      </w:r>
      <w:r w:rsidR="001F0D0C">
        <w:t>, Esq.</w:t>
      </w:r>
    </w:p>
    <w:p w:rsidR="00156092" w:rsidRDefault="00E86BD7" w:rsidP="002B78B0">
      <w:pPr>
        <w:pStyle w:val="BlockText"/>
      </w:pPr>
      <w:r>
        <w:t>June 8</w:t>
      </w:r>
      <w:r w:rsidR="0029168D">
        <w:t>, 2</w:t>
      </w:r>
      <w:r w:rsidR="004B10A3">
        <w:t>014</w:t>
      </w:r>
      <w:r w:rsidR="00156092">
        <w:t>.</w:t>
      </w:r>
    </w:p>
    <w:p w:rsidR="009C6CE8" w:rsidRDefault="009C6CE8" w:rsidP="00922A6D">
      <w:pPr>
        <w:pStyle w:val="BlockText"/>
        <w:ind w:left="360"/>
      </w:pPr>
    </w:p>
    <w:p w:rsidR="005B581D" w:rsidRDefault="005B581D">
      <w:pPr>
        <w:pStyle w:val="BlockText"/>
        <w:ind w:left="360"/>
      </w:pPr>
    </w:p>
    <w:sectPr w:rsidR="005B581D" w:rsidSect="009A10B6">
      <w:footerReference w:type="default" r:id="rId8"/>
      <w:footerReference w:type="first" r:id="rId9"/>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D3" w:rsidRDefault="006C69D3" w:rsidP="009A2CBA">
      <w:r>
        <w:separator/>
      </w:r>
    </w:p>
  </w:endnote>
  <w:endnote w:type="continuationSeparator" w:id="0">
    <w:p w:rsidR="006C69D3" w:rsidRDefault="006C69D3"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B40FA6" w:rsidRDefault="00CA5EE6" w:rsidP="000421B5">
    <w:pPr>
      <w:pStyle w:val="Footer"/>
      <w:rPr>
        <w:rStyle w:val="DocID"/>
        <w:sz w:val="24"/>
      </w:rPr>
    </w:pPr>
    <w:r>
      <w:tab/>
    </w:r>
    <w:r>
      <w:fldChar w:fldCharType="begin"/>
    </w:r>
    <w:r>
      <w:instrText xml:space="preserve"> PAGE   \* MERGEFORMAT </w:instrText>
    </w:r>
    <w:r>
      <w:fldChar w:fldCharType="separate"/>
    </w:r>
    <w:r w:rsidR="00162AD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E6" w:rsidRPr="00911FE4" w:rsidRDefault="00CA5EE6"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162ADE">
      <w:rPr>
        <w:noProof/>
        <w:sz w:val="20"/>
      </w:rPr>
      <w:instrText>9</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D3" w:rsidRDefault="006C69D3" w:rsidP="009A2CBA">
      <w:r>
        <w:separator/>
      </w:r>
    </w:p>
  </w:footnote>
  <w:footnote w:type="continuationSeparator" w:id="0">
    <w:p w:rsidR="006C69D3" w:rsidRDefault="006C69D3" w:rsidP="009A2CBA">
      <w:r>
        <w:continuationSeparator/>
      </w:r>
    </w:p>
  </w:footnote>
  <w:footnote w:id="1">
    <w:p w:rsidR="00CA5EE6" w:rsidRPr="0038047E" w:rsidRDefault="00CA5EE6" w:rsidP="00491907">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w:t>
      </w:r>
      <w:r w:rsidRPr="0038047E">
        <w:t xml:space="preserve">As part of the TRANSFER of this commission from the now-defunct Department of Community Affairs to the Department of Business and Professional Regulation, all rules from </w:t>
      </w:r>
      <w:r>
        <w:t xml:space="preserve">former </w:t>
      </w:r>
      <w:r w:rsidRPr="0038047E">
        <w:t>Chapter 9N have been TRANSFERRED to Chapter 61G20, FAC.</w:t>
      </w:r>
    </w:p>
    <w:p w:rsidR="00CA5EE6" w:rsidRDefault="00CA5EE6" w:rsidP="004E142A">
      <w:pPr>
        <w:pStyle w:val="BlockText"/>
      </w:pPr>
    </w:p>
    <w:p w:rsidR="00CA5EE6" w:rsidRDefault="00CA5EE6"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702DC"/>
    <w:multiLevelType w:val="hybridMultilevel"/>
    <w:tmpl w:val="52A02DA4"/>
    <w:lvl w:ilvl="0" w:tplc="3CA63B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50E0A57"/>
    <w:multiLevelType w:val="hybridMultilevel"/>
    <w:tmpl w:val="AC524002"/>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3"/>
  </w:num>
  <w:num w:numId="4">
    <w:abstractNumId w:val="14"/>
  </w:num>
  <w:num w:numId="5">
    <w:abstractNumId w:val="12"/>
  </w:num>
  <w:num w:numId="6">
    <w:abstractNumId w:val="15"/>
  </w:num>
  <w:num w:numId="7">
    <w:abstractNumId w:val="5"/>
  </w:num>
  <w:num w:numId="8">
    <w:abstractNumId w:val="7"/>
  </w:num>
  <w:num w:numId="9">
    <w:abstractNumId w:val="3"/>
  </w:num>
  <w:num w:numId="10">
    <w:abstractNumId w:val="1"/>
  </w:num>
  <w:num w:numId="11">
    <w:abstractNumId w:val="10"/>
  </w:num>
  <w:num w:numId="12">
    <w:abstractNumId w:val="4"/>
  </w:num>
  <w:num w:numId="13">
    <w:abstractNumId w:val="11"/>
  </w:num>
  <w:num w:numId="14">
    <w:abstractNumId w:val="6"/>
  </w:num>
  <w:num w:numId="15">
    <w:abstractNumId w:val="8"/>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6394"/>
    <w:rsid w:val="00026C6B"/>
    <w:rsid w:val="00027FC3"/>
    <w:rsid w:val="000302BC"/>
    <w:rsid w:val="000324B5"/>
    <w:rsid w:val="000340FB"/>
    <w:rsid w:val="000341ED"/>
    <w:rsid w:val="000421B5"/>
    <w:rsid w:val="0005012E"/>
    <w:rsid w:val="000509E7"/>
    <w:rsid w:val="00052694"/>
    <w:rsid w:val="00054D0D"/>
    <w:rsid w:val="0005515D"/>
    <w:rsid w:val="00055700"/>
    <w:rsid w:val="00061C8E"/>
    <w:rsid w:val="00065B23"/>
    <w:rsid w:val="00066D23"/>
    <w:rsid w:val="00071707"/>
    <w:rsid w:val="00074EDF"/>
    <w:rsid w:val="0008109E"/>
    <w:rsid w:val="00084298"/>
    <w:rsid w:val="00094361"/>
    <w:rsid w:val="00094EBD"/>
    <w:rsid w:val="000A3246"/>
    <w:rsid w:val="000A4BA4"/>
    <w:rsid w:val="000A66AC"/>
    <w:rsid w:val="000B0E17"/>
    <w:rsid w:val="000B1DDB"/>
    <w:rsid w:val="000B2203"/>
    <w:rsid w:val="000B76DD"/>
    <w:rsid w:val="000C4772"/>
    <w:rsid w:val="000C4BC7"/>
    <w:rsid w:val="000D08E7"/>
    <w:rsid w:val="000D2555"/>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6E4E"/>
    <w:rsid w:val="001476D7"/>
    <w:rsid w:val="00151063"/>
    <w:rsid w:val="00151720"/>
    <w:rsid w:val="00151F43"/>
    <w:rsid w:val="00156092"/>
    <w:rsid w:val="001572A8"/>
    <w:rsid w:val="00162ADE"/>
    <w:rsid w:val="00162E5A"/>
    <w:rsid w:val="001649EE"/>
    <w:rsid w:val="001673C5"/>
    <w:rsid w:val="0017187B"/>
    <w:rsid w:val="00172C04"/>
    <w:rsid w:val="00175923"/>
    <w:rsid w:val="001768AB"/>
    <w:rsid w:val="00177AA7"/>
    <w:rsid w:val="0019065B"/>
    <w:rsid w:val="001963BC"/>
    <w:rsid w:val="001B0E80"/>
    <w:rsid w:val="001B11FD"/>
    <w:rsid w:val="001B4226"/>
    <w:rsid w:val="001B5A99"/>
    <w:rsid w:val="001B5DD4"/>
    <w:rsid w:val="001B6195"/>
    <w:rsid w:val="001B73F6"/>
    <w:rsid w:val="001D0121"/>
    <w:rsid w:val="001D1B70"/>
    <w:rsid w:val="001D25D1"/>
    <w:rsid w:val="001D50A8"/>
    <w:rsid w:val="001E327E"/>
    <w:rsid w:val="001E3281"/>
    <w:rsid w:val="001F01B4"/>
    <w:rsid w:val="001F0D0C"/>
    <w:rsid w:val="001F18CD"/>
    <w:rsid w:val="001F7DB9"/>
    <w:rsid w:val="00200951"/>
    <w:rsid w:val="00210263"/>
    <w:rsid w:val="00217EBB"/>
    <w:rsid w:val="00221926"/>
    <w:rsid w:val="00221AAE"/>
    <w:rsid w:val="00222C12"/>
    <w:rsid w:val="002236E8"/>
    <w:rsid w:val="0022445A"/>
    <w:rsid w:val="00227443"/>
    <w:rsid w:val="002321A5"/>
    <w:rsid w:val="002348A5"/>
    <w:rsid w:val="002363CA"/>
    <w:rsid w:val="00236A0B"/>
    <w:rsid w:val="00236AB0"/>
    <w:rsid w:val="00237AEC"/>
    <w:rsid w:val="002438D2"/>
    <w:rsid w:val="00243FF8"/>
    <w:rsid w:val="00246D22"/>
    <w:rsid w:val="00251EB1"/>
    <w:rsid w:val="00252DC4"/>
    <w:rsid w:val="002558FB"/>
    <w:rsid w:val="00262A25"/>
    <w:rsid w:val="002630F7"/>
    <w:rsid w:val="00273404"/>
    <w:rsid w:val="00274276"/>
    <w:rsid w:val="002857BE"/>
    <w:rsid w:val="00286558"/>
    <w:rsid w:val="00286B40"/>
    <w:rsid w:val="00286B5F"/>
    <w:rsid w:val="00290B6F"/>
    <w:rsid w:val="0029168D"/>
    <w:rsid w:val="00292E15"/>
    <w:rsid w:val="00293452"/>
    <w:rsid w:val="002935A9"/>
    <w:rsid w:val="00294F80"/>
    <w:rsid w:val="002A4DD8"/>
    <w:rsid w:val="002A5595"/>
    <w:rsid w:val="002A7577"/>
    <w:rsid w:val="002A777F"/>
    <w:rsid w:val="002B09F1"/>
    <w:rsid w:val="002B0DFC"/>
    <w:rsid w:val="002B35C5"/>
    <w:rsid w:val="002B3E98"/>
    <w:rsid w:val="002B78B0"/>
    <w:rsid w:val="002C378F"/>
    <w:rsid w:val="002C5E1D"/>
    <w:rsid w:val="002D1599"/>
    <w:rsid w:val="002D366C"/>
    <w:rsid w:val="002D4362"/>
    <w:rsid w:val="002E2A6D"/>
    <w:rsid w:val="002E2F5E"/>
    <w:rsid w:val="002F015B"/>
    <w:rsid w:val="002F16B3"/>
    <w:rsid w:val="002F61E3"/>
    <w:rsid w:val="00305D83"/>
    <w:rsid w:val="00305FDE"/>
    <w:rsid w:val="00311BC1"/>
    <w:rsid w:val="00312FA2"/>
    <w:rsid w:val="003134D3"/>
    <w:rsid w:val="0031487D"/>
    <w:rsid w:val="003154E8"/>
    <w:rsid w:val="00321E89"/>
    <w:rsid w:val="003239B0"/>
    <w:rsid w:val="0032598E"/>
    <w:rsid w:val="003319A7"/>
    <w:rsid w:val="00332825"/>
    <w:rsid w:val="003376F7"/>
    <w:rsid w:val="00340637"/>
    <w:rsid w:val="00340740"/>
    <w:rsid w:val="00340B4E"/>
    <w:rsid w:val="00342DB6"/>
    <w:rsid w:val="00345235"/>
    <w:rsid w:val="003473F4"/>
    <w:rsid w:val="003508EE"/>
    <w:rsid w:val="003563EF"/>
    <w:rsid w:val="00356433"/>
    <w:rsid w:val="00361628"/>
    <w:rsid w:val="0036439B"/>
    <w:rsid w:val="00364771"/>
    <w:rsid w:val="003747B5"/>
    <w:rsid w:val="00376DA1"/>
    <w:rsid w:val="0038047E"/>
    <w:rsid w:val="00383EFB"/>
    <w:rsid w:val="00384141"/>
    <w:rsid w:val="00385904"/>
    <w:rsid w:val="003A0148"/>
    <w:rsid w:val="003A1E91"/>
    <w:rsid w:val="003A33A5"/>
    <w:rsid w:val="003A4FB0"/>
    <w:rsid w:val="003B5B30"/>
    <w:rsid w:val="003C09F0"/>
    <w:rsid w:val="003C265E"/>
    <w:rsid w:val="003C2DE3"/>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401A5C"/>
    <w:rsid w:val="00413E91"/>
    <w:rsid w:val="00416C25"/>
    <w:rsid w:val="00416CC9"/>
    <w:rsid w:val="004200FB"/>
    <w:rsid w:val="004204AE"/>
    <w:rsid w:val="00425FE8"/>
    <w:rsid w:val="00427E2F"/>
    <w:rsid w:val="00436BA2"/>
    <w:rsid w:val="004406AC"/>
    <w:rsid w:val="00441CD1"/>
    <w:rsid w:val="00454846"/>
    <w:rsid w:val="0045543B"/>
    <w:rsid w:val="0046192D"/>
    <w:rsid w:val="0046330C"/>
    <w:rsid w:val="004634BE"/>
    <w:rsid w:val="00465432"/>
    <w:rsid w:val="0047003F"/>
    <w:rsid w:val="00474D96"/>
    <w:rsid w:val="00480712"/>
    <w:rsid w:val="00484142"/>
    <w:rsid w:val="00484B9C"/>
    <w:rsid w:val="00491907"/>
    <w:rsid w:val="00491948"/>
    <w:rsid w:val="00492027"/>
    <w:rsid w:val="004A0671"/>
    <w:rsid w:val="004A451E"/>
    <w:rsid w:val="004A5613"/>
    <w:rsid w:val="004A582F"/>
    <w:rsid w:val="004A6E9B"/>
    <w:rsid w:val="004B10A3"/>
    <w:rsid w:val="004B196B"/>
    <w:rsid w:val="004C458B"/>
    <w:rsid w:val="004C63D8"/>
    <w:rsid w:val="004C7846"/>
    <w:rsid w:val="004E1249"/>
    <w:rsid w:val="004E142A"/>
    <w:rsid w:val="004E2A5D"/>
    <w:rsid w:val="004E35D0"/>
    <w:rsid w:val="004E61C2"/>
    <w:rsid w:val="004E7067"/>
    <w:rsid w:val="004F030C"/>
    <w:rsid w:val="004F3D87"/>
    <w:rsid w:val="00500503"/>
    <w:rsid w:val="00502614"/>
    <w:rsid w:val="00504537"/>
    <w:rsid w:val="005063F3"/>
    <w:rsid w:val="0051221A"/>
    <w:rsid w:val="00512724"/>
    <w:rsid w:val="00512A9F"/>
    <w:rsid w:val="00520F5E"/>
    <w:rsid w:val="005237C4"/>
    <w:rsid w:val="0052642A"/>
    <w:rsid w:val="00530892"/>
    <w:rsid w:val="00530CD6"/>
    <w:rsid w:val="00535353"/>
    <w:rsid w:val="00535A2B"/>
    <w:rsid w:val="0053686B"/>
    <w:rsid w:val="00537681"/>
    <w:rsid w:val="00540398"/>
    <w:rsid w:val="005463F4"/>
    <w:rsid w:val="00553CBE"/>
    <w:rsid w:val="00555FBF"/>
    <w:rsid w:val="005665C2"/>
    <w:rsid w:val="00571120"/>
    <w:rsid w:val="00576B27"/>
    <w:rsid w:val="0059572F"/>
    <w:rsid w:val="005A61CC"/>
    <w:rsid w:val="005A74C3"/>
    <w:rsid w:val="005B212C"/>
    <w:rsid w:val="005B2CCD"/>
    <w:rsid w:val="005B558F"/>
    <w:rsid w:val="005B581D"/>
    <w:rsid w:val="005C08FA"/>
    <w:rsid w:val="005C40F9"/>
    <w:rsid w:val="005C5CFC"/>
    <w:rsid w:val="005D217B"/>
    <w:rsid w:val="005D446B"/>
    <w:rsid w:val="005D5F3E"/>
    <w:rsid w:val="005D71D8"/>
    <w:rsid w:val="005E4539"/>
    <w:rsid w:val="005E73B8"/>
    <w:rsid w:val="005F17D4"/>
    <w:rsid w:val="005F1FB3"/>
    <w:rsid w:val="005F2E38"/>
    <w:rsid w:val="005F4A79"/>
    <w:rsid w:val="005F705E"/>
    <w:rsid w:val="005F770C"/>
    <w:rsid w:val="00600D46"/>
    <w:rsid w:val="00604806"/>
    <w:rsid w:val="0060730E"/>
    <w:rsid w:val="00614279"/>
    <w:rsid w:val="00620CC5"/>
    <w:rsid w:val="006221E1"/>
    <w:rsid w:val="0063019F"/>
    <w:rsid w:val="0063517A"/>
    <w:rsid w:val="0064458E"/>
    <w:rsid w:val="00644BDC"/>
    <w:rsid w:val="0064574F"/>
    <w:rsid w:val="006465C5"/>
    <w:rsid w:val="00654846"/>
    <w:rsid w:val="006577D7"/>
    <w:rsid w:val="00657E5B"/>
    <w:rsid w:val="00660F73"/>
    <w:rsid w:val="0066317C"/>
    <w:rsid w:val="006639C7"/>
    <w:rsid w:val="00667D54"/>
    <w:rsid w:val="00675E10"/>
    <w:rsid w:val="00685808"/>
    <w:rsid w:val="00691E1A"/>
    <w:rsid w:val="00695A6D"/>
    <w:rsid w:val="00697F28"/>
    <w:rsid w:val="006A3547"/>
    <w:rsid w:val="006A3A6B"/>
    <w:rsid w:val="006A3B11"/>
    <w:rsid w:val="006A50BC"/>
    <w:rsid w:val="006B1D63"/>
    <w:rsid w:val="006B60DD"/>
    <w:rsid w:val="006C5A7D"/>
    <w:rsid w:val="006C69D3"/>
    <w:rsid w:val="006C704A"/>
    <w:rsid w:val="006D3AD0"/>
    <w:rsid w:val="006D7744"/>
    <w:rsid w:val="006E3B26"/>
    <w:rsid w:val="006E5368"/>
    <w:rsid w:val="006E5C27"/>
    <w:rsid w:val="006F336C"/>
    <w:rsid w:val="006F4CE9"/>
    <w:rsid w:val="007017B0"/>
    <w:rsid w:val="0070218E"/>
    <w:rsid w:val="007065A1"/>
    <w:rsid w:val="007135EE"/>
    <w:rsid w:val="007150E1"/>
    <w:rsid w:val="00722B80"/>
    <w:rsid w:val="00722DD1"/>
    <w:rsid w:val="0074468A"/>
    <w:rsid w:val="00756A0C"/>
    <w:rsid w:val="00757661"/>
    <w:rsid w:val="00760E2D"/>
    <w:rsid w:val="00774A2B"/>
    <w:rsid w:val="007755F6"/>
    <w:rsid w:val="00780CCE"/>
    <w:rsid w:val="00781A63"/>
    <w:rsid w:val="00783765"/>
    <w:rsid w:val="007862BD"/>
    <w:rsid w:val="007870BA"/>
    <w:rsid w:val="007902F3"/>
    <w:rsid w:val="00790ED1"/>
    <w:rsid w:val="00793514"/>
    <w:rsid w:val="00795394"/>
    <w:rsid w:val="00795F45"/>
    <w:rsid w:val="00797252"/>
    <w:rsid w:val="007977D0"/>
    <w:rsid w:val="007A0040"/>
    <w:rsid w:val="007A040E"/>
    <w:rsid w:val="007A2C34"/>
    <w:rsid w:val="007A7335"/>
    <w:rsid w:val="007B455D"/>
    <w:rsid w:val="007C06B0"/>
    <w:rsid w:val="007C3596"/>
    <w:rsid w:val="007C479E"/>
    <w:rsid w:val="007C534A"/>
    <w:rsid w:val="007C689D"/>
    <w:rsid w:val="007D12C5"/>
    <w:rsid w:val="007D14A8"/>
    <w:rsid w:val="007E128E"/>
    <w:rsid w:val="007E2299"/>
    <w:rsid w:val="007E4176"/>
    <w:rsid w:val="007F16BD"/>
    <w:rsid w:val="007F2F12"/>
    <w:rsid w:val="007F63B9"/>
    <w:rsid w:val="007F6E51"/>
    <w:rsid w:val="00801B02"/>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6294F"/>
    <w:rsid w:val="008642DB"/>
    <w:rsid w:val="00864F61"/>
    <w:rsid w:val="008667F9"/>
    <w:rsid w:val="008714D7"/>
    <w:rsid w:val="00875906"/>
    <w:rsid w:val="00876A95"/>
    <w:rsid w:val="00883771"/>
    <w:rsid w:val="0088673E"/>
    <w:rsid w:val="00886D9E"/>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E5BE5"/>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42E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B2454"/>
    <w:rsid w:val="009B472E"/>
    <w:rsid w:val="009B53D8"/>
    <w:rsid w:val="009B7504"/>
    <w:rsid w:val="009C4A92"/>
    <w:rsid w:val="009C6254"/>
    <w:rsid w:val="009C6CE8"/>
    <w:rsid w:val="009C6F42"/>
    <w:rsid w:val="009D4AA9"/>
    <w:rsid w:val="009D71A1"/>
    <w:rsid w:val="009E1F25"/>
    <w:rsid w:val="009E2A70"/>
    <w:rsid w:val="009E489B"/>
    <w:rsid w:val="009F3168"/>
    <w:rsid w:val="009F3454"/>
    <w:rsid w:val="009F4440"/>
    <w:rsid w:val="00A0246B"/>
    <w:rsid w:val="00A03908"/>
    <w:rsid w:val="00A05724"/>
    <w:rsid w:val="00A11C23"/>
    <w:rsid w:val="00A17D94"/>
    <w:rsid w:val="00A2092B"/>
    <w:rsid w:val="00A23BA0"/>
    <w:rsid w:val="00A24F93"/>
    <w:rsid w:val="00A25028"/>
    <w:rsid w:val="00A314FA"/>
    <w:rsid w:val="00A3799B"/>
    <w:rsid w:val="00A413D5"/>
    <w:rsid w:val="00A47BAD"/>
    <w:rsid w:val="00A47D5F"/>
    <w:rsid w:val="00A52844"/>
    <w:rsid w:val="00A52BEC"/>
    <w:rsid w:val="00A57777"/>
    <w:rsid w:val="00A57E0F"/>
    <w:rsid w:val="00A82F6F"/>
    <w:rsid w:val="00A862A4"/>
    <w:rsid w:val="00A903BC"/>
    <w:rsid w:val="00A92BA2"/>
    <w:rsid w:val="00A9360E"/>
    <w:rsid w:val="00A973D9"/>
    <w:rsid w:val="00AA1C3B"/>
    <w:rsid w:val="00AA20DC"/>
    <w:rsid w:val="00AA2435"/>
    <w:rsid w:val="00AA49B9"/>
    <w:rsid w:val="00AB6124"/>
    <w:rsid w:val="00AB759F"/>
    <w:rsid w:val="00AB7A77"/>
    <w:rsid w:val="00AC25D8"/>
    <w:rsid w:val="00AC4FD0"/>
    <w:rsid w:val="00AC560D"/>
    <w:rsid w:val="00AD19E4"/>
    <w:rsid w:val="00AD319B"/>
    <w:rsid w:val="00AD3673"/>
    <w:rsid w:val="00AD4A48"/>
    <w:rsid w:val="00AE082C"/>
    <w:rsid w:val="00AE0C03"/>
    <w:rsid w:val="00AE36D0"/>
    <w:rsid w:val="00AE40E2"/>
    <w:rsid w:val="00AE4928"/>
    <w:rsid w:val="00AE4CE1"/>
    <w:rsid w:val="00AF0CA4"/>
    <w:rsid w:val="00AF4CC5"/>
    <w:rsid w:val="00B02CB3"/>
    <w:rsid w:val="00B04E9C"/>
    <w:rsid w:val="00B102F7"/>
    <w:rsid w:val="00B11BE8"/>
    <w:rsid w:val="00B1354A"/>
    <w:rsid w:val="00B14506"/>
    <w:rsid w:val="00B22750"/>
    <w:rsid w:val="00B228D4"/>
    <w:rsid w:val="00B231A5"/>
    <w:rsid w:val="00B33726"/>
    <w:rsid w:val="00B34CB8"/>
    <w:rsid w:val="00B36BD2"/>
    <w:rsid w:val="00B40CCF"/>
    <w:rsid w:val="00B40FA6"/>
    <w:rsid w:val="00B43413"/>
    <w:rsid w:val="00B51F07"/>
    <w:rsid w:val="00B55AA9"/>
    <w:rsid w:val="00B576FB"/>
    <w:rsid w:val="00B605B3"/>
    <w:rsid w:val="00B6409D"/>
    <w:rsid w:val="00B65A78"/>
    <w:rsid w:val="00B665B0"/>
    <w:rsid w:val="00B70EED"/>
    <w:rsid w:val="00B7209C"/>
    <w:rsid w:val="00B754FE"/>
    <w:rsid w:val="00B75D21"/>
    <w:rsid w:val="00B82AFD"/>
    <w:rsid w:val="00B82F44"/>
    <w:rsid w:val="00B854DA"/>
    <w:rsid w:val="00B901A9"/>
    <w:rsid w:val="00B92C29"/>
    <w:rsid w:val="00B94BF6"/>
    <w:rsid w:val="00B94EB0"/>
    <w:rsid w:val="00BA2CBC"/>
    <w:rsid w:val="00BA5910"/>
    <w:rsid w:val="00BA7E0B"/>
    <w:rsid w:val="00BB3CE8"/>
    <w:rsid w:val="00BB43FD"/>
    <w:rsid w:val="00BC3E94"/>
    <w:rsid w:val="00BC3ED9"/>
    <w:rsid w:val="00BC4B4F"/>
    <w:rsid w:val="00BC5032"/>
    <w:rsid w:val="00BC59CC"/>
    <w:rsid w:val="00BD0579"/>
    <w:rsid w:val="00BD1D69"/>
    <w:rsid w:val="00BD42D8"/>
    <w:rsid w:val="00BD45AE"/>
    <w:rsid w:val="00BE7523"/>
    <w:rsid w:val="00BE7E71"/>
    <w:rsid w:val="00BF06EC"/>
    <w:rsid w:val="00BF09D3"/>
    <w:rsid w:val="00BF5744"/>
    <w:rsid w:val="00BF5A88"/>
    <w:rsid w:val="00C00519"/>
    <w:rsid w:val="00C014A9"/>
    <w:rsid w:val="00C02420"/>
    <w:rsid w:val="00C04971"/>
    <w:rsid w:val="00C0615F"/>
    <w:rsid w:val="00C10CCD"/>
    <w:rsid w:val="00C10E53"/>
    <w:rsid w:val="00C10FB4"/>
    <w:rsid w:val="00C15A97"/>
    <w:rsid w:val="00C16757"/>
    <w:rsid w:val="00C17A11"/>
    <w:rsid w:val="00C20A49"/>
    <w:rsid w:val="00C22965"/>
    <w:rsid w:val="00C25BD9"/>
    <w:rsid w:val="00C41104"/>
    <w:rsid w:val="00C41134"/>
    <w:rsid w:val="00C42CAD"/>
    <w:rsid w:val="00C4400E"/>
    <w:rsid w:val="00C44575"/>
    <w:rsid w:val="00C46B9E"/>
    <w:rsid w:val="00C5163E"/>
    <w:rsid w:val="00C527C3"/>
    <w:rsid w:val="00C552DE"/>
    <w:rsid w:val="00C55BAE"/>
    <w:rsid w:val="00C609C2"/>
    <w:rsid w:val="00C60ABB"/>
    <w:rsid w:val="00C613B0"/>
    <w:rsid w:val="00C666BD"/>
    <w:rsid w:val="00C71560"/>
    <w:rsid w:val="00C80F74"/>
    <w:rsid w:val="00C84E54"/>
    <w:rsid w:val="00C8621F"/>
    <w:rsid w:val="00C906E0"/>
    <w:rsid w:val="00C959A0"/>
    <w:rsid w:val="00CA1872"/>
    <w:rsid w:val="00CA1D5A"/>
    <w:rsid w:val="00CA5910"/>
    <w:rsid w:val="00CA5EE6"/>
    <w:rsid w:val="00CA6A88"/>
    <w:rsid w:val="00CB0D76"/>
    <w:rsid w:val="00CB18D5"/>
    <w:rsid w:val="00CB393B"/>
    <w:rsid w:val="00CD02EB"/>
    <w:rsid w:val="00CF0F17"/>
    <w:rsid w:val="00CF2384"/>
    <w:rsid w:val="00CF2A48"/>
    <w:rsid w:val="00CF2DBD"/>
    <w:rsid w:val="00CF37B7"/>
    <w:rsid w:val="00CF7C33"/>
    <w:rsid w:val="00D025A9"/>
    <w:rsid w:val="00D11596"/>
    <w:rsid w:val="00D15049"/>
    <w:rsid w:val="00D17EF8"/>
    <w:rsid w:val="00D255AC"/>
    <w:rsid w:val="00D318BB"/>
    <w:rsid w:val="00D31E05"/>
    <w:rsid w:val="00D35E4B"/>
    <w:rsid w:val="00D42313"/>
    <w:rsid w:val="00D45220"/>
    <w:rsid w:val="00D51EF8"/>
    <w:rsid w:val="00D532DF"/>
    <w:rsid w:val="00D550EA"/>
    <w:rsid w:val="00D5683A"/>
    <w:rsid w:val="00D6075F"/>
    <w:rsid w:val="00D64A8A"/>
    <w:rsid w:val="00D64ACA"/>
    <w:rsid w:val="00D74A8F"/>
    <w:rsid w:val="00D76989"/>
    <w:rsid w:val="00D8155F"/>
    <w:rsid w:val="00D83830"/>
    <w:rsid w:val="00D8408A"/>
    <w:rsid w:val="00D85984"/>
    <w:rsid w:val="00D8641A"/>
    <w:rsid w:val="00D92897"/>
    <w:rsid w:val="00D9374F"/>
    <w:rsid w:val="00D96664"/>
    <w:rsid w:val="00D9771C"/>
    <w:rsid w:val="00D97BF8"/>
    <w:rsid w:val="00DA0331"/>
    <w:rsid w:val="00DA399C"/>
    <w:rsid w:val="00DA5E85"/>
    <w:rsid w:val="00DB01F6"/>
    <w:rsid w:val="00DB1B72"/>
    <w:rsid w:val="00DD18B8"/>
    <w:rsid w:val="00DD3ECB"/>
    <w:rsid w:val="00DD5BF9"/>
    <w:rsid w:val="00DD760C"/>
    <w:rsid w:val="00DE0FB7"/>
    <w:rsid w:val="00DE3DD6"/>
    <w:rsid w:val="00DE4100"/>
    <w:rsid w:val="00DE517B"/>
    <w:rsid w:val="00DE52F2"/>
    <w:rsid w:val="00DE5A5D"/>
    <w:rsid w:val="00DF072F"/>
    <w:rsid w:val="00DF0B84"/>
    <w:rsid w:val="00DF255F"/>
    <w:rsid w:val="00DF4C21"/>
    <w:rsid w:val="00E07E81"/>
    <w:rsid w:val="00E10E84"/>
    <w:rsid w:val="00E1125C"/>
    <w:rsid w:val="00E16D83"/>
    <w:rsid w:val="00E17AA2"/>
    <w:rsid w:val="00E267AB"/>
    <w:rsid w:val="00E27BF3"/>
    <w:rsid w:val="00E30C2C"/>
    <w:rsid w:val="00E311DC"/>
    <w:rsid w:val="00E31752"/>
    <w:rsid w:val="00E3534A"/>
    <w:rsid w:val="00E4082C"/>
    <w:rsid w:val="00E4444A"/>
    <w:rsid w:val="00E44DA1"/>
    <w:rsid w:val="00E46C87"/>
    <w:rsid w:val="00E576B4"/>
    <w:rsid w:val="00E62413"/>
    <w:rsid w:val="00E64091"/>
    <w:rsid w:val="00E66470"/>
    <w:rsid w:val="00E67C64"/>
    <w:rsid w:val="00E71BDF"/>
    <w:rsid w:val="00E8267C"/>
    <w:rsid w:val="00E86BD7"/>
    <w:rsid w:val="00E901CE"/>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1906"/>
    <w:rsid w:val="00EF1953"/>
    <w:rsid w:val="00EF2D9E"/>
    <w:rsid w:val="00EF30B1"/>
    <w:rsid w:val="00EF3BC8"/>
    <w:rsid w:val="00EF7F7D"/>
    <w:rsid w:val="00F003DC"/>
    <w:rsid w:val="00F00476"/>
    <w:rsid w:val="00F012AB"/>
    <w:rsid w:val="00F023FE"/>
    <w:rsid w:val="00F054FC"/>
    <w:rsid w:val="00F06E3E"/>
    <w:rsid w:val="00F07308"/>
    <w:rsid w:val="00F0773C"/>
    <w:rsid w:val="00F10ABD"/>
    <w:rsid w:val="00F10E90"/>
    <w:rsid w:val="00F1558B"/>
    <w:rsid w:val="00F15B84"/>
    <w:rsid w:val="00F16CBD"/>
    <w:rsid w:val="00F17078"/>
    <w:rsid w:val="00F21394"/>
    <w:rsid w:val="00F3234E"/>
    <w:rsid w:val="00F33F66"/>
    <w:rsid w:val="00F372CE"/>
    <w:rsid w:val="00F419B2"/>
    <w:rsid w:val="00F4233A"/>
    <w:rsid w:val="00F42B22"/>
    <w:rsid w:val="00F43272"/>
    <w:rsid w:val="00F45EBD"/>
    <w:rsid w:val="00F50B67"/>
    <w:rsid w:val="00F52831"/>
    <w:rsid w:val="00F53B73"/>
    <w:rsid w:val="00F53D3E"/>
    <w:rsid w:val="00F56C3E"/>
    <w:rsid w:val="00F60C95"/>
    <w:rsid w:val="00F61714"/>
    <w:rsid w:val="00F7015E"/>
    <w:rsid w:val="00F7297C"/>
    <w:rsid w:val="00F73B56"/>
    <w:rsid w:val="00F777FA"/>
    <w:rsid w:val="00F77D99"/>
    <w:rsid w:val="00F820A6"/>
    <w:rsid w:val="00F828AE"/>
    <w:rsid w:val="00F83282"/>
    <w:rsid w:val="00F8540B"/>
    <w:rsid w:val="00F85ED6"/>
    <w:rsid w:val="00F91098"/>
    <w:rsid w:val="00F9398C"/>
    <w:rsid w:val="00F9535D"/>
    <w:rsid w:val="00F97BF7"/>
    <w:rsid w:val="00FA0D68"/>
    <w:rsid w:val="00FA2710"/>
    <w:rsid w:val="00FA5090"/>
    <w:rsid w:val="00FA7229"/>
    <w:rsid w:val="00FA7F61"/>
    <w:rsid w:val="00FB554A"/>
    <w:rsid w:val="00FB588A"/>
    <w:rsid w:val="00FC0694"/>
    <w:rsid w:val="00FC470A"/>
    <w:rsid w:val="00FC6F29"/>
    <w:rsid w:val="00FD1341"/>
    <w:rsid w:val="00FD2F47"/>
    <w:rsid w:val="00FE363C"/>
    <w:rsid w:val="00FE3AE2"/>
    <w:rsid w:val="00FF1E9C"/>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EACF9-C22D-4D8D-8690-94FC17B3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24106</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2014-06-08T13:17:00Z</dcterms:created>
  <dcterms:modified xsi:type="dcterms:W3CDTF">2014-06-09T14:05:00Z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