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661" w:rsidRPr="00B82F44" w:rsidRDefault="002C4661" w:rsidP="002C4661">
      <w:pPr>
        <w:pStyle w:val="BlockText"/>
        <w:jc w:val="center"/>
        <w:rPr>
          <w:b/>
          <w:sz w:val="28"/>
          <w:szCs w:val="28"/>
        </w:rPr>
      </w:pPr>
      <w:r w:rsidRPr="00B82F44">
        <w:rPr>
          <w:b/>
          <w:sz w:val="28"/>
          <w:szCs w:val="28"/>
        </w:rPr>
        <w:t>The Florida Bar: Real Property, Probate and Trust Law Section</w:t>
      </w:r>
    </w:p>
    <w:p w:rsidR="002C4661" w:rsidRDefault="002C4661" w:rsidP="002C4661">
      <w:pPr>
        <w:pStyle w:val="BlockText"/>
        <w:jc w:val="center"/>
        <w:rPr>
          <w:b/>
          <w:sz w:val="28"/>
          <w:szCs w:val="28"/>
        </w:rPr>
      </w:pPr>
      <w:r w:rsidRPr="00B82F44">
        <w:rPr>
          <w:b/>
          <w:sz w:val="28"/>
          <w:szCs w:val="28"/>
        </w:rPr>
        <w:t>Construction Law Committee</w:t>
      </w:r>
    </w:p>
    <w:p w:rsidR="002C4661" w:rsidRDefault="002C4661" w:rsidP="002C4661">
      <w:pPr>
        <w:pStyle w:val="BlockText"/>
        <w:jc w:val="center"/>
        <w:rPr>
          <w:b/>
          <w:sz w:val="28"/>
          <w:szCs w:val="28"/>
        </w:rPr>
      </w:pPr>
    </w:p>
    <w:p w:rsidR="00000245" w:rsidRDefault="002C4661" w:rsidP="002C4661">
      <w:pPr>
        <w:pStyle w:val="BlockText"/>
        <w:jc w:val="center"/>
        <w:rPr>
          <w:rFonts w:cs="Times New Roman"/>
          <w:b/>
          <w:u w:val="single"/>
        </w:rPr>
      </w:pPr>
      <w:r w:rsidRPr="002C4661">
        <w:rPr>
          <w:rFonts w:cs="Times New Roman"/>
          <w:b/>
          <w:u w:val="single"/>
        </w:rPr>
        <w:t>Case Law Update</w:t>
      </w:r>
    </w:p>
    <w:p w:rsidR="002C4661" w:rsidRDefault="00410171" w:rsidP="003C45BB">
      <w:pPr>
        <w:pStyle w:val="BlockText"/>
        <w:jc w:val="center"/>
        <w:rPr>
          <w:rFonts w:cs="Times New Roman"/>
        </w:rPr>
      </w:pPr>
      <w:r>
        <w:rPr>
          <w:rFonts w:cs="Times New Roman"/>
        </w:rPr>
        <w:t xml:space="preserve">Meeting on </w:t>
      </w:r>
      <w:r w:rsidR="003C45BB">
        <w:rPr>
          <w:rFonts w:cs="Times New Roman"/>
        </w:rPr>
        <w:t xml:space="preserve">May 29, 2014 </w:t>
      </w:r>
    </w:p>
    <w:p w:rsidR="002C4661" w:rsidRDefault="002C4661" w:rsidP="002C4661">
      <w:pPr>
        <w:pStyle w:val="BlockText"/>
        <w:rPr>
          <w:sz w:val="28"/>
          <w:szCs w:val="28"/>
        </w:rPr>
      </w:pPr>
    </w:p>
    <w:p w:rsidR="003C45BB" w:rsidRPr="00330B1A" w:rsidRDefault="003C45BB" w:rsidP="002C4661">
      <w:pPr>
        <w:pStyle w:val="BlockText"/>
      </w:pPr>
      <w:r w:rsidRPr="00155770">
        <w:rPr>
          <w:b/>
        </w:rPr>
        <w:t>Federal Decision</w:t>
      </w:r>
      <w:r w:rsidR="00CF4286">
        <w:rPr>
          <w:b/>
        </w:rPr>
        <w:t>s</w:t>
      </w:r>
      <w:r w:rsidRPr="00155770">
        <w:rPr>
          <w:b/>
        </w:rPr>
        <w:t>:</w:t>
      </w:r>
    </w:p>
    <w:p w:rsidR="003C45BB" w:rsidRDefault="003C45BB" w:rsidP="002C4661">
      <w:pPr>
        <w:pStyle w:val="BlockText"/>
      </w:pPr>
    </w:p>
    <w:p w:rsidR="00E762A8" w:rsidRDefault="00E762A8" w:rsidP="00E762A8">
      <w:pPr>
        <w:pStyle w:val="BlockText"/>
      </w:pPr>
      <w:r w:rsidRPr="00E762A8">
        <w:rPr>
          <w:u w:val="single"/>
        </w:rPr>
        <w:t>Metcalf Const. Co., Inc. v. United States</w:t>
      </w:r>
      <w:r>
        <w:t xml:space="preserve">, 742 F.3d 984, 988 (Fed. Cir. 2014). </w:t>
      </w:r>
      <w:r w:rsidR="00410171">
        <w:t>A design</w:t>
      </w:r>
      <w:r w:rsidR="00535A6D">
        <w:t>-</w:t>
      </w:r>
      <w:r w:rsidR="00410171">
        <w:t xml:space="preserve">build contractor brought </w:t>
      </w:r>
      <w:r w:rsidR="00D67849">
        <w:t xml:space="preserve">a claim for breach of implied duty </w:t>
      </w:r>
      <w:r w:rsidR="00535A6D">
        <w:t xml:space="preserve">of good faith and fair dealing </w:t>
      </w:r>
      <w:r w:rsidR="00D67849">
        <w:t>against the Department of the Navy</w:t>
      </w:r>
      <w:r w:rsidR="00535A6D">
        <w:t xml:space="preserve">. The contractor entered into </w:t>
      </w:r>
      <w:r w:rsidR="002C6C3B">
        <w:t>a contract for the construction of 212 new duplex residential units. During construction</w:t>
      </w:r>
      <w:r w:rsidR="00E64915">
        <w:t>,</w:t>
      </w:r>
      <w:r w:rsidR="004523B9">
        <w:t xml:space="preserve"> the contractor encountered differing si</w:t>
      </w:r>
      <w:r w:rsidR="00280A26">
        <w:t>te</w:t>
      </w:r>
      <w:r w:rsidR="004523B9">
        <w:t xml:space="preserve"> condit</w:t>
      </w:r>
      <w:r w:rsidR="00280A26">
        <w:t>ions than represented by the Navy</w:t>
      </w:r>
      <w:r w:rsidR="00E64915">
        <w:t xml:space="preserve"> in the RFP</w:t>
      </w:r>
      <w:r w:rsidR="00280A26">
        <w:t xml:space="preserve">. </w:t>
      </w:r>
      <w:r w:rsidR="00553E2F">
        <w:t xml:space="preserve">First the contractor found that the soil had different expansiveness properties. Second, the contractor found that the soil contained higher levels of </w:t>
      </w:r>
      <w:r w:rsidR="00553E2F">
        <w:rPr>
          <w:rFonts w:eastAsia="Times New Roman" w:cs="Times New Roman"/>
          <w:lang w:bidi="en-US"/>
        </w:rPr>
        <w:t xml:space="preserve">Chlordane which had to be remediated. The navy </w:t>
      </w:r>
      <w:r w:rsidR="004D420D">
        <w:rPr>
          <w:rFonts w:eastAsia="Times New Roman" w:cs="Times New Roman"/>
          <w:lang w:bidi="en-US"/>
        </w:rPr>
        <w:t xml:space="preserve">denied claims for both of these differing conditions </w:t>
      </w:r>
      <w:r w:rsidR="00A462B0">
        <w:rPr>
          <w:rFonts w:eastAsia="Times New Roman" w:cs="Times New Roman"/>
          <w:lang w:bidi="en-US"/>
        </w:rPr>
        <w:t>claiming</w:t>
      </w:r>
      <w:r w:rsidR="004D420D">
        <w:rPr>
          <w:rFonts w:eastAsia="Times New Roman" w:cs="Times New Roman"/>
          <w:lang w:bidi="en-US"/>
        </w:rPr>
        <w:t xml:space="preserve"> that these conditions were not justification for a changed condition. </w:t>
      </w:r>
      <w:r w:rsidR="00F96255" w:rsidRPr="00F96255">
        <w:rPr>
          <w:rFonts w:eastAsia="Times New Roman" w:cs="Times New Roman"/>
          <w:lang w:bidi="en-US"/>
        </w:rPr>
        <w:t xml:space="preserve">The Court of Federal Claims </w:t>
      </w:r>
      <w:r w:rsidR="00A462B0">
        <w:rPr>
          <w:rFonts w:eastAsia="Times New Roman" w:cs="Times New Roman"/>
          <w:lang w:bidi="en-US"/>
        </w:rPr>
        <w:t xml:space="preserve">agreed with the Navy and </w:t>
      </w:r>
      <w:r w:rsidR="00F96255" w:rsidRPr="00F96255">
        <w:rPr>
          <w:rFonts w:eastAsia="Times New Roman" w:cs="Times New Roman"/>
          <w:lang w:bidi="en-US"/>
        </w:rPr>
        <w:t xml:space="preserve">denied </w:t>
      </w:r>
      <w:r w:rsidR="00F96255">
        <w:rPr>
          <w:rFonts w:eastAsia="Times New Roman" w:cs="Times New Roman"/>
          <w:lang w:bidi="en-US"/>
        </w:rPr>
        <w:t xml:space="preserve">the </w:t>
      </w:r>
      <w:r w:rsidR="0019693E">
        <w:rPr>
          <w:rFonts w:eastAsia="Times New Roman" w:cs="Times New Roman"/>
          <w:lang w:bidi="en-US"/>
        </w:rPr>
        <w:t>contractor</w:t>
      </w:r>
      <w:r w:rsidR="00F96255" w:rsidRPr="00F96255">
        <w:rPr>
          <w:rFonts w:eastAsia="Times New Roman" w:cs="Times New Roman"/>
          <w:lang w:bidi="en-US"/>
        </w:rPr>
        <w:t xml:space="preserve"> recovery on its site condition claim finding that </w:t>
      </w:r>
      <w:r w:rsidR="00F96255">
        <w:rPr>
          <w:rFonts w:eastAsia="Times New Roman" w:cs="Times New Roman"/>
          <w:lang w:bidi="en-US"/>
        </w:rPr>
        <w:t xml:space="preserve">the contractor </w:t>
      </w:r>
      <w:r w:rsidR="00F96255" w:rsidRPr="00F96255">
        <w:rPr>
          <w:rFonts w:eastAsia="Times New Roman" w:cs="Times New Roman"/>
          <w:lang w:bidi="en-US"/>
        </w:rPr>
        <w:t>was required by the contract to condu</w:t>
      </w:r>
      <w:r w:rsidR="0019693E">
        <w:rPr>
          <w:rFonts w:eastAsia="Times New Roman" w:cs="Times New Roman"/>
          <w:lang w:bidi="en-US"/>
        </w:rPr>
        <w:t>ct an independent soil analysis of both the expansiveness</w:t>
      </w:r>
      <w:r w:rsidR="00A462B0">
        <w:rPr>
          <w:rFonts w:eastAsia="Times New Roman" w:cs="Times New Roman"/>
          <w:lang w:bidi="en-US"/>
        </w:rPr>
        <w:t xml:space="preserve"> and the Chlordane. T</w:t>
      </w:r>
      <w:r w:rsidR="0019693E">
        <w:rPr>
          <w:rFonts w:eastAsia="Times New Roman" w:cs="Times New Roman"/>
          <w:lang w:bidi="en-US"/>
        </w:rPr>
        <w:t>hus</w:t>
      </w:r>
      <w:r w:rsidR="00A462B0">
        <w:rPr>
          <w:rFonts w:eastAsia="Times New Roman" w:cs="Times New Roman"/>
          <w:lang w:bidi="en-US"/>
        </w:rPr>
        <w:t>, the contractor</w:t>
      </w:r>
      <w:r w:rsidR="0019693E">
        <w:rPr>
          <w:rFonts w:eastAsia="Times New Roman" w:cs="Times New Roman"/>
          <w:lang w:bidi="en-US"/>
        </w:rPr>
        <w:t xml:space="preserve"> bore the risk of additional costs for differing conditions. </w:t>
      </w:r>
      <w:r w:rsidR="007816DF" w:rsidRPr="007816DF">
        <w:rPr>
          <w:rFonts w:eastAsia="Times New Roman" w:cs="Times New Roman"/>
          <w:lang w:bidi="en-US"/>
        </w:rPr>
        <w:t xml:space="preserve">On appeal the United States Court of Appeals for the Federal Circuit determined whether the </w:t>
      </w:r>
      <w:r w:rsidR="00EF0266" w:rsidRPr="00F96255">
        <w:rPr>
          <w:rFonts w:eastAsia="Times New Roman" w:cs="Times New Roman"/>
          <w:lang w:bidi="en-US"/>
        </w:rPr>
        <w:t xml:space="preserve">Court of Federal Claims </w:t>
      </w:r>
      <w:r w:rsidR="007816DF" w:rsidRPr="007816DF">
        <w:rPr>
          <w:rFonts w:eastAsia="Times New Roman" w:cs="Times New Roman"/>
          <w:lang w:bidi="en-US"/>
        </w:rPr>
        <w:t xml:space="preserve">applied the </w:t>
      </w:r>
      <w:r w:rsidR="00EF0266">
        <w:rPr>
          <w:rFonts w:eastAsia="Times New Roman" w:cs="Times New Roman"/>
          <w:lang w:bidi="en-US"/>
        </w:rPr>
        <w:t>in</w:t>
      </w:r>
      <w:r w:rsidR="007816DF" w:rsidRPr="007816DF">
        <w:rPr>
          <w:rFonts w:eastAsia="Times New Roman" w:cs="Times New Roman"/>
          <w:lang w:bidi="en-US"/>
        </w:rPr>
        <w:t xml:space="preserve">correct standard in determining </w:t>
      </w:r>
      <w:r w:rsidR="00F71556">
        <w:rPr>
          <w:rFonts w:eastAsia="Times New Roman" w:cs="Times New Roman"/>
          <w:lang w:bidi="en-US"/>
        </w:rPr>
        <w:t xml:space="preserve">that </w:t>
      </w:r>
      <w:bookmarkStart w:id="0" w:name="_GoBack"/>
      <w:bookmarkEnd w:id="0"/>
      <w:r w:rsidR="007816DF" w:rsidRPr="007816DF">
        <w:rPr>
          <w:rFonts w:eastAsia="Times New Roman" w:cs="Times New Roman"/>
          <w:lang w:bidi="en-US"/>
        </w:rPr>
        <w:t>the Navy breached the implied duty of good faith and fair dealing.</w:t>
      </w:r>
      <w:r w:rsidR="00FE799A">
        <w:rPr>
          <w:rFonts w:eastAsia="Times New Roman" w:cs="Times New Roman"/>
          <w:lang w:bidi="en-US"/>
        </w:rPr>
        <w:t xml:space="preserve"> The Appeals Court fo</w:t>
      </w:r>
      <w:r w:rsidR="00187EBA">
        <w:rPr>
          <w:rFonts w:eastAsia="Times New Roman" w:cs="Times New Roman"/>
          <w:lang w:bidi="en-US"/>
        </w:rPr>
        <w:t>u</w:t>
      </w:r>
      <w:r w:rsidR="00FE799A">
        <w:rPr>
          <w:rFonts w:eastAsia="Times New Roman" w:cs="Times New Roman"/>
          <w:lang w:bidi="en-US"/>
        </w:rPr>
        <w:t>n</w:t>
      </w:r>
      <w:r w:rsidR="00A15F18">
        <w:rPr>
          <w:rFonts w:eastAsia="Times New Roman" w:cs="Times New Roman"/>
          <w:lang w:bidi="en-US"/>
        </w:rPr>
        <w:t xml:space="preserve">d that the </w:t>
      </w:r>
      <w:r w:rsidR="00EF0266" w:rsidRPr="00F96255">
        <w:rPr>
          <w:rFonts w:eastAsia="Times New Roman" w:cs="Times New Roman"/>
          <w:lang w:bidi="en-US"/>
        </w:rPr>
        <w:t>Court of Federal Claims</w:t>
      </w:r>
      <w:r w:rsidR="00A15F18">
        <w:rPr>
          <w:rFonts w:eastAsia="Times New Roman" w:cs="Times New Roman"/>
          <w:lang w:bidi="en-US"/>
        </w:rPr>
        <w:t xml:space="preserve"> applied a standard </w:t>
      </w:r>
      <w:r w:rsidR="00187EBA">
        <w:rPr>
          <w:rFonts w:eastAsia="Times New Roman" w:cs="Times New Roman"/>
          <w:lang w:bidi="en-US"/>
        </w:rPr>
        <w:t xml:space="preserve">of </w:t>
      </w:r>
      <w:r w:rsidR="00187EBA">
        <w:t xml:space="preserve">good faith and fair dealing </w:t>
      </w:r>
      <w:r w:rsidR="00A15F18">
        <w:rPr>
          <w:rFonts w:eastAsia="Times New Roman" w:cs="Times New Roman"/>
          <w:lang w:bidi="en-US"/>
        </w:rPr>
        <w:t>which was too narrow</w:t>
      </w:r>
      <w:r w:rsidR="00EF0266">
        <w:rPr>
          <w:rFonts w:eastAsia="Times New Roman" w:cs="Times New Roman"/>
          <w:lang w:bidi="en-US"/>
        </w:rPr>
        <w:t xml:space="preserve">- </w:t>
      </w:r>
      <w:r w:rsidR="00E973A8">
        <w:rPr>
          <w:rFonts w:eastAsia="Times New Roman" w:cs="Times New Roman"/>
          <w:lang w:bidi="en-US"/>
        </w:rPr>
        <w:t>that a breach of the duty of good faith and fair dealing against the government can only be found by showing that the government spe</w:t>
      </w:r>
      <w:r w:rsidR="003C1D0A">
        <w:rPr>
          <w:rFonts w:eastAsia="Times New Roman" w:cs="Times New Roman"/>
          <w:lang w:bidi="en-US"/>
        </w:rPr>
        <w:t xml:space="preserve">cifically targeted </w:t>
      </w:r>
      <w:r w:rsidR="00E973A8">
        <w:rPr>
          <w:rFonts w:eastAsia="Times New Roman" w:cs="Times New Roman"/>
          <w:lang w:bidi="en-US"/>
        </w:rPr>
        <w:t>and re-appropriated the benefits that the other party expected to obtain from the transaction</w:t>
      </w:r>
      <w:r w:rsidR="00041FE3">
        <w:rPr>
          <w:rFonts w:eastAsia="Times New Roman" w:cs="Times New Roman"/>
          <w:lang w:bidi="en-US"/>
        </w:rPr>
        <w:t>.</w:t>
      </w:r>
      <w:r w:rsidR="00E12E86">
        <w:rPr>
          <w:rFonts w:eastAsia="Times New Roman" w:cs="Times New Roman"/>
          <w:lang w:bidi="en-US"/>
        </w:rPr>
        <w:t xml:space="preserve"> The correct standard </w:t>
      </w:r>
      <w:r w:rsidR="00DC2378">
        <w:rPr>
          <w:rFonts w:eastAsia="Times New Roman" w:cs="Times New Roman"/>
          <w:lang w:bidi="en-US"/>
        </w:rPr>
        <w:t>which should have been applied is</w:t>
      </w:r>
      <w:r w:rsidR="00E12E86">
        <w:rPr>
          <w:rFonts w:eastAsia="Times New Roman" w:cs="Times New Roman"/>
          <w:lang w:bidi="en-US"/>
        </w:rPr>
        <w:t xml:space="preserve"> the more general standard that both contracting parties have a duty not to interfere with the other’s performance and not to act to destroy expectations of the other party.</w:t>
      </w:r>
      <w:r w:rsidR="000F23D9">
        <w:rPr>
          <w:rFonts w:eastAsia="Times New Roman" w:cs="Times New Roman"/>
          <w:lang w:bidi="en-US"/>
        </w:rPr>
        <w:t xml:space="preserve"> The Appeals Court reversed the case and directed that the correct standard be applied. In addition, the Court of Federal Claims</w:t>
      </w:r>
      <w:r w:rsidR="003C03B1">
        <w:rPr>
          <w:rFonts w:eastAsia="Times New Roman" w:cs="Times New Roman"/>
          <w:lang w:bidi="en-US"/>
        </w:rPr>
        <w:t xml:space="preserve"> also erred by shifting the liability for existing </w:t>
      </w:r>
      <w:r w:rsidR="004921FD">
        <w:rPr>
          <w:rFonts w:eastAsia="Times New Roman" w:cs="Times New Roman"/>
          <w:lang w:bidi="en-US"/>
        </w:rPr>
        <w:t>expansiveness and the Chlordane</w:t>
      </w:r>
      <w:r w:rsidR="004921FD" w:rsidRPr="004921FD">
        <w:rPr>
          <w:rFonts w:eastAsia="Times New Roman" w:cs="Times New Roman"/>
          <w:lang w:bidi="en-US"/>
        </w:rPr>
        <w:t xml:space="preserve"> </w:t>
      </w:r>
      <w:r w:rsidR="004921FD">
        <w:rPr>
          <w:rFonts w:eastAsia="Times New Roman" w:cs="Times New Roman"/>
          <w:lang w:bidi="en-US"/>
        </w:rPr>
        <w:t>conditions</w:t>
      </w:r>
      <w:r w:rsidR="00F410BB">
        <w:rPr>
          <w:rFonts w:eastAsia="Times New Roman" w:cs="Times New Roman"/>
          <w:lang w:bidi="en-US"/>
        </w:rPr>
        <w:t>. The Court of Federal Claims incorrectly shifted the liability</w:t>
      </w:r>
      <w:r w:rsidR="004921FD">
        <w:rPr>
          <w:rFonts w:eastAsia="Times New Roman" w:cs="Times New Roman"/>
          <w:lang w:bidi="en-US"/>
        </w:rPr>
        <w:t xml:space="preserve"> because of the contractor</w:t>
      </w:r>
      <w:r w:rsidR="00F410BB">
        <w:rPr>
          <w:rFonts w:eastAsia="Times New Roman" w:cs="Times New Roman"/>
          <w:lang w:bidi="en-US"/>
        </w:rPr>
        <w:t>’</w:t>
      </w:r>
      <w:r w:rsidR="004921FD">
        <w:rPr>
          <w:rFonts w:eastAsia="Times New Roman" w:cs="Times New Roman"/>
          <w:lang w:bidi="en-US"/>
        </w:rPr>
        <w:t>s requirement to investigate the soil c</w:t>
      </w:r>
      <w:r w:rsidR="008302DA">
        <w:rPr>
          <w:rFonts w:eastAsia="Times New Roman" w:cs="Times New Roman"/>
          <w:lang w:bidi="en-US"/>
        </w:rPr>
        <w:t xml:space="preserve">onditions after contract award and </w:t>
      </w:r>
      <w:r w:rsidR="00F410BB">
        <w:rPr>
          <w:rFonts w:eastAsia="Times New Roman" w:cs="Times New Roman"/>
          <w:lang w:bidi="en-US"/>
        </w:rPr>
        <w:t xml:space="preserve">because </w:t>
      </w:r>
      <w:r w:rsidR="008302DA">
        <w:rPr>
          <w:rFonts w:eastAsia="Times New Roman" w:cs="Times New Roman"/>
          <w:lang w:bidi="en-US"/>
        </w:rPr>
        <w:t xml:space="preserve">the original government provided reports </w:t>
      </w:r>
      <w:r w:rsidR="00F410BB">
        <w:rPr>
          <w:rFonts w:eastAsia="Times New Roman" w:cs="Times New Roman"/>
          <w:lang w:bidi="en-US"/>
        </w:rPr>
        <w:t>were</w:t>
      </w:r>
      <w:r w:rsidR="008302DA">
        <w:rPr>
          <w:rFonts w:eastAsia="Times New Roman" w:cs="Times New Roman"/>
          <w:lang w:bidi="en-US"/>
        </w:rPr>
        <w:t xml:space="preserve"> for informational purposes only. </w:t>
      </w:r>
      <w:r w:rsidR="003439C1">
        <w:rPr>
          <w:rFonts w:eastAsia="Times New Roman" w:cs="Times New Roman"/>
          <w:lang w:bidi="en-US"/>
        </w:rPr>
        <w:t>The Appeals Court held that t</w:t>
      </w:r>
      <w:r w:rsidR="008302DA">
        <w:rPr>
          <w:rFonts w:eastAsia="Times New Roman" w:cs="Times New Roman"/>
          <w:lang w:bidi="en-US"/>
        </w:rPr>
        <w:t xml:space="preserve">hese statements merely indicate to the contractor that the existing conditions might change, and not that the contractor bears the ultimate risk if the “preliminary” information is inaccurate. </w:t>
      </w:r>
    </w:p>
    <w:p w:rsidR="00E762A8" w:rsidRPr="00330B1A" w:rsidRDefault="00E762A8" w:rsidP="002C4661">
      <w:pPr>
        <w:pStyle w:val="BlockText"/>
      </w:pPr>
    </w:p>
    <w:p w:rsidR="00CF4286" w:rsidRDefault="00CF4286" w:rsidP="00CF4286">
      <w:pPr>
        <w:pStyle w:val="BlockText"/>
      </w:pPr>
    </w:p>
    <w:p w:rsidR="00C52107" w:rsidRPr="00330B1A" w:rsidRDefault="00CF4286" w:rsidP="00E1253C">
      <w:pPr>
        <w:pStyle w:val="BlockText"/>
      </w:pPr>
      <w:proofErr w:type="spellStart"/>
      <w:r w:rsidRPr="00CF4286">
        <w:rPr>
          <w:u w:val="single"/>
        </w:rPr>
        <w:t>Technica</w:t>
      </w:r>
      <w:proofErr w:type="spellEnd"/>
      <w:r w:rsidRPr="00CF4286">
        <w:rPr>
          <w:u w:val="single"/>
        </w:rPr>
        <w:t xml:space="preserve"> LLC ex rel. U.S. v. Carolina Casualty Insurance Co</w:t>
      </w:r>
      <w:r>
        <w:t xml:space="preserve">., </w:t>
      </w:r>
      <w:r w:rsidRPr="00CF4286">
        <w:t xml:space="preserve">2014 WL 1674108 </w:t>
      </w:r>
      <w:r>
        <w:t>(</w:t>
      </w:r>
      <w:r w:rsidR="00E873A0" w:rsidRPr="00E873A0">
        <w:t>No. 12–56539</w:t>
      </w:r>
      <w:r w:rsidR="00E873A0">
        <w:t>, April 29, 2014</w:t>
      </w:r>
      <w:r>
        <w:t>)</w:t>
      </w:r>
      <w:r w:rsidR="00E873A0">
        <w:t>.</w:t>
      </w:r>
      <w:r w:rsidR="00EF6A7F">
        <w:t xml:space="preserve"> A sub-subcontractor brought a claim for nonpayment against a contractor and its surety pursuant to the Miller Act</w:t>
      </w:r>
      <w:r w:rsidR="00F12594">
        <w:t xml:space="preserve"> for a federal project located in California</w:t>
      </w:r>
      <w:r w:rsidR="00EF6A7F">
        <w:t xml:space="preserve">. </w:t>
      </w:r>
      <w:r w:rsidR="00F12594">
        <w:t>The contractor and the surety were awarded</w:t>
      </w:r>
      <w:r w:rsidR="00EF6A7F">
        <w:t xml:space="preserve"> summary </w:t>
      </w:r>
      <w:r w:rsidR="007541CF">
        <w:t xml:space="preserve">because the sub-subcontractor did not have appropriate licensing under </w:t>
      </w:r>
      <w:r w:rsidR="00F12594">
        <w:t>California</w:t>
      </w:r>
      <w:r w:rsidR="007541CF">
        <w:t xml:space="preserve"> law</w:t>
      </w:r>
      <w:r w:rsidR="003E2C5E">
        <w:t>, which under California law</w:t>
      </w:r>
      <w:r w:rsidR="005B0894">
        <w:t>,</w:t>
      </w:r>
      <w:r w:rsidR="003E2C5E">
        <w:t xml:space="preserve"> is a complete bar to enforcement of a construction contract. </w:t>
      </w:r>
      <w:r w:rsidR="00747097">
        <w:t>On appeal, the Ninth C</w:t>
      </w:r>
      <w:r w:rsidR="00676DD2">
        <w:t xml:space="preserve">ircuit reversed summary judgment </w:t>
      </w:r>
      <w:r w:rsidR="00CB3EB6">
        <w:t>stating that</w:t>
      </w:r>
      <w:r w:rsidR="00676DD2">
        <w:t xml:space="preserve"> the Miller Act provid</w:t>
      </w:r>
      <w:r w:rsidR="00785BAC">
        <w:t xml:space="preserve">es a federal cause of action and the scope </w:t>
      </w:r>
      <w:r w:rsidR="001B5EDE">
        <w:t xml:space="preserve">of the remedy </w:t>
      </w:r>
      <w:r w:rsidR="00785BAC">
        <w:t xml:space="preserve">and substance of the right is a matter of federal not state law. </w:t>
      </w:r>
      <w:r w:rsidR="00747097">
        <w:t>The Ninth C</w:t>
      </w:r>
      <w:r w:rsidR="00C67798">
        <w:t>ircuit</w:t>
      </w:r>
      <w:r w:rsidR="00112A14">
        <w:t xml:space="preserve">’s holding that Miller </w:t>
      </w:r>
      <w:r w:rsidR="00112A14">
        <w:lastRenderedPageBreak/>
        <w:t>Act claims cannot be conditioned on state law</w:t>
      </w:r>
      <w:r w:rsidR="00C67798">
        <w:t xml:space="preserve"> </w:t>
      </w:r>
      <w:r w:rsidR="00112A14">
        <w:t>aligns</w:t>
      </w:r>
      <w:r w:rsidR="00C67798">
        <w:t xml:space="preserve"> its</w:t>
      </w:r>
      <w:r w:rsidR="00112A14">
        <w:t>elf</w:t>
      </w:r>
      <w:r w:rsidR="00C67798">
        <w:t xml:space="preserve"> with the Supreme Court</w:t>
      </w:r>
      <w:r w:rsidR="00747097">
        <w:t>’</w:t>
      </w:r>
      <w:r w:rsidR="00C67798">
        <w:t xml:space="preserve">s decision in </w:t>
      </w:r>
      <w:r w:rsidR="00C67798" w:rsidRPr="00E1253C">
        <w:rPr>
          <w:u w:val="single"/>
        </w:rPr>
        <w:t>F. D. Rich Co., Inc. v. U. S. for Use of Indus. Lumber Co</w:t>
      </w:r>
      <w:r w:rsidR="00C67798">
        <w:t>., Inc., 417 U.S. 116 (1974)</w:t>
      </w:r>
      <w:r w:rsidR="00E1253C">
        <w:t>, the Tenth Circuit</w:t>
      </w:r>
      <w:r w:rsidR="00A7196B">
        <w:t>’s decision</w:t>
      </w:r>
      <w:r w:rsidR="00E1253C">
        <w:t xml:space="preserve"> in </w:t>
      </w:r>
      <w:proofErr w:type="spellStart"/>
      <w:r w:rsidR="00E1253C" w:rsidRPr="00E1253C">
        <w:rPr>
          <w:u w:val="single"/>
        </w:rPr>
        <w:t>Hoeppner</w:t>
      </w:r>
      <w:proofErr w:type="spellEnd"/>
      <w:r w:rsidR="00E1253C" w:rsidRPr="00E1253C">
        <w:rPr>
          <w:u w:val="single"/>
        </w:rPr>
        <w:t xml:space="preserve"> Constr. Co. v. United States ex rel. E.L. Mangum</w:t>
      </w:r>
      <w:r w:rsidR="00E1253C">
        <w:t xml:space="preserve">, 287 F.2d 108 </w:t>
      </w:r>
      <w:r w:rsidR="00E1253C" w:rsidRPr="00E1253C">
        <w:t>(10th Cir.1960)</w:t>
      </w:r>
      <w:r w:rsidR="00E1253C">
        <w:t>, and the Eight Circuit</w:t>
      </w:r>
      <w:r w:rsidR="00A7196B">
        <w:t>’s decision</w:t>
      </w:r>
      <w:r w:rsidR="00E1253C">
        <w:t xml:space="preserve"> in </w:t>
      </w:r>
      <w:r w:rsidR="00E1253C" w:rsidRPr="00E1253C">
        <w:rPr>
          <w:u w:val="single"/>
        </w:rPr>
        <w:t xml:space="preserve">Aetna </w:t>
      </w:r>
      <w:proofErr w:type="spellStart"/>
      <w:r w:rsidR="00E1253C" w:rsidRPr="00E1253C">
        <w:rPr>
          <w:u w:val="single"/>
        </w:rPr>
        <w:t>Cas</w:t>
      </w:r>
      <w:proofErr w:type="spellEnd"/>
      <w:r w:rsidR="00E1253C" w:rsidRPr="00E1253C">
        <w:rPr>
          <w:u w:val="single"/>
        </w:rPr>
        <w:t xml:space="preserve">. &amp; Sur. Co. v. U. S. for Use &amp; Benefit of R. J. </w:t>
      </w:r>
      <w:proofErr w:type="spellStart"/>
      <w:r w:rsidR="00E1253C" w:rsidRPr="00E1253C">
        <w:rPr>
          <w:u w:val="single"/>
        </w:rPr>
        <w:t>Studer</w:t>
      </w:r>
      <w:proofErr w:type="spellEnd"/>
      <w:r w:rsidR="00E1253C" w:rsidRPr="00E1253C">
        <w:rPr>
          <w:u w:val="single"/>
        </w:rPr>
        <w:t xml:space="preserve"> &amp; Sons</w:t>
      </w:r>
      <w:r w:rsidR="00E1253C">
        <w:t>, 365 F.2d 997 (8th Cir. 1966).</w:t>
      </w:r>
      <w:r w:rsidR="003830CC">
        <w:t xml:space="preserve"> </w:t>
      </w:r>
      <w:r w:rsidR="00A7196B">
        <w:t>R</w:t>
      </w:r>
      <w:r w:rsidR="00574AD3">
        <w:t xml:space="preserve">equiring federal subcontractors “to comply </w:t>
      </w:r>
      <w:r w:rsidR="00112A14">
        <w:t>with</w:t>
      </w:r>
      <w:r w:rsidR="00574AD3">
        <w:t xml:space="preserve"> contractor licensing </w:t>
      </w:r>
      <w:r w:rsidR="00112A14">
        <w:t>requirements</w:t>
      </w:r>
      <w:r w:rsidR="00574AD3">
        <w:t xml:space="preserve"> in any given state in which they may work is contrary to the intent of Congress in enacting the Miller Act, which was meant to reduce the substantive and procedural hurdles places on federal subcontractors</w:t>
      </w:r>
      <w:r w:rsidR="00112A14">
        <w:t>…”</w:t>
      </w:r>
    </w:p>
    <w:p w:rsidR="003C45BB" w:rsidRDefault="003C45BB" w:rsidP="002C4661">
      <w:pPr>
        <w:pStyle w:val="BlockText"/>
      </w:pPr>
    </w:p>
    <w:p w:rsidR="004C7283" w:rsidRPr="00330B1A" w:rsidRDefault="004C7283" w:rsidP="002C4661">
      <w:pPr>
        <w:pStyle w:val="BlockText"/>
      </w:pPr>
    </w:p>
    <w:p w:rsidR="003C45BB" w:rsidRPr="00330B1A" w:rsidRDefault="003C45BB" w:rsidP="002C4661">
      <w:pPr>
        <w:pStyle w:val="BlockText"/>
      </w:pPr>
      <w:r w:rsidRPr="00155770">
        <w:rPr>
          <w:b/>
        </w:rPr>
        <w:t>State Appellate Decision</w:t>
      </w:r>
      <w:r w:rsidR="00C52107" w:rsidRPr="00155770">
        <w:t>s:</w:t>
      </w:r>
    </w:p>
    <w:p w:rsidR="00776417" w:rsidRDefault="00776417" w:rsidP="00776417">
      <w:pPr>
        <w:pStyle w:val="BlockText"/>
      </w:pPr>
    </w:p>
    <w:p w:rsidR="00155770" w:rsidRDefault="00776417" w:rsidP="00776417">
      <w:pPr>
        <w:pStyle w:val="BlockText"/>
      </w:pPr>
      <w:r w:rsidRPr="00776417">
        <w:rPr>
          <w:u w:val="single"/>
        </w:rPr>
        <w:t>Snell v. Mott's Contracting Services, Inc.</w:t>
      </w:r>
      <w:r>
        <w:t>, 2014 WL 2118044 (2D13-2836, May 21, 2014).</w:t>
      </w:r>
      <w:r w:rsidR="00BE5498">
        <w:t xml:space="preserve"> Contractor recorded a claim of lien against </w:t>
      </w:r>
      <w:r w:rsidR="000D4C20">
        <w:t>an</w:t>
      </w:r>
      <w:r w:rsidR="00BE5498">
        <w:t xml:space="preserve"> owner. In response</w:t>
      </w:r>
      <w:r w:rsidR="00BD257A">
        <w:t>, the owner filed a complaint in county court contesting the validity of the lien. The con</w:t>
      </w:r>
      <w:r w:rsidR="006045F7">
        <w:t>tractor then moved to dismiss or</w:t>
      </w:r>
      <w:r w:rsidR="00BD257A">
        <w:t xml:space="preserve"> stay the action and </w:t>
      </w:r>
      <w:r w:rsidR="006045F7">
        <w:t xml:space="preserve">the county court </w:t>
      </w:r>
      <w:r w:rsidR="00BD257A">
        <w:t>compel</w:t>
      </w:r>
      <w:r w:rsidR="006045F7">
        <w:t xml:space="preserve">led the parties to arbitration pursuant to the contract. </w:t>
      </w:r>
      <w:r w:rsidR="00CB27B3">
        <w:t xml:space="preserve">The arbitrator entered a final award for the contractor finding that it had “performed all conditions precedent to foreclosing its’ [sic] claim of lien” and awarding the contractor attorneys’ fees. </w:t>
      </w:r>
      <w:r w:rsidR="001E7EDC">
        <w:t xml:space="preserve">The contractor then filed the arbitration award with the county court which confirmed the arbitration award but denied </w:t>
      </w:r>
      <w:r w:rsidR="007E4E16">
        <w:t>attorneys</w:t>
      </w:r>
      <w:r w:rsidR="001E7EDC">
        <w:t>’ fees because the contractor failed to take any action to enforce the claim of lien</w:t>
      </w:r>
      <w:r w:rsidR="00C65BAC">
        <w:t xml:space="preserve"> within the </w:t>
      </w:r>
      <w:r w:rsidR="000D4C20">
        <w:t xml:space="preserve">statutorily </w:t>
      </w:r>
      <w:r w:rsidR="00C65BAC">
        <w:t xml:space="preserve">specified time. </w:t>
      </w:r>
      <w:r w:rsidR="00AF2BFB">
        <w:t>On appeal</w:t>
      </w:r>
      <w:r w:rsidR="004505F2">
        <w:t xml:space="preserve"> before the circuit court, the circuit court reversed and</w:t>
      </w:r>
      <w:r w:rsidR="00AF2BFB">
        <w:t xml:space="preserve"> granted attorneys’ fees</w:t>
      </w:r>
      <w:r w:rsidR="004505F2">
        <w:t xml:space="preserve"> to the contractor,</w:t>
      </w:r>
      <w:r w:rsidR="00AF2BFB">
        <w:t xml:space="preserve"> finding that</w:t>
      </w:r>
      <w:r w:rsidR="00CB27B3">
        <w:t xml:space="preserve"> </w:t>
      </w:r>
      <w:r w:rsidR="002F5B1D">
        <w:t xml:space="preserve">filing </w:t>
      </w:r>
      <w:r w:rsidR="004505F2">
        <w:t xml:space="preserve">of </w:t>
      </w:r>
      <w:r w:rsidR="002F5B1D">
        <w:t xml:space="preserve">a complaint in arbitration complies with </w:t>
      </w:r>
      <w:r w:rsidR="00C83020">
        <w:t xml:space="preserve">Section </w:t>
      </w:r>
      <w:r w:rsidR="002F5B1D">
        <w:t xml:space="preserve">713.29, Florida Statutes. </w:t>
      </w:r>
      <w:r w:rsidR="007E4E16">
        <w:t>The appellate court reversed the circuit court’s findings</w:t>
      </w:r>
      <w:r w:rsidR="007D38E6">
        <w:t xml:space="preserve"> and denied the contractor attorneys</w:t>
      </w:r>
      <w:r w:rsidR="004B0295">
        <w:t>’</w:t>
      </w:r>
      <w:r w:rsidR="007D38E6">
        <w:t xml:space="preserve"> fees. The court held that submitting a claim to arbitration does not satisfy </w:t>
      </w:r>
      <w:r w:rsidR="00C83020">
        <w:t>Section 713.29, Florida Statutes</w:t>
      </w:r>
      <w:r w:rsidR="00FD5BEE">
        <w:t>. The statute clearly requires</w:t>
      </w:r>
      <w:r w:rsidR="00C83020">
        <w:t xml:space="preserve"> an action to enforce a lien must be brought </w:t>
      </w:r>
      <w:r w:rsidR="00C83020">
        <w:rPr>
          <w:i/>
        </w:rPr>
        <w:t>in a court of competent jurisdiction</w:t>
      </w:r>
      <w:r w:rsidR="00867D12">
        <w:t xml:space="preserve"> within</w:t>
      </w:r>
      <w:r w:rsidR="00C83020">
        <w:t xml:space="preserve"> in one year of</w:t>
      </w:r>
      <w:r w:rsidR="00867D12">
        <w:t xml:space="preserve"> recording the claim of lien or it automatically extinguished. </w:t>
      </w:r>
      <w:r w:rsidR="004B0295">
        <w:t xml:space="preserve">Because the contractor did not comply with the statutory </w:t>
      </w:r>
      <w:r w:rsidR="0065429C">
        <w:t>requirements its lien was unenforceable</w:t>
      </w:r>
      <w:r w:rsidR="00FD5BEE">
        <w:t>. T</w:t>
      </w:r>
      <w:r w:rsidR="0065429C">
        <w:t>hus</w:t>
      </w:r>
      <w:r w:rsidR="00FD5BEE">
        <w:t>,</w:t>
      </w:r>
      <w:r w:rsidR="0065429C">
        <w:t xml:space="preserve"> there was no basis for an award of attorneys’ fees.</w:t>
      </w:r>
    </w:p>
    <w:p w:rsidR="00155770" w:rsidRDefault="00155770" w:rsidP="00155770">
      <w:pPr>
        <w:pStyle w:val="BlockText"/>
      </w:pPr>
    </w:p>
    <w:p w:rsidR="00155770" w:rsidRDefault="00155770" w:rsidP="00155770">
      <w:pPr>
        <w:pStyle w:val="BlockText"/>
      </w:pPr>
    </w:p>
    <w:p w:rsidR="00155770" w:rsidRPr="00330B1A" w:rsidRDefault="00155770" w:rsidP="00C52107">
      <w:pPr>
        <w:pStyle w:val="BlockText"/>
      </w:pPr>
    </w:p>
    <w:p w:rsidR="00C52107" w:rsidRPr="00330B1A" w:rsidRDefault="009A25B4" w:rsidP="00C52107">
      <w:pPr>
        <w:pStyle w:val="BlockText"/>
      </w:pPr>
      <w:r w:rsidRPr="00330B1A">
        <w:rPr>
          <w:u w:val="single"/>
        </w:rPr>
        <w:t>The Village at Dolphin Commerce Center., LLC v. Construction</w:t>
      </w:r>
      <w:r w:rsidR="00C52107" w:rsidRPr="00330B1A">
        <w:rPr>
          <w:u w:val="single"/>
        </w:rPr>
        <w:t xml:space="preserve"> Serv</w:t>
      </w:r>
      <w:r w:rsidRPr="00330B1A">
        <w:rPr>
          <w:u w:val="single"/>
        </w:rPr>
        <w:t>ice</w:t>
      </w:r>
      <w:r w:rsidR="00C52107" w:rsidRPr="00330B1A">
        <w:rPr>
          <w:u w:val="single"/>
        </w:rPr>
        <w:t xml:space="preserve"> Solutions, LLC</w:t>
      </w:r>
      <w:r w:rsidR="00C52107" w:rsidRPr="00330B1A">
        <w:t>, 2014 WL 2116361 (</w:t>
      </w:r>
      <w:r w:rsidRPr="00330B1A">
        <w:t xml:space="preserve">3D13-1499, May 21, </w:t>
      </w:r>
      <w:r w:rsidR="00C52107" w:rsidRPr="00330B1A">
        <w:t>2014)</w:t>
      </w:r>
      <w:r w:rsidRPr="00330B1A">
        <w:t>.</w:t>
      </w:r>
      <w:r w:rsidR="008F2EFB" w:rsidRPr="00330B1A">
        <w:t xml:space="preserve"> General contractor </w:t>
      </w:r>
      <w:r w:rsidR="008C0C22" w:rsidRPr="00330B1A">
        <w:t xml:space="preserve">recorded a claim of lien and filed </w:t>
      </w:r>
      <w:r w:rsidR="00E575C5">
        <w:t xml:space="preserve">a </w:t>
      </w:r>
      <w:r w:rsidR="008C0C22" w:rsidRPr="00330B1A">
        <w:t>demand for arbitration against an owner.</w:t>
      </w:r>
      <w:r w:rsidR="009975B9" w:rsidRPr="00330B1A">
        <w:t xml:space="preserve"> Owner asserted as an affirmative defense that the construction contract was unenforceable, filed a counterclaim </w:t>
      </w:r>
      <w:r w:rsidR="004016CE" w:rsidRPr="00330B1A">
        <w:t>against</w:t>
      </w:r>
      <w:r w:rsidR="009975B9" w:rsidRPr="00330B1A">
        <w:t xml:space="preserve"> the general contractor, and filed a </w:t>
      </w:r>
      <w:r w:rsidR="004016CE" w:rsidRPr="00330B1A">
        <w:t>declaratory</w:t>
      </w:r>
      <w:r w:rsidR="009975B9" w:rsidRPr="00330B1A">
        <w:t xml:space="preserve"> action</w:t>
      </w:r>
      <w:r w:rsidR="000E1E9F" w:rsidRPr="00330B1A">
        <w:t xml:space="preserve"> </w:t>
      </w:r>
      <w:r w:rsidR="004016CE" w:rsidRPr="00330B1A">
        <w:t xml:space="preserve">in the circuit court claiming </w:t>
      </w:r>
      <w:r w:rsidR="000E1E9F" w:rsidRPr="00330B1A">
        <w:t xml:space="preserve">that the claim of lien was invalid. The trial judge stayed the action and compelled the parties to </w:t>
      </w:r>
      <w:r w:rsidR="00BF46CF">
        <w:t>arbitration</w:t>
      </w:r>
      <w:r w:rsidR="000E1E9F" w:rsidRPr="00330B1A">
        <w:t xml:space="preserve">. </w:t>
      </w:r>
      <w:r w:rsidR="006A2CC0" w:rsidRPr="00330B1A">
        <w:t xml:space="preserve">General contractor received an award from the arbitration panel and moved the circuit court to confirm the award. </w:t>
      </w:r>
      <w:r w:rsidR="00330B1A">
        <w:t xml:space="preserve">The circuit court entered final </w:t>
      </w:r>
      <w:r w:rsidR="003127B3">
        <w:t>judgment</w:t>
      </w:r>
      <w:r w:rsidR="00330B1A">
        <w:t xml:space="preserve"> in favor of the </w:t>
      </w:r>
      <w:r w:rsidR="003127B3">
        <w:t>general</w:t>
      </w:r>
      <w:r w:rsidR="00330B1A">
        <w:t xml:space="preserve"> contractor</w:t>
      </w:r>
      <w:r w:rsidR="003127B3">
        <w:t xml:space="preserve">, awarded attorneys’ fees, and enforced the lien. </w:t>
      </w:r>
      <w:r w:rsidR="00EC5E7C">
        <w:t>The appellate court affirmed. The court found that</w:t>
      </w:r>
      <w:r w:rsidR="00D36E5F">
        <w:t xml:space="preserve"> the issue of</w:t>
      </w:r>
      <w:r w:rsidR="000C7B0B">
        <w:t xml:space="preserve"> </w:t>
      </w:r>
      <w:r w:rsidR="0028660B">
        <w:t>legality</w:t>
      </w:r>
      <w:r w:rsidR="000C7B0B">
        <w:t xml:space="preserve"> of the contract was decided by the arbitration panel</w:t>
      </w:r>
      <w:r w:rsidR="00EC7888">
        <w:t xml:space="preserve"> because the ow</w:t>
      </w:r>
      <w:r w:rsidR="0028660B">
        <w:t>ne</w:t>
      </w:r>
      <w:r w:rsidR="00EC7888">
        <w:t xml:space="preserve">r raised enforceability of the </w:t>
      </w:r>
      <w:r w:rsidR="00E575C5">
        <w:t>contract</w:t>
      </w:r>
      <w:r w:rsidR="00EC7888">
        <w:t xml:space="preserve"> as an affirmative defense. Even though the </w:t>
      </w:r>
      <w:r w:rsidR="00BF46CF">
        <w:t>arbitration award did</w:t>
      </w:r>
      <w:r w:rsidR="00EC7888">
        <w:t xml:space="preserve"> not specifically make a finding of enforceability, </w:t>
      </w:r>
      <w:r w:rsidR="00F41DEF">
        <w:t>the issue of enforceability must have been addressed to rule on the contractor’s behalf</w:t>
      </w:r>
      <w:r w:rsidR="00D61D61">
        <w:t xml:space="preserve">. </w:t>
      </w:r>
      <w:r w:rsidR="00BC4C29">
        <w:t>The trial court was not permitted to revisit the issue of i</w:t>
      </w:r>
      <w:r w:rsidR="00144058">
        <w:t>llegality because that issue was decided by the a</w:t>
      </w:r>
      <w:r w:rsidR="0019766E">
        <w:t>rbitrators. Florida case law is “clear”</w:t>
      </w:r>
      <w:r w:rsidR="00E575C5">
        <w:t xml:space="preserve"> </w:t>
      </w:r>
      <w:r w:rsidR="0019766E">
        <w:t xml:space="preserve">that challenging the validity of </w:t>
      </w:r>
      <w:r w:rsidR="0019766E">
        <w:lastRenderedPageBreak/>
        <w:t xml:space="preserve">the contract as a whole is an issue or the arbitrator. </w:t>
      </w:r>
      <w:r w:rsidR="00B75E09">
        <w:t xml:space="preserve">The court also </w:t>
      </w:r>
      <w:r w:rsidR="00F41DEF">
        <w:t xml:space="preserve">ruled </w:t>
      </w:r>
      <w:r w:rsidR="00946337">
        <w:t xml:space="preserve">that the contractor was entitled to </w:t>
      </w:r>
      <w:r w:rsidR="00B17E00">
        <w:t>foreclosure</w:t>
      </w:r>
      <w:r w:rsidR="00946337">
        <w:t xml:space="preserve"> </w:t>
      </w:r>
      <w:r w:rsidR="0035091A">
        <w:t>the</w:t>
      </w:r>
      <w:r w:rsidR="00946337">
        <w:t xml:space="preserve"> lien</w:t>
      </w:r>
      <w:r w:rsidR="00B17E00">
        <w:t xml:space="preserve">, despite </w:t>
      </w:r>
      <w:r w:rsidR="0035091A">
        <w:t>owner’s</w:t>
      </w:r>
      <w:r w:rsidR="00B17E00">
        <w:t xml:space="preserve"> contention that the lien was not decided by the arbitration panel, because </w:t>
      </w:r>
      <w:r w:rsidR="00E575C5">
        <w:t>contractor</w:t>
      </w:r>
      <w:r w:rsidR="0035091A">
        <w:t xml:space="preserve"> is entitled</w:t>
      </w:r>
      <w:r w:rsidR="00B17E00">
        <w:t xml:space="preserve"> to </w:t>
      </w:r>
      <w:r w:rsidR="009C1145">
        <w:t xml:space="preserve">a </w:t>
      </w:r>
      <w:r w:rsidR="00E575C5">
        <w:t xml:space="preserve">judgment of foreclosure </w:t>
      </w:r>
      <w:r w:rsidR="009C1145">
        <w:t xml:space="preserve">on a mechanics lien </w:t>
      </w:r>
      <w:r w:rsidR="00E575C5">
        <w:t>as a</w:t>
      </w:r>
      <w:r w:rsidR="00946337">
        <w:t xml:space="preserve"> method of enforcing the </w:t>
      </w:r>
      <w:r w:rsidR="0035091A">
        <w:t>arbitrator’s</w:t>
      </w:r>
      <w:r w:rsidR="00946337">
        <w:t xml:space="preserve"> award. </w:t>
      </w:r>
    </w:p>
    <w:p w:rsidR="008F2EFB" w:rsidRPr="00330B1A" w:rsidRDefault="008F2EFB" w:rsidP="00C52107">
      <w:pPr>
        <w:pStyle w:val="BlockText"/>
      </w:pPr>
    </w:p>
    <w:p w:rsidR="008F2EFB" w:rsidRPr="00330B1A" w:rsidRDefault="008F2EFB" w:rsidP="00C52107">
      <w:pPr>
        <w:pStyle w:val="BlockText"/>
      </w:pPr>
    </w:p>
    <w:p w:rsidR="00B634F1" w:rsidRDefault="00B634F1" w:rsidP="00B634F1">
      <w:pPr>
        <w:pStyle w:val="BlockText"/>
      </w:pPr>
      <w:r w:rsidRPr="00155770">
        <w:rPr>
          <w:u w:val="single"/>
        </w:rPr>
        <w:t xml:space="preserve">Hibachi Grill, Inc. v. </w:t>
      </w:r>
      <w:proofErr w:type="spellStart"/>
      <w:r w:rsidRPr="00155770">
        <w:rPr>
          <w:u w:val="single"/>
        </w:rPr>
        <w:t>Arki</w:t>
      </w:r>
      <w:proofErr w:type="spellEnd"/>
      <w:r w:rsidRPr="00155770">
        <w:rPr>
          <w:u w:val="single"/>
        </w:rPr>
        <w:t xml:space="preserve"> Const</w:t>
      </w:r>
      <w:r>
        <w:rPr>
          <w:u w:val="single"/>
        </w:rPr>
        <w:t>ruction</w:t>
      </w:r>
      <w:r w:rsidRPr="00155770">
        <w:rPr>
          <w:u w:val="single"/>
        </w:rPr>
        <w:t>, Inc</w:t>
      </w:r>
      <w:r>
        <w:t>., 39 Fla. L. Weekly D954 (Fla. 3d DCA 2014). Owner brought suit against a general contractor for breach of a construction contract. Contractor counterclaimed for the unpaid balance of the contract. Owner’s affirmative defenses to counterclaim included the right of setoff against amounts paid directly to subcontractors by owner. The parties</w:t>
      </w:r>
      <w:r w:rsidR="005A3AE6">
        <w:t xml:space="preserve"> then</w:t>
      </w:r>
      <w:r>
        <w:t xml:space="preserve"> settled the claim from the owner to the contractor but allowed the counterclaim of the contractor to proceed. The trail court granted the contractors motion to strike owners affirmative defenses, finding that the affirmative defense</w:t>
      </w:r>
      <w:r w:rsidR="005A3AE6">
        <w:t>s were</w:t>
      </w:r>
      <w:r>
        <w:t xml:space="preserve"> barred by the earlier release. The trial court then awarded the contractor summary judgment for the remaining contract balance despite an affidavit from </w:t>
      </w:r>
      <w:r w:rsidR="0057536B">
        <w:t xml:space="preserve">the </w:t>
      </w:r>
      <w:r>
        <w:t xml:space="preserve">owner detailing five direct payments to subcontractors. The appellate court reversed the summary judgment, stating that it would be a windfall for the contractor to recover the gross amounts without deduction for the amounts paid by owner to the subcontractors for the benefit of the contractor. The </w:t>
      </w:r>
      <w:r w:rsidR="0057536B">
        <w:t>owner’s</w:t>
      </w:r>
      <w:r>
        <w:t xml:space="preserve"> affidavit established the amounts of direct payments without contradiction by the contractor. </w:t>
      </w:r>
    </w:p>
    <w:p w:rsidR="008F2EFB" w:rsidRPr="00330B1A" w:rsidRDefault="008F2EFB" w:rsidP="00C52107">
      <w:pPr>
        <w:pStyle w:val="BlockText"/>
      </w:pPr>
    </w:p>
    <w:p w:rsidR="008F2EFB" w:rsidRPr="00330B1A" w:rsidRDefault="008F2EFB" w:rsidP="00C52107">
      <w:pPr>
        <w:pStyle w:val="BlockText"/>
      </w:pPr>
    </w:p>
    <w:p w:rsidR="008F2EFB" w:rsidRPr="00330B1A" w:rsidRDefault="008F2EFB" w:rsidP="00C52107">
      <w:pPr>
        <w:pStyle w:val="BlockText"/>
      </w:pPr>
      <w:r w:rsidRPr="00330B1A">
        <w:t>Respectfully Submitted,</w:t>
      </w:r>
    </w:p>
    <w:p w:rsidR="008F2EFB" w:rsidRPr="00330B1A" w:rsidRDefault="008F2EFB" w:rsidP="00C52107">
      <w:pPr>
        <w:pStyle w:val="BlockText"/>
      </w:pPr>
    </w:p>
    <w:p w:rsidR="008F2EFB" w:rsidRPr="002C4661" w:rsidRDefault="008F2EFB" w:rsidP="00C52107">
      <w:pPr>
        <w:pStyle w:val="BlockText"/>
        <w:rPr>
          <w:sz w:val="28"/>
          <w:szCs w:val="28"/>
        </w:rPr>
      </w:pPr>
      <w:r w:rsidRPr="00330B1A">
        <w:t xml:space="preserve">Nicholas </w:t>
      </w:r>
      <w:r w:rsidRPr="00BC6ACE">
        <w:t>Ceavers, Esq.</w:t>
      </w:r>
    </w:p>
    <w:sectPr w:rsidR="008F2EFB" w:rsidRPr="002C46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7E6" w:rsidRDefault="003D37E6" w:rsidP="003439C1">
      <w:r>
        <w:separator/>
      </w:r>
    </w:p>
  </w:endnote>
  <w:endnote w:type="continuationSeparator" w:id="0">
    <w:p w:rsidR="003D37E6" w:rsidRDefault="003D37E6" w:rsidP="0034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66456873"/>
      <w:docPartObj>
        <w:docPartGallery w:val="Page Numbers (Bottom of Page)"/>
        <w:docPartUnique/>
      </w:docPartObj>
    </w:sdtPr>
    <w:sdtEndPr/>
    <w:sdtContent>
      <w:sdt>
        <w:sdtPr>
          <w:rPr>
            <w:rFonts w:ascii="Times New Roman" w:hAnsi="Times New Roman" w:cs="Times New Roman"/>
            <w:sz w:val="24"/>
            <w:szCs w:val="24"/>
          </w:rPr>
          <w:id w:val="860082579"/>
          <w:docPartObj>
            <w:docPartGallery w:val="Page Numbers (Top of Page)"/>
            <w:docPartUnique/>
          </w:docPartObj>
        </w:sdtPr>
        <w:sdtEndPr/>
        <w:sdtContent>
          <w:p w:rsidR="003439C1" w:rsidRPr="003439C1" w:rsidRDefault="003439C1">
            <w:pPr>
              <w:pStyle w:val="Footer"/>
              <w:jc w:val="right"/>
              <w:rPr>
                <w:rFonts w:ascii="Times New Roman" w:hAnsi="Times New Roman" w:cs="Times New Roman"/>
                <w:sz w:val="24"/>
                <w:szCs w:val="24"/>
              </w:rPr>
            </w:pPr>
            <w:r w:rsidRPr="003439C1">
              <w:rPr>
                <w:rFonts w:ascii="Times New Roman" w:hAnsi="Times New Roman" w:cs="Times New Roman"/>
                <w:sz w:val="24"/>
                <w:szCs w:val="24"/>
              </w:rPr>
              <w:t xml:space="preserve">Page </w:t>
            </w:r>
            <w:r w:rsidRPr="003439C1">
              <w:rPr>
                <w:rFonts w:ascii="Times New Roman" w:hAnsi="Times New Roman" w:cs="Times New Roman"/>
                <w:b/>
                <w:bCs/>
                <w:sz w:val="24"/>
                <w:szCs w:val="24"/>
              </w:rPr>
              <w:fldChar w:fldCharType="begin"/>
            </w:r>
            <w:r w:rsidRPr="003439C1">
              <w:rPr>
                <w:rFonts w:ascii="Times New Roman" w:hAnsi="Times New Roman" w:cs="Times New Roman"/>
                <w:b/>
                <w:bCs/>
                <w:sz w:val="24"/>
                <w:szCs w:val="24"/>
              </w:rPr>
              <w:instrText xml:space="preserve"> PAGE </w:instrText>
            </w:r>
            <w:r w:rsidRPr="003439C1">
              <w:rPr>
                <w:rFonts w:ascii="Times New Roman" w:hAnsi="Times New Roman" w:cs="Times New Roman"/>
                <w:b/>
                <w:bCs/>
                <w:sz w:val="24"/>
                <w:szCs w:val="24"/>
              </w:rPr>
              <w:fldChar w:fldCharType="separate"/>
            </w:r>
            <w:r w:rsidR="00F71556">
              <w:rPr>
                <w:rFonts w:ascii="Times New Roman" w:hAnsi="Times New Roman" w:cs="Times New Roman"/>
                <w:b/>
                <w:bCs/>
                <w:noProof/>
                <w:sz w:val="24"/>
                <w:szCs w:val="24"/>
              </w:rPr>
              <w:t>1</w:t>
            </w:r>
            <w:r w:rsidRPr="003439C1">
              <w:rPr>
                <w:rFonts w:ascii="Times New Roman" w:hAnsi="Times New Roman" w:cs="Times New Roman"/>
                <w:b/>
                <w:bCs/>
                <w:sz w:val="24"/>
                <w:szCs w:val="24"/>
              </w:rPr>
              <w:fldChar w:fldCharType="end"/>
            </w:r>
            <w:r w:rsidRPr="003439C1">
              <w:rPr>
                <w:rFonts w:ascii="Times New Roman" w:hAnsi="Times New Roman" w:cs="Times New Roman"/>
                <w:sz w:val="24"/>
                <w:szCs w:val="24"/>
              </w:rPr>
              <w:t xml:space="preserve"> of </w:t>
            </w:r>
            <w:r w:rsidRPr="003439C1">
              <w:rPr>
                <w:rFonts w:ascii="Times New Roman" w:hAnsi="Times New Roman" w:cs="Times New Roman"/>
                <w:b/>
                <w:bCs/>
                <w:sz w:val="24"/>
                <w:szCs w:val="24"/>
              </w:rPr>
              <w:fldChar w:fldCharType="begin"/>
            </w:r>
            <w:r w:rsidRPr="003439C1">
              <w:rPr>
                <w:rFonts w:ascii="Times New Roman" w:hAnsi="Times New Roman" w:cs="Times New Roman"/>
                <w:b/>
                <w:bCs/>
                <w:sz w:val="24"/>
                <w:szCs w:val="24"/>
              </w:rPr>
              <w:instrText xml:space="preserve"> NUMPAGES  </w:instrText>
            </w:r>
            <w:r w:rsidRPr="003439C1">
              <w:rPr>
                <w:rFonts w:ascii="Times New Roman" w:hAnsi="Times New Roman" w:cs="Times New Roman"/>
                <w:b/>
                <w:bCs/>
                <w:sz w:val="24"/>
                <w:szCs w:val="24"/>
              </w:rPr>
              <w:fldChar w:fldCharType="separate"/>
            </w:r>
            <w:r w:rsidR="00F71556">
              <w:rPr>
                <w:rFonts w:ascii="Times New Roman" w:hAnsi="Times New Roman" w:cs="Times New Roman"/>
                <w:b/>
                <w:bCs/>
                <w:noProof/>
                <w:sz w:val="24"/>
                <w:szCs w:val="24"/>
              </w:rPr>
              <w:t>3</w:t>
            </w:r>
            <w:r w:rsidRPr="003439C1">
              <w:rPr>
                <w:rFonts w:ascii="Times New Roman" w:hAnsi="Times New Roman" w:cs="Times New Roman"/>
                <w:b/>
                <w:bCs/>
                <w:sz w:val="24"/>
                <w:szCs w:val="24"/>
              </w:rPr>
              <w:fldChar w:fldCharType="end"/>
            </w:r>
          </w:p>
        </w:sdtContent>
      </w:sdt>
    </w:sdtContent>
  </w:sdt>
  <w:p w:rsidR="003439C1" w:rsidRDefault="00343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7E6" w:rsidRDefault="003D37E6" w:rsidP="003439C1">
      <w:r>
        <w:separator/>
      </w:r>
    </w:p>
  </w:footnote>
  <w:footnote w:type="continuationSeparator" w:id="0">
    <w:p w:rsidR="003D37E6" w:rsidRDefault="003D37E6" w:rsidP="00343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A0"/>
    <w:rsid w:val="00041FE3"/>
    <w:rsid w:val="00052A4F"/>
    <w:rsid w:val="000C7B0B"/>
    <w:rsid w:val="000D4C20"/>
    <w:rsid w:val="000E1E9F"/>
    <w:rsid w:val="000F23D9"/>
    <w:rsid w:val="00112A14"/>
    <w:rsid w:val="00115F52"/>
    <w:rsid w:val="00144058"/>
    <w:rsid w:val="00155770"/>
    <w:rsid w:val="00187EBA"/>
    <w:rsid w:val="0019693E"/>
    <w:rsid w:val="0019766E"/>
    <w:rsid w:val="001B5EDE"/>
    <w:rsid w:val="001E7EDC"/>
    <w:rsid w:val="00280A26"/>
    <w:rsid w:val="0028660B"/>
    <w:rsid w:val="002C4661"/>
    <w:rsid w:val="002C6C3B"/>
    <w:rsid w:val="002F5B1D"/>
    <w:rsid w:val="003127B3"/>
    <w:rsid w:val="00330B1A"/>
    <w:rsid w:val="003439C1"/>
    <w:rsid w:val="0035091A"/>
    <w:rsid w:val="003830CC"/>
    <w:rsid w:val="003C03B1"/>
    <w:rsid w:val="003C1D0A"/>
    <w:rsid w:val="003C45BB"/>
    <w:rsid w:val="003D37E6"/>
    <w:rsid w:val="003D6121"/>
    <w:rsid w:val="003E2C5E"/>
    <w:rsid w:val="003F106C"/>
    <w:rsid w:val="004016CE"/>
    <w:rsid w:val="00410171"/>
    <w:rsid w:val="004505F2"/>
    <w:rsid w:val="004523B9"/>
    <w:rsid w:val="004921FD"/>
    <w:rsid w:val="004B0295"/>
    <w:rsid w:val="004C7283"/>
    <w:rsid w:val="004D420D"/>
    <w:rsid w:val="004F418F"/>
    <w:rsid w:val="00522B11"/>
    <w:rsid w:val="00523125"/>
    <w:rsid w:val="00535A6D"/>
    <w:rsid w:val="00553E2F"/>
    <w:rsid w:val="00574AD3"/>
    <w:rsid w:val="0057536B"/>
    <w:rsid w:val="005A3AE6"/>
    <w:rsid w:val="005B0894"/>
    <w:rsid w:val="006045F7"/>
    <w:rsid w:val="00630113"/>
    <w:rsid w:val="0065429C"/>
    <w:rsid w:val="00676DD2"/>
    <w:rsid w:val="006A2CC0"/>
    <w:rsid w:val="006F38FA"/>
    <w:rsid w:val="00711616"/>
    <w:rsid w:val="00743538"/>
    <w:rsid w:val="00747097"/>
    <w:rsid w:val="007541CF"/>
    <w:rsid w:val="00776417"/>
    <w:rsid w:val="007816DF"/>
    <w:rsid w:val="00785BAC"/>
    <w:rsid w:val="007D38E6"/>
    <w:rsid w:val="007E4E16"/>
    <w:rsid w:val="008302DA"/>
    <w:rsid w:val="00867D12"/>
    <w:rsid w:val="008A0405"/>
    <w:rsid w:val="008C0C22"/>
    <w:rsid w:val="008F2EFB"/>
    <w:rsid w:val="00946337"/>
    <w:rsid w:val="009975B9"/>
    <w:rsid w:val="009A25B4"/>
    <w:rsid w:val="009B52AB"/>
    <w:rsid w:val="009C1145"/>
    <w:rsid w:val="009F4151"/>
    <w:rsid w:val="00A0114F"/>
    <w:rsid w:val="00A15F18"/>
    <w:rsid w:val="00A409A0"/>
    <w:rsid w:val="00A462B0"/>
    <w:rsid w:val="00A7196B"/>
    <w:rsid w:val="00AD2245"/>
    <w:rsid w:val="00AF2BFB"/>
    <w:rsid w:val="00B17E00"/>
    <w:rsid w:val="00B25217"/>
    <w:rsid w:val="00B634F1"/>
    <w:rsid w:val="00B75E09"/>
    <w:rsid w:val="00B838C3"/>
    <w:rsid w:val="00B847F1"/>
    <w:rsid w:val="00BC4C29"/>
    <w:rsid w:val="00BC6ACE"/>
    <w:rsid w:val="00BD257A"/>
    <w:rsid w:val="00BE5498"/>
    <w:rsid w:val="00BF46CF"/>
    <w:rsid w:val="00C52107"/>
    <w:rsid w:val="00C54143"/>
    <w:rsid w:val="00C65BAC"/>
    <w:rsid w:val="00C67798"/>
    <w:rsid w:val="00C83020"/>
    <w:rsid w:val="00CB27B3"/>
    <w:rsid w:val="00CB3EB6"/>
    <w:rsid w:val="00CF4286"/>
    <w:rsid w:val="00D36E5F"/>
    <w:rsid w:val="00D53484"/>
    <w:rsid w:val="00D61D61"/>
    <w:rsid w:val="00D67849"/>
    <w:rsid w:val="00DA180C"/>
    <w:rsid w:val="00DC2378"/>
    <w:rsid w:val="00E1253C"/>
    <w:rsid w:val="00E12E86"/>
    <w:rsid w:val="00E40BAD"/>
    <w:rsid w:val="00E575C5"/>
    <w:rsid w:val="00E64915"/>
    <w:rsid w:val="00E762A8"/>
    <w:rsid w:val="00E873A0"/>
    <w:rsid w:val="00E973A8"/>
    <w:rsid w:val="00EC5E7C"/>
    <w:rsid w:val="00EC7888"/>
    <w:rsid w:val="00EF0266"/>
    <w:rsid w:val="00EF2173"/>
    <w:rsid w:val="00EF6A7F"/>
    <w:rsid w:val="00F12594"/>
    <w:rsid w:val="00F410BB"/>
    <w:rsid w:val="00F41DEF"/>
    <w:rsid w:val="00F71556"/>
    <w:rsid w:val="00F96255"/>
    <w:rsid w:val="00FD5BEE"/>
    <w:rsid w:val="00FE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qFormat/>
    <w:rsid w:val="002C4661"/>
    <w:pPr>
      <w:jc w:val="both"/>
    </w:pPr>
    <w:rPr>
      <w:rFonts w:ascii="Times New Roman" w:eastAsiaTheme="minorEastAsia" w:hAnsi="Times New Roman"/>
      <w:iCs/>
      <w:sz w:val="24"/>
      <w:szCs w:val="24"/>
    </w:rPr>
  </w:style>
  <w:style w:type="paragraph" w:styleId="Header">
    <w:name w:val="header"/>
    <w:basedOn w:val="Normal"/>
    <w:link w:val="HeaderChar"/>
    <w:uiPriority w:val="99"/>
    <w:unhideWhenUsed/>
    <w:rsid w:val="003439C1"/>
    <w:pPr>
      <w:tabs>
        <w:tab w:val="center" w:pos="4680"/>
        <w:tab w:val="right" w:pos="9360"/>
      </w:tabs>
    </w:pPr>
  </w:style>
  <w:style w:type="character" w:customStyle="1" w:styleId="HeaderChar">
    <w:name w:val="Header Char"/>
    <w:basedOn w:val="DefaultParagraphFont"/>
    <w:link w:val="Header"/>
    <w:uiPriority w:val="99"/>
    <w:rsid w:val="003439C1"/>
  </w:style>
  <w:style w:type="paragraph" w:styleId="Footer">
    <w:name w:val="footer"/>
    <w:basedOn w:val="Normal"/>
    <w:link w:val="FooterChar"/>
    <w:uiPriority w:val="99"/>
    <w:unhideWhenUsed/>
    <w:rsid w:val="003439C1"/>
    <w:pPr>
      <w:tabs>
        <w:tab w:val="center" w:pos="4680"/>
        <w:tab w:val="right" w:pos="9360"/>
      </w:tabs>
    </w:pPr>
  </w:style>
  <w:style w:type="character" w:customStyle="1" w:styleId="FooterChar">
    <w:name w:val="Footer Char"/>
    <w:basedOn w:val="DefaultParagraphFont"/>
    <w:link w:val="Footer"/>
    <w:uiPriority w:val="99"/>
    <w:rsid w:val="003439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qFormat/>
    <w:rsid w:val="002C4661"/>
    <w:pPr>
      <w:jc w:val="both"/>
    </w:pPr>
    <w:rPr>
      <w:rFonts w:ascii="Times New Roman" w:eastAsiaTheme="minorEastAsia" w:hAnsi="Times New Roman"/>
      <w:iCs/>
      <w:sz w:val="24"/>
      <w:szCs w:val="24"/>
    </w:rPr>
  </w:style>
  <w:style w:type="paragraph" w:styleId="Header">
    <w:name w:val="header"/>
    <w:basedOn w:val="Normal"/>
    <w:link w:val="HeaderChar"/>
    <w:uiPriority w:val="99"/>
    <w:unhideWhenUsed/>
    <w:rsid w:val="003439C1"/>
    <w:pPr>
      <w:tabs>
        <w:tab w:val="center" w:pos="4680"/>
        <w:tab w:val="right" w:pos="9360"/>
      </w:tabs>
    </w:pPr>
  </w:style>
  <w:style w:type="character" w:customStyle="1" w:styleId="HeaderChar">
    <w:name w:val="Header Char"/>
    <w:basedOn w:val="DefaultParagraphFont"/>
    <w:link w:val="Header"/>
    <w:uiPriority w:val="99"/>
    <w:rsid w:val="003439C1"/>
  </w:style>
  <w:style w:type="paragraph" w:styleId="Footer">
    <w:name w:val="footer"/>
    <w:basedOn w:val="Normal"/>
    <w:link w:val="FooterChar"/>
    <w:uiPriority w:val="99"/>
    <w:unhideWhenUsed/>
    <w:rsid w:val="003439C1"/>
    <w:pPr>
      <w:tabs>
        <w:tab w:val="center" w:pos="4680"/>
        <w:tab w:val="right" w:pos="9360"/>
      </w:tabs>
    </w:pPr>
  </w:style>
  <w:style w:type="character" w:customStyle="1" w:styleId="FooterChar">
    <w:name w:val="Footer Char"/>
    <w:basedOn w:val="DefaultParagraphFont"/>
    <w:link w:val="Footer"/>
    <w:uiPriority w:val="99"/>
    <w:rsid w:val="00343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7231">
      <w:bodyDiv w:val="1"/>
      <w:marLeft w:val="0"/>
      <w:marRight w:val="0"/>
      <w:marTop w:val="0"/>
      <w:marBottom w:val="0"/>
      <w:divBdr>
        <w:top w:val="none" w:sz="0" w:space="0" w:color="auto"/>
        <w:left w:val="none" w:sz="0" w:space="0" w:color="auto"/>
        <w:bottom w:val="none" w:sz="0" w:space="0" w:color="auto"/>
        <w:right w:val="none" w:sz="0" w:space="0" w:color="auto"/>
      </w:divBdr>
      <w:divsChild>
        <w:div w:id="303778701">
          <w:marLeft w:val="0"/>
          <w:marRight w:val="0"/>
          <w:marTop w:val="0"/>
          <w:marBottom w:val="0"/>
          <w:divBdr>
            <w:top w:val="none" w:sz="0" w:space="0" w:color="auto"/>
            <w:left w:val="none" w:sz="0" w:space="0" w:color="auto"/>
            <w:bottom w:val="none" w:sz="0" w:space="0" w:color="auto"/>
            <w:right w:val="none" w:sz="0" w:space="0" w:color="auto"/>
          </w:divBdr>
          <w:divsChild>
            <w:div w:id="8046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5278">
      <w:bodyDiv w:val="1"/>
      <w:marLeft w:val="0"/>
      <w:marRight w:val="0"/>
      <w:marTop w:val="0"/>
      <w:marBottom w:val="0"/>
      <w:divBdr>
        <w:top w:val="none" w:sz="0" w:space="0" w:color="auto"/>
        <w:left w:val="none" w:sz="0" w:space="0" w:color="auto"/>
        <w:bottom w:val="none" w:sz="0" w:space="0" w:color="auto"/>
        <w:right w:val="none" w:sz="0" w:space="0" w:color="auto"/>
      </w:divBdr>
      <w:divsChild>
        <w:div w:id="917519772">
          <w:marLeft w:val="0"/>
          <w:marRight w:val="0"/>
          <w:marTop w:val="0"/>
          <w:marBottom w:val="0"/>
          <w:divBdr>
            <w:top w:val="none" w:sz="0" w:space="0" w:color="auto"/>
            <w:left w:val="none" w:sz="0" w:space="0" w:color="auto"/>
            <w:bottom w:val="none" w:sz="0" w:space="0" w:color="auto"/>
            <w:right w:val="none" w:sz="0" w:space="0" w:color="auto"/>
          </w:divBdr>
          <w:divsChild>
            <w:div w:id="19071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2293">
      <w:bodyDiv w:val="1"/>
      <w:marLeft w:val="0"/>
      <w:marRight w:val="0"/>
      <w:marTop w:val="0"/>
      <w:marBottom w:val="0"/>
      <w:divBdr>
        <w:top w:val="none" w:sz="0" w:space="0" w:color="auto"/>
        <w:left w:val="none" w:sz="0" w:space="0" w:color="auto"/>
        <w:bottom w:val="none" w:sz="0" w:space="0" w:color="auto"/>
        <w:right w:val="none" w:sz="0" w:space="0" w:color="auto"/>
      </w:divBdr>
      <w:divsChild>
        <w:div w:id="472019104">
          <w:marLeft w:val="0"/>
          <w:marRight w:val="0"/>
          <w:marTop w:val="0"/>
          <w:marBottom w:val="0"/>
          <w:divBdr>
            <w:top w:val="none" w:sz="0" w:space="0" w:color="auto"/>
            <w:left w:val="none" w:sz="0" w:space="0" w:color="auto"/>
            <w:bottom w:val="none" w:sz="0" w:space="0" w:color="auto"/>
            <w:right w:val="none" w:sz="0" w:space="0" w:color="auto"/>
          </w:divBdr>
          <w:divsChild>
            <w:div w:id="91305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42754">
      <w:bodyDiv w:val="1"/>
      <w:marLeft w:val="0"/>
      <w:marRight w:val="0"/>
      <w:marTop w:val="0"/>
      <w:marBottom w:val="0"/>
      <w:divBdr>
        <w:top w:val="none" w:sz="0" w:space="0" w:color="auto"/>
        <w:left w:val="none" w:sz="0" w:space="0" w:color="auto"/>
        <w:bottom w:val="none" w:sz="0" w:space="0" w:color="auto"/>
        <w:right w:val="none" w:sz="0" w:space="0" w:color="auto"/>
      </w:divBdr>
      <w:divsChild>
        <w:div w:id="2003389170">
          <w:marLeft w:val="0"/>
          <w:marRight w:val="0"/>
          <w:marTop w:val="0"/>
          <w:marBottom w:val="0"/>
          <w:divBdr>
            <w:top w:val="none" w:sz="0" w:space="0" w:color="auto"/>
            <w:left w:val="none" w:sz="0" w:space="0" w:color="auto"/>
            <w:bottom w:val="none" w:sz="0" w:space="0" w:color="auto"/>
            <w:right w:val="none" w:sz="0" w:space="0" w:color="auto"/>
          </w:divBdr>
          <w:divsChild>
            <w:div w:id="12716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0799">
      <w:bodyDiv w:val="1"/>
      <w:marLeft w:val="0"/>
      <w:marRight w:val="0"/>
      <w:marTop w:val="0"/>
      <w:marBottom w:val="0"/>
      <w:divBdr>
        <w:top w:val="none" w:sz="0" w:space="0" w:color="auto"/>
        <w:left w:val="none" w:sz="0" w:space="0" w:color="auto"/>
        <w:bottom w:val="none" w:sz="0" w:space="0" w:color="auto"/>
        <w:right w:val="none" w:sz="0" w:space="0" w:color="auto"/>
      </w:divBdr>
      <w:divsChild>
        <w:div w:id="889196417">
          <w:marLeft w:val="0"/>
          <w:marRight w:val="0"/>
          <w:marTop w:val="0"/>
          <w:marBottom w:val="0"/>
          <w:divBdr>
            <w:top w:val="none" w:sz="0" w:space="0" w:color="auto"/>
            <w:left w:val="none" w:sz="0" w:space="0" w:color="auto"/>
            <w:bottom w:val="none" w:sz="0" w:space="0" w:color="auto"/>
            <w:right w:val="none" w:sz="0" w:space="0" w:color="auto"/>
          </w:divBdr>
          <w:divsChild>
            <w:div w:id="8975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4167">
      <w:bodyDiv w:val="1"/>
      <w:marLeft w:val="0"/>
      <w:marRight w:val="0"/>
      <w:marTop w:val="0"/>
      <w:marBottom w:val="0"/>
      <w:divBdr>
        <w:top w:val="none" w:sz="0" w:space="0" w:color="auto"/>
        <w:left w:val="none" w:sz="0" w:space="0" w:color="auto"/>
        <w:bottom w:val="none" w:sz="0" w:space="0" w:color="auto"/>
        <w:right w:val="none" w:sz="0" w:space="0" w:color="auto"/>
      </w:divBdr>
      <w:divsChild>
        <w:div w:id="1893275509">
          <w:marLeft w:val="0"/>
          <w:marRight w:val="0"/>
          <w:marTop w:val="0"/>
          <w:marBottom w:val="0"/>
          <w:divBdr>
            <w:top w:val="none" w:sz="0" w:space="0" w:color="auto"/>
            <w:left w:val="none" w:sz="0" w:space="0" w:color="auto"/>
            <w:bottom w:val="none" w:sz="0" w:space="0" w:color="auto"/>
            <w:right w:val="none" w:sz="0" w:space="0" w:color="auto"/>
          </w:divBdr>
          <w:divsChild>
            <w:div w:id="14331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60595">
      <w:bodyDiv w:val="1"/>
      <w:marLeft w:val="0"/>
      <w:marRight w:val="0"/>
      <w:marTop w:val="0"/>
      <w:marBottom w:val="0"/>
      <w:divBdr>
        <w:top w:val="none" w:sz="0" w:space="0" w:color="auto"/>
        <w:left w:val="none" w:sz="0" w:space="0" w:color="auto"/>
        <w:bottom w:val="none" w:sz="0" w:space="0" w:color="auto"/>
        <w:right w:val="none" w:sz="0" w:space="0" w:color="auto"/>
      </w:divBdr>
      <w:divsChild>
        <w:div w:id="1614747496">
          <w:marLeft w:val="0"/>
          <w:marRight w:val="0"/>
          <w:marTop w:val="0"/>
          <w:marBottom w:val="0"/>
          <w:divBdr>
            <w:top w:val="none" w:sz="0" w:space="0" w:color="auto"/>
            <w:left w:val="none" w:sz="0" w:space="0" w:color="auto"/>
            <w:bottom w:val="none" w:sz="0" w:space="0" w:color="auto"/>
            <w:right w:val="none" w:sz="0" w:space="0" w:color="auto"/>
          </w:divBdr>
          <w:divsChild>
            <w:div w:id="14740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3</Pages>
  <Words>1316</Words>
  <Characters>7505</Characters>
  <Application>Microsoft Office Word</Application>
  <DocSecurity>0</DocSecurity>
  <PresentationFormat>14|.DOCX</PresentationFormat>
  <Lines>62</Lines>
  <Paragraphs>17</Paragraphs>
  <ScaleCrop>false</ScaleCrop>
  <HeadingPairs>
    <vt:vector size="2" baseType="variant">
      <vt:variant>
        <vt:lpstr>Title</vt:lpstr>
      </vt:variant>
      <vt:variant>
        <vt:i4>1</vt:i4>
      </vt:variant>
    </vt:vector>
  </HeadingPairs>
  <TitlesOfParts>
    <vt:vector size="1" baseType="lpstr">
      <vt:lpstr/>
    </vt:vector>
  </TitlesOfParts>
  <Company>Smith, Currie &amp; Hancock</Company>
  <LinksUpToDate>false</LinksUpToDate>
  <CharactersWithSpaces>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Ceavers, Nicholas</dc:creator>
  <cp:keywords/>
  <dc:description/>
  <cp:lastModifiedBy>Nicholas</cp:lastModifiedBy>
  <cp:revision>50</cp:revision>
  <dcterms:created xsi:type="dcterms:W3CDTF">2014-05-28T18:40:00Z</dcterms:created>
  <dcterms:modified xsi:type="dcterms:W3CDTF">2014-05-29T14:11:00Z</dcterms:modified>
</cp:coreProperties>
</file>