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013A" w:rsidRDefault="00D75B92" w:rsidP="002034B0">
      <w:pPr>
        <w:spacing w:line="240" w:lineRule="auto"/>
        <w:contextualSpacing/>
        <w:jc w:val="center"/>
      </w:pPr>
      <w:r>
        <w:t>SMALL BUSINESS PROGRAMS</w:t>
      </w:r>
    </w:p>
    <w:p w:rsidR="00D75B92" w:rsidRDefault="00D75B92" w:rsidP="002034B0">
      <w:pPr>
        <w:spacing w:line="240" w:lineRule="auto"/>
        <w:contextualSpacing/>
        <w:jc w:val="center"/>
      </w:pPr>
      <w:r>
        <w:t>SUB COMMITTEE</w:t>
      </w:r>
    </w:p>
    <w:p w:rsidR="00D75B92" w:rsidRDefault="00562F9B" w:rsidP="002034B0">
      <w:pPr>
        <w:spacing w:line="240" w:lineRule="auto"/>
        <w:contextualSpacing/>
        <w:jc w:val="center"/>
      </w:pPr>
      <w:r>
        <w:t>FEBRUARY</w:t>
      </w:r>
      <w:r w:rsidR="00D75B92">
        <w:t xml:space="preserve"> 2014 REPORT</w:t>
      </w:r>
    </w:p>
    <w:p w:rsidR="002034B0" w:rsidRDefault="002034B0" w:rsidP="002034B0">
      <w:pPr>
        <w:spacing w:line="240" w:lineRule="auto"/>
        <w:contextualSpacing/>
        <w:jc w:val="center"/>
      </w:pPr>
      <w:r>
        <w:t>By</w:t>
      </w:r>
    </w:p>
    <w:p w:rsidR="002034B0" w:rsidRDefault="002034B0" w:rsidP="002034B0">
      <w:pPr>
        <w:spacing w:line="240" w:lineRule="auto"/>
        <w:contextualSpacing/>
        <w:jc w:val="center"/>
      </w:pPr>
      <w:r>
        <w:t>Lisa Colon Heron</w:t>
      </w:r>
    </w:p>
    <w:p w:rsidR="002034B0" w:rsidRDefault="002034B0" w:rsidP="002034B0">
      <w:pPr>
        <w:spacing w:line="240" w:lineRule="auto"/>
        <w:contextualSpacing/>
        <w:jc w:val="center"/>
      </w:pPr>
      <w:r>
        <w:t>Smith, Currie &amp; Hancock, LLP</w:t>
      </w:r>
    </w:p>
    <w:p w:rsidR="00D75B92" w:rsidRDefault="00D75B92" w:rsidP="00562F9B">
      <w:pPr>
        <w:jc w:val="center"/>
      </w:pPr>
    </w:p>
    <w:p w:rsidR="00D75B92" w:rsidRPr="00DF475D" w:rsidRDefault="00D75B92" w:rsidP="00DF475D">
      <w:pPr>
        <w:rPr>
          <w:b/>
        </w:rPr>
      </w:pPr>
      <w:r w:rsidRPr="00DF475D">
        <w:rPr>
          <w:b/>
        </w:rPr>
        <w:t>IN THE NEWS</w:t>
      </w:r>
    </w:p>
    <w:p w:rsidR="00562F9B" w:rsidRPr="001A7BAB" w:rsidRDefault="00562F9B" w:rsidP="00EB3173">
      <w:pPr>
        <w:ind w:left="720" w:hanging="720"/>
        <w:rPr>
          <w:b/>
          <w:color w:val="FF0000"/>
        </w:rPr>
      </w:pPr>
      <w:r>
        <w:t>A.</w:t>
      </w:r>
      <w:r>
        <w:tab/>
      </w:r>
      <w:r w:rsidRPr="001A7BAB">
        <w:rPr>
          <w:b/>
          <w:color w:val="FF0000"/>
        </w:rPr>
        <w:t>FORMER EXECUTIVES SENTENCED IN</w:t>
      </w:r>
      <w:r w:rsidR="00EB3173">
        <w:rPr>
          <w:b/>
          <w:color w:val="FF0000"/>
        </w:rPr>
        <w:t xml:space="preserve"> LARGEST</w:t>
      </w:r>
      <w:r w:rsidRPr="001A7BAB">
        <w:rPr>
          <w:b/>
          <w:color w:val="FF0000"/>
        </w:rPr>
        <w:t xml:space="preserve"> DBE FRAUD</w:t>
      </w:r>
      <w:r w:rsidR="00EB3173">
        <w:rPr>
          <w:b/>
          <w:color w:val="FF0000"/>
        </w:rPr>
        <w:t xml:space="preserve"> CASE</w:t>
      </w:r>
      <w:r w:rsidRPr="001A7BAB">
        <w:rPr>
          <w:b/>
          <w:color w:val="FF0000"/>
        </w:rPr>
        <w:t xml:space="preserve"> IN U.S. HISTORY</w:t>
      </w:r>
    </w:p>
    <w:p w:rsidR="00D75B92" w:rsidRDefault="00D75B92" w:rsidP="001A7BAB">
      <w:pPr>
        <w:ind w:firstLine="720"/>
        <w:jc w:val="both"/>
      </w:pPr>
      <w:r>
        <w:t>Former Vice President</w:t>
      </w:r>
      <w:r w:rsidR="0044083C">
        <w:t>s</w:t>
      </w:r>
      <w:r>
        <w:t xml:space="preserve"> of Schuylkill Product</w:t>
      </w:r>
      <w:r w:rsidR="0044083C">
        <w:t xml:space="preserve"> Inc. </w:t>
      </w:r>
      <w:r w:rsidR="00DD4C8A">
        <w:t xml:space="preserve">(SPI) </w:t>
      </w:r>
      <w:r w:rsidR="0044083C">
        <w:t xml:space="preserve">Dennis Campbell and Timothy Hubler were </w:t>
      </w:r>
      <w:r w:rsidR="002034B0">
        <w:t>sentenced</w:t>
      </w:r>
      <w:r w:rsidR="0044083C">
        <w:t xml:space="preserve"> to 24 months and 33 months respectively in what has been called the largest Disadvantaged Business Enterprise (DBE) fraud in U.S. history. </w:t>
      </w:r>
      <w:r w:rsidR="00804AA2">
        <w:t xml:space="preserve"> Both have been ordered to </w:t>
      </w:r>
      <w:r w:rsidR="00DD4C8A">
        <w:t xml:space="preserve">pay </w:t>
      </w:r>
      <w:r w:rsidR="00804AA2">
        <w:t xml:space="preserve">$119 million in restitution to the U.S. Department of Transportation. </w:t>
      </w:r>
      <w:r w:rsidR="000E4BE4">
        <w:t xml:space="preserve"> Both men are to surrender to the Federal Bureau of Prisons by February 27, 2014. </w:t>
      </w:r>
    </w:p>
    <w:p w:rsidR="00804AA2" w:rsidRDefault="00804AA2" w:rsidP="001A7BAB">
      <w:pPr>
        <w:ind w:firstLine="720"/>
        <w:jc w:val="both"/>
      </w:pPr>
      <w:r>
        <w:t>The case</w:t>
      </w:r>
      <w:r w:rsidR="006F2C50">
        <w:t xml:space="preserve"> stems from a </w:t>
      </w:r>
      <w:r w:rsidR="000E4BE4">
        <w:t xml:space="preserve">front operation. Marikina Construction Corporation, a DBE firm operated as a front for SPI to gain DBE contracts. </w:t>
      </w:r>
      <w:r w:rsidR="00DD4C8A">
        <w:t xml:space="preserve"> SPI manufactured concrete bridge beams as well as other construction products.  </w:t>
      </w:r>
      <w:r w:rsidR="00130BE9">
        <w:t>According to the U.S.</w:t>
      </w:r>
      <w:r w:rsidR="00FF62EA">
        <w:t xml:space="preserve"> Assistant</w:t>
      </w:r>
      <w:r w:rsidR="00130BE9">
        <w:t xml:space="preserve"> Attorney the DBE fraud lasted over 15 years and involved over $136 million in government contracts in </w:t>
      </w:r>
      <w:r w:rsidR="001F6276">
        <w:t>Pennsylvania</w:t>
      </w:r>
      <w:r w:rsidR="00130BE9">
        <w:t xml:space="preserve"> alone.  SPI, using Marikina as a front, operated in several states in the Mid-Atlantic and New England. Marikina received the contracts on paper but all the work was performed by SPI and SPI received all the profits. </w:t>
      </w:r>
      <w:r w:rsidR="00A62B39">
        <w:t xml:space="preserve">In exchange for letting SPI use its name and DBE status, Marikina was paid a small fixed-fee set by SPI. </w:t>
      </w:r>
    </w:p>
    <w:p w:rsidR="00A62B39" w:rsidRDefault="00A62B39" w:rsidP="001A7BAB">
      <w:pPr>
        <w:ind w:firstLine="720"/>
        <w:jc w:val="both"/>
      </w:pPr>
      <w:r>
        <w:t xml:space="preserve">The scheme lasted so long because of elaborate </w:t>
      </w:r>
      <w:r w:rsidR="001F6276">
        <w:t>measures</w:t>
      </w:r>
      <w:r>
        <w:t xml:space="preserve"> used by SPI to cover its identity. SPI personnel routinely pretended to be Marikina personnel by </w:t>
      </w:r>
      <w:r w:rsidR="001F6276">
        <w:t xml:space="preserve">using </w:t>
      </w:r>
      <w:r>
        <w:t>Marikina business cards, e-mail addresses, stationery and signature stamps, as wel</w:t>
      </w:r>
      <w:r w:rsidR="001F6276">
        <w:t>l</w:t>
      </w:r>
      <w:r>
        <w:t xml:space="preserve"> as using magnetic placards and </w:t>
      </w:r>
      <w:r w:rsidR="001F6276">
        <w:t>decals</w:t>
      </w:r>
      <w:r>
        <w:t xml:space="preserve"> bearing the Marikina logo to cover up SPI’s </w:t>
      </w:r>
      <w:r w:rsidR="00AE51AB">
        <w:t>logo</w:t>
      </w:r>
      <w:r w:rsidR="003A1B9E">
        <w:t xml:space="preserve"> </w:t>
      </w:r>
      <w:r w:rsidR="00EB3173">
        <w:t>on SPI</w:t>
      </w:r>
      <w:r>
        <w:t xml:space="preserve"> vehicles. </w:t>
      </w:r>
    </w:p>
    <w:p w:rsidR="001F6276" w:rsidRDefault="00562F9B" w:rsidP="001A7BAB">
      <w:pPr>
        <w:ind w:left="720" w:hanging="720"/>
        <w:jc w:val="both"/>
      </w:pPr>
      <w:r>
        <w:t>B.</w:t>
      </w:r>
      <w:r>
        <w:tab/>
      </w:r>
      <w:r w:rsidRPr="00814E86">
        <w:rPr>
          <w:b/>
          <w:color w:val="FF0000"/>
        </w:rPr>
        <w:t>WASHINGTON STATE TRUCKING COMPANY ON TUNNEL PROJECT ACCUSED OF DBE FRAUD</w:t>
      </w:r>
      <w:r>
        <w:t>.</w:t>
      </w:r>
    </w:p>
    <w:p w:rsidR="00562F9B" w:rsidRDefault="003A1B9E" w:rsidP="001A7BAB">
      <w:pPr>
        <w:jc w:val="both"/>
      </w:pPr>
      <w:r>
        <w:tab/>
      </w:r>
      <w:r w:rsidR="00792FFC">
        <w:t xml:space="preserve">OMA a key subcontractor on the Alaskan </w:t>
      </w:r>
      <w:r w:rsidR="00670522">
        <w:t>Way</w:t>
      </w:r>
      <w:r w:rsidR="00792FFC">
        <w:t xml:space="preserve"> Viaduct replacement project is facing </w:t>
      </w:r>
      <w:r w:rsidR="00A4113A">
        <w:t>debarment</w:t>
      </w:r>
      <w:r w:rsidR="00792FFC">
        <w:t xml:space="preserve"> from Washington State’s </w:t>
      </w:r>
      <w:r w:rsidR="00A4113A">
        <w:t>DBE program. OMA won a $14 million trucking contract</w:t>
      </w:r>
      <w:r>
        <w:t xml:space="preserve"> on the project</w:t>
      </w:r>
      <w:r w:rsidR="00A4113A">
        <w:t>.</w:t>
      </w:r>
      <w:r w:rsidR="00203C68">
        <w:t xml:space="preserve"> OMA is accused of providing false information about its finances</w:t>
      </w:r>
      <w:r w:rsidR="00B17A2F">
        <w:t xml:space="preserve"> on its initial DBE application and continued to withhold mandatory information for several more years.  OMA’s owner Barry O’Young is accused of </w:t>
      </w:r>
      <w:r w:rsidR="00505606">
        <w:t xml:space="preserve">representing that </w:t>
      </w:r>
      <w:r>
        <w:t>he</w:t>
      </w:r>
      <w:r w:rsidR="00505606">
        <w:t xml:space="preserve"> had no ownership interest in any other businesses but Washington’s Secretary of State </w:t>
      </w:r>
      <w:r w:rsidR="002B1FE5">
        <w:t>business</w:t>
      </w:r>
      <w:r w:rsidR="00505606">
        <w:t xml:space="preserve"> registrations and property records show that O’Y</w:t>
      </w:r>
      <w:r w:rsidR="002B1FE5">
        <w:t>oung</w:t>
      </w:r>
      <w:r w:rsidR="00505606">
        <w:t xml:space="preserve"> owned several </w:t>
      </w:r>
      <w:r w:rsidR="001812EF">
        <w:t>restaurants</w:t>
      </w:r>
      <w:r w:rsidR="00505606">
        <w:t xml:space="preserve"> with his wife and other businesses with associates. </w:t>
      </w:r>
    </w:p>
    <w:p w:rsidR="009367DD" w:rsidRDefault="001812EF" w:rsidP="001A7BAB">
      <w:pPr>
        <w:jc w:val="both"/>
      </w:pPr>
      <w:r>
        <w:lastRenderedPageBreak/>
        <w:tab/>
        <w:t xml:space="preserve">Mr. O’Young vehemently denies the claims stating the state’s allegations “are wholly without merit and are not supported by the state or federal regulations. I am an </w:t>
      </w:r>
      <w:r w:rsidR="009367DD">
        <w:t>Asian</w:t>
      </w:r>
      <w:r>
        <w:t xml:space="preserve">-American contractor, notably the only Asian-American owned General Contractor bidding on WSDOT or other public works projects in the </w:t>
      </w:r>
      <w:r w:rsidR="009367DD">
        <w:t>state</w:t>
      </w:r>
      <w:r>
        <w:t xml:space="preserve">, and I </w:t>
      </w:r>
      <w:r w:rsidR="009367DD">
        <w:t>fully</w:t>
      </w:r>
      <w:r>
        <w:t xml:space="preserve"> control and operate by business.”</w:t>
      </w:r>
    </w:p>
    <w:p w:rsidR="00BF603F" w:rsidRDefault="00670522" w:rsidP="001A7BAB">
      <w:pPr>
        <w:jc w:val="both"/>
      </w:pPr>
      <w:r>
        <w:tab/>
        <w:t xml:space="preserve">The investigation of OMA is tied to bigger problems on </w:t>
      </w:r>
      <w:r w:rsidR="005A3E74">
        <w:t>the Alaskan</w:t>
      </w:r>
      <w:r>
        <w:t xml:space="preserve"> Way Viaduct. The main contractor, Seattle Tunnel Partners is under scrutiny </w:t>
      </w:r>
      <w:r w:rsidR="003E7735">
        <w:t xml:space="preserve">as to its adherence with </w:t>
      </w:r>
      <w:r w:rsidR="00BF6593">
        <w:t xml:space="preserve">federal and state rules requiring 8 percent of the $1.3 billion project to be subcontracted to DBEs.  A Federal Highway </w:t>
      </w:r>
      <w:r w:rsidR="005A3E74">
        <w:t>Administration</w:t>
      </w:r>
      <w:r w:rsidR="00BF6593">
        <w:t xml:space="preserve"> investigation found that STP intentionally discriminated against DBEs. </w:t>
      </w:r>
      <w:r w:rsidR="005A3E74">
        <w:t xml:space="preserve"> The investigation found that </w:t>
      </w:r>
      <w:r w:rsidR="0050221B">
        <w:t xml:space="preserve">STP erected barriers and created hardships to DBE participation.  As a result of the investigation WSDOT declared FHWA in breach of contract.  </w:t>
      </w:r>
      <w:r w:rsidR="00BF6593">
        <w:t xml:space="preserve">The FHWA also found that the WSDOT was negligent in </w:t>
      </w:r>
      <w:r w:rsidR="00D8154B">
        <w:t>overseeing</w:t>
      </w:r>
      <w:r w:rsidR="00BF6593">
        <w:t xml:space="preserve"> STP’s DBE efforts. </w:t>
      </w:r>
      <w:r w:rsidR="00D8154B">
        <w:t xml:space="preserve"> </w:t>
      </w:r>
    </w:p>
    <w:p w:rsidR="00150B95" w:rsidRDefault="00150B95" w:rsidP="00150B95">
      <w:pPr>
        <w:spacing w:line="240" w:lineRule="auto"/>
        <w:ind w:left="1440" w:hanging="720"/>
        <w:jc w:val="both"/>
      </w:pPr>
      <w:r>
        <w:t>C.</w:t>
      </w:r>
      <w:r>
        <w:tab/>
      </w:r>
      <w:r w:rsidRPr="00150B95">
        <w:rPr>
          <w:b/>
          <w:caps/>
          <w:color w:val="C00000"/>
        </w:rPr>
        <w:t>WSDOT Disparity Study Shows White Women Owned Business</w:t>
      </w:r>
      <w:r>
        <w:rPr>
          <w:b/>
          <w:caps/>
          <w:color w:val="C00000"/>
        </w:rPr>
        <w:t xml:space="preserve">es </w:t>
      </w:r>
      <w:r w:rsidRPr="00150B95">
        <w:rPr>
          <w:b/>
          <w:caps/>
          <w:color w:val="C00000"/>
        </w:rPr>
        <w:t>have achieved contracting parity</w:t>
      </w:r>
      <w:r>
        <w:t xml:space="preserve">. </w:t>
      </w:r>
    </w:p>
    <w:p w:rsidR="00BF603F" w:rsidRDefault="00BF603F" w:rsidP="00DC4D79">
      <w:pPr>
        <w:ind w:firstLine="720"/>
        <w:jc w:val="both"/>
      </w:pPr>
      <w:r>
        <w:t>WSDOT disparity study conclu</w:t>
      </w:r>
      <w:r w:rsidR="00C52B69">
        <w:t xml:space="preserve">des that firms owned by white women have parity in receiving WSDOT contracts.  Based on the study WSDOT is seeking a waiver from the U.S. Department of Transportation to remove white women-owned </w:t>
      </w:r>
      <w:r w:rsidR="00164648">
        <w:t>firms</w:t>
      </w:r>
      <w:r w:rsidR="00C52B69">
        <w:t xml:space="preserve"> from being counted toward project DBE </w:t>
      </w:r>
      <w:r w:rsidR="00164648">
        <w:t>goals</w:t>
      </w:r>
      <w:r w:rsidR="00C52B69">
        <w:t xml:space="preserve">. </w:t>
      </w:r>
      <w:r w:rsidR="00164648">
        <w:t xml:space="preserve"> In a December 16, 2013 press release WSDOT Assistant C</w:t>
      </w:r>
      <w:r w:rsidR="00DC4D79">
        <w:t>ommunications Director</w:t>
      </w:r>
      <w:r w:rsidR="00164648">
        <w:t xml:space="preserve"> stated “lacking evidence of discrimination against </w:t>
      </w:r>
      <w:r w:rsidR="002974C8">
        <w:t>Caucasian</w:t>
      </w:r>
      <w:r w:rsidR="00164648">
        <w:t xml:space="preserve"> women-owned business in the local market place, WSDOT cannot include them in contract-specific DBE goals.</w:t>
      </w:r>
      <w:r w:rsidR="00DC4D79">
        <w:t>”</w:t>
      </w:r>
      <w:r w:rsidR="00421619">
        <w:t xml:space="preserve">  A local trade association, Women in Highway Construction, is threatening a lawsuit.</w:t>
      </w:r>
    </w:p>
    <w:p w:rsidR="00421619" w:rsidRDefault="00421619" w:rsidP="001A7BAB">
      <w:pPr>
        <w:jc w:val="both"/>
      </w:pPr>
      <w:r>
        <w:tab/>
        <w:t>The dispar</w:t>
      </w:r>
      <w:r w:rsidR="00F648A4">
        <w:t xml:space="preserve">ity study also found that African American, Asian Pacific </w:t>
      </w:r>
      <w:r w:rsidR="002974C8">
        <w:t>Americans</w:t>
      </w:r>
      <w:r w:rsidR="00F648A4">
        <w:t xml:space="preserve">, Hispanics, Native Americans and South Asians </w:t>
      </w:r>
      <w:r>
        <w:t>continue to suffer substantial disparity</w:t>
      </w:r>
      <w:r w:rsidR="00F648A4">
        <w:t xml:space="preserve"> in obtaining WSDOT contracts. </w:t>
      </w:r>
    </w:p>
    <w:p w:rsidR="00DF475D" w:rsidRPr="00814E86" w:rsidRDefault="00DF475D" w:rsidP="001A7BAB">
      <w:pPr>
        <w:jc w:val="both"/>
        <w:rPr>
          <w:b/>
        </w:rPr>
      </w:pPr>
      <w:r w:rsidRPr="00814E86">
        <w:rPr>
          <w:b/>
        </w:rPr>
        <w:t>II.</w:t>
      </w:r>
      <w:r w:rsidRPr="00814E86">
        <w:rPr>
          <w:b/>
        </w:rPr>
        <w:tab/>
        <w:t>LEGAL OPINIONS</w:t>
      </w:r>
    </w:p>
    <w:p w:rsidR="00DF475D" w:rsidRPr="00814E86" w:rsidRDefault="00DF475D" w:rsidP="001A7BAB">
      <w:pPr>
        <w:jc w:val="both"/>
        <w:rPr>
          <w:color w:val="FF0000"/>
        </w:rPr>
      </w:pPr>
      <w:r>
        <w:t>A.</w:t>
      </w:r>
      <w:r>
        <w:tab/>
      </w:r>
      <w:r w:rsidRPr="00814E86">
        <w:rPr>
          <w:i/>
          <w:color w:val="FF0000"/>
        </w:rPr>
        <w:t>Midwest Fence Corporation v. U.S. Depart of Transportation</w:t>
      </w:r>
      <w:r w:rsidR="00EB1D63" w:rsidRPr="00814E86">
        <w:rPr>
          <w:i/>
          <w:color w:val="FF0000"/>
        </w:rPr>
        <w:t xml:space="preserve"> et. al.</w:t>
      </w:r>
      <w:r w:rsidR="00EB1D63" w:rsidRPr="00814E86">
        <w:rPr>
          <w:color w:val="FF0000"/>
        </w:rPr>
        <w:t xml:space="preserve"> </w:t>
      </w:r>
      <w:r w:rsidRPr="00814E86">
        <w:rPr>
          <w:color w:val="FF0000"/>
        </w:rPr>
        <w:t xml:space="preserve">, </w:t>
      </w:r>
      <w:r w:rsidR="005E0743" w:rsidRPr="00814E86">
        <w:rPr>
          <w:color w:val="FF0000"/>
        </w:rPr>
        <w:t>2014 WL 322059 (N.D. Ill January 28, 2014)</w:t>
      </w:r>
    </w:p>
    <w:p w:rsidR="005E0743" w:rsidRDefault="00352767" w:rsidP="001A7BAB">
      <w:pPr>
        <w:jc w:val="both"/>
      </w:pPr>
      <w:r>
        <w:tab/>
        <w:t xml:space="preserve">This is an action by Midwest, </w:t>
      </w:r>
      <w:r w:rsidR="005E0743">
        <w:t>a g</w:t>
      </w:r>
      <w:r>
        <w:t xml:space="preserve">uardrail and fencing contractor, </w:t>
      </w:r>
      <w:r w:rsidR="00EB1D63">
        <w:t xml:space="preserve">challenging the Illinois Department of Transportation’s and other state and federal agencies’ DBE program. </w:t>
      </w:r>
      <w:r w:rsidR="00375952">
        <w:t xml:space="preserve"> On August 6, </w:t>
      </w:r>
      <w:bookmarkStart w:id="0" w:name="_GoBack"/>
      <w:bookmarkEnd w:id="0"/>
      <w:r w:rsidR="006021CB">
        <w:t>2013 Midwest</w:t>
      </w:r>
      <w:r w:rsidR="002320A9">
        <w:t xml:space="preserve"> </w:t>
      </w:r>
      <w:r w:rsidR="00375952">
        <w:t xml:space="preserve">filed a motion to exclude the </w:t>
      </w:r>
      <w:r w:rsidR="003D7E2C">
        <w:t>opinions</w:t>
      </w:r>
      <w:r w:rsidR="00375952">
        <w:t xml:space="preserve"> of </w:t>
      </w:r>
      <w:r w:rsidR="003D7E2C">
        <w:t>Defendant</w:t>
      </w:r>
      <w:r w:rsidR="00C043F7">
        <w:t>s</w:t>
      </w:r>
      <w:r w:rsidR="004F70AC">
        <w:t>’</w:t>
      </w:r>
      <w:r w:rsidR="00C043F7">
        <w:t xml:space="preserve"> expert Dr. Jon Wainwright. Dr. Wainwright was disclosed as the Defendants</w:t>
      </w:r>
      <w:r w:rsidR="004F70AC">
        <w:t>’</w:t>
      </w:r>
      <w:r w:rsidR="00C043F7">
        <w:t xml:space="preserve"> liability expert on the question as to whether the Defendants have a strong basis to implement the race-conscious aspects of their DBE programs. </w:t>
      </w:r>
    </w:p>
    <w:p w:rsidR="002C5B1C" w:rsidRDefault="002C5B1C" w:rsidP="001A7BAB">
      <w:pPr>
        <w:jc w:val="both"/>
      </w:pPr>
      <w:r>
        <w:tab/>
        <w:t xml:space="preserve">Midwest challenges Dr. Wainwright’s definition of “availability” and the impact that definition has on disparity.  According to Dr. Wainwright, there are four key elements to a disparity study: 1) determining the appropriate product market and geographic market area; 2) </w:t>
      </w:r>
      <w:r w:rsidR="00361E71">
        <w:t>development</w:t>
      </w:r>
      <w:r>
        <w:t xml:space="preserve"> </w:t>
      </w:r>
      <w:r w:rsidR="00361E71">
        <w:t>availability</w:t>
      </w:r>
      <w:r>
        <w:t xml:space="preserve"> and utilization estimates and estimating public entity contracting </w:t>
      </w:r>
      <w:r w:rsidR="00361E71">
        <w:lastRenderedPageBreak/>
        <w:t xml:space="preserve">disparities; 3) estimating economy-wide disparities; and 4) collecting anecdotal evidence in order to check for consistency with statistical findings.  </w:t>
      </w:r>
    </w:p>
    <w:p w:rsidR="008A600A" w:rsidRDefault="00AA3367" w:rsidP="001A7BAB">
      <w:pPr>
        <w:jc w:val="both"/>
      </w:pPr>
      <w:r>
        <w:tab/>
        <w:t xml:space="preserve">Midwest claims that Dr. Wainwright’s definitions are inconsistent with their normal meaning and contrary to the Supreme Court’s directives as to the appropriate measures of availability and disparity. </w:t>
      </w:r>
      <w:r w:rsidR="00301410">
        <w:t xml:space="preserve">Dr. </w:t>
      </w:r>
      <w:r w:rsidR="008A600A">
        <w:t>Wainwright defines</w:t>
      </w:r>
      <w:r w:rsidR="00301410">
        <w:t xml:space="preserve"> availability as “ a statistic expressing the percentage of businesses in a relevant geographic and product market that a</w:t>
      </w:r>
      <w:r w:rsidR="00027473">
        <w:t xml:space="preserve">re owned by minorities or women.” Dr. Wainwright also opined that availability is “by design independent of factors, such as readiness, willingness and ability or capacity that are themselves most likely to be adversely impacted by the presence of business discrimination.” </w:t>
      </w:r>
      <w:r w:rsidR="008A600A">
        <w:t xml:space="preserve"> Midwest argues that Dr. Wainwright’s definition of availability is improper because it does not consider which DBEs are “ready, willing and able” to</w:t>
      </w:r>
      <w:r w:rsidR="007D4230">
        <w:t xml:space="preserve"> perform the contracts at issue. To support its argument Midwest </w:t>
      </w:r>
      <w:r w:rsidR="002320A9">
        <w:t xml:space="preserve">relies on the  </w:t>
      </w:r>
      <w:r w:rsidR="007D4230">
        <w:t xml:space="preserve">Supreme Court’s </w:t>
      </w:r>
      <w:r w:rsidR="00F50944">
        <w:t xml:space="preserve">opinion in </w:t>
      </w:r>
      <w:r w:rsidR="00F50944" w:rsidRPr="002320A9">
        <w:rPr>
          <w:i/>
        </w:rPr>
        <w:t>Richmond v. J.A. Croson Co</w:t>
      </w:r>
      <w:r w:rsidR="00F50944">
        <w:t xml:space="preserve">., 488 U.S. 469 (1989) and the </w:t>
      </w:r>
      <w:r w:rsidR="007B4372">
        <w:t xml:space="preserve">federal regulations that </w:t>
      </w:r>
      <w:r w:rsidR="00B53368">
        <w:t xml:space="preserve">govern </w:t>
      </w:r>
      <w:r w:rsidR="007B4372">
        <w:t>the participation of DBEs in the Department of Transportation</w:t>
      </w:r>
      <w:r w:rsidR="00B53368">
        <w:t>’s</w:t>
      </w:r>
      <w:r w:rsidR="007B4372">
        <w:t xml:space="preserve"> financial assistance programs – 49 CFR </w:t>
      </w:r>
      <w:r w:rsidR="007B4372">
        <w:rPr>
          <w:rFonts w:cs="Times New Roman"/>
        </w:rPr>
        <w:t>§</w:t>
      </w:r>
      <w:r w:rsidR="007B4372">
        <w:t xml:space="preserve"> 26.45.  </w:t>
      </w:r>
      <w:r w:rsidR="00E16C41">
        <w:t>Midwest</w:t>
      </w:r>
      <w:r w:rsidR="00FA6F00">
        <w:t xml:space="preserve"> argues that in </w:t>
      </w:r>
      <w:r w:rsidR="00FA6F00" w:rsidRPr="00B53368">
        <w:rPr>
          <w:i/>
        </w:rPr>
        <w:t>Croson</w:t>
      </w:r>
      <w:r w:rsidR="00FA6F00">
        <w:t xml:space="preserve"> the Supreme Court </w:t>
      </w:r>
      <w:r w:rsidR="001A5505">
        <w:t xml:space="preserve">articulated </w:t>
      </w:r>
      <w:r w:rsidR="00B53368">
        <w:t>the</w:t>
      </w:r>
      <w:r w:rsidR="001A5505">
        <w:t xml:space="preserve"> standard for availability as “the number of qualified minority contractors willing and able to perform a particular service ..”  Midwest also states that the federal regulations themselves</w:t>
      </w:r>
      <w:r w:rsidR="00AC47C9">
        <w:t xml:space="preserve"> define availability as ready, willing and able DBEs relative to all businesses ready, willing and able to participate in DBE contracts. </w:t>
      </w:r>
    </w:p>
    <w:p w:rsidR="00D451C2" w:rsidRDefault="00D451C2" w:rsidP="001A7BAB">
      <w:pPr>
        <w:jc w:val="both"/>
      </w:pPr>
      <w:r>
        <w:tab/>
        <w:t xml:space="preserve">The court disagreed with Midwest citing the fact that Dr. Wainwright’s methodology had been accepted </w:t>
      </w:r>
      <w:r w:rsidR="00B53368">
        <w:t>by several</w:t>
      </w:r>
      <w:r w:rsidR="00641629">
        <w:t xml:space="preserve"> federal courts. </w:t>
      </w:r>
      <w:r w:rsidR="008015A6" w:rsidRPr="00B53368">
        <w:rPr>
          <w:i/>
        </w:rPr>
        <w:t>See</w:t>
      </w:r>
      <w:r w:rsidR="00B53368" w:rsidRPr="00B53368">
        <w:rPr>
          <w:i/>
        </w:rPr>
        <w:t xml:space="preserve"> e.g.</w:t>
      </w:r>
      <w:r w:rsidR="00EB3173" w:rsidRPr="00B53368">
        <w:rPr>
          <w:i/>
        </w:rPr>
        <w:t>, Northern</w:t>
      </w:r>
      <w:r w:rsidR="00641629" w:rsidRPr="00B53368">
        <w:rPr>
          <w:i/>
        </w:rPr>
        <w:t xml:space="preserve"> Contracting, Inc. v. Illinois</w:t>
      </w:r>
      <w:r w:rsidR="00641629">
        <w:t>, 473 F.3d 715, 718 (7</w:t>
      </w:r>
      <w:r w:rsidR="00641629" w:rsidRPr="00641629">
        <w:rPr>
          <w:vertAlign w:val="superscript"/>
        </w:rPr>
        <w:t>th</w:t>
      </w:r>
      <w:r w:rsidR="00641629">
        <w:t xml:space="preserve"> Cir. 2007)</w:t>
      </w:r>
      <w:r w:rsidR="008015A6">
        <w:t xml:space="preserve">. The court also found that </w:t>
      </w:r>
      <w:r w:rsidR="00AF1123">
        <w:t xml:space="preserve">Plaintiff’s reliance on 49 CFR </w:t>
      </w:r>
      <w:r w:rsidR="00AF1123">
        <w:rPr>
          <w:rFonts w:cs="Times New Roman"/>
        </w:rPr>
        <w:t>§</w:t>
      </w:r>
      <w:r w:rsidR="00AF1123">
        <w:t xml:space="preserve"> 45 is also flawed because the regulation</w:t>
      </w:r>
      <w:r w:rsidR="001A7BAB">
        <w:t xml:space="preserve"> allows for different methodologies and considerations in setting DBE goals. </w:t>
      </w:r>
      <w:r w:rsidR="00B53368">
        <w:t xml:space="preserve"> As such Midwest’s motion to exclude Dr. Wainwright’s opinion was denied. </w:t>
      </w:r>
    </w:p>
    <w:p w:rsidR="00D451C2" w:rsidRDefault="00D451C2" w:rsidP="001A7BAB">
      <w:pPr>
        <w:jc w:val="both"/>
      </w:pPr>
    </w:p>
    <w:sectPr w:rsidR="00D451C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3368" w:rsidRDefault="00B53368" w:rsidP="00B53368">
      <w:pPr>
        <w:spacing w:after="0" w:line="240" w:lineRule="auto"/>
      </w:pPr>
      <w:r>
        <w:separator/>
      </w:r>
    </w:p>
  </w:endnote>
  <w:endnote w:type="continuationSeparator" w:id="0">
    <w:p w:rsidR="00B53368" w:rsidRDefault="00B53368" w:rsidP="00B533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5083646"/>
      <w:docPartObj>
        <w:docPartGallery w:val="Page Numbers (Bottom of Page)"/>
        <w:docPartUnique/>
      </w:docPartObj>
    </w:sdtPr>
    <w:sdtEndPr>
      <w:rPr>
        <w:noProof/>
      </w:rPr>
    </w:sdtEndPr>
    <w:sdtContent>
      <w:p w:rsidR="00B53368" w:rsidRDefault="00B53368">
        <w:pPr>
          <w:pStyle w:val="Footer"/>
          <w:jc w:val="center"/>
        </w:pPr>
        <w:r>
          <w:fldChar w:fldCharType="begin"/>
        </w:r>
        <w:r>
          <w:instrText xml:space="preserve"> PAGE   \* MERGEFORMAT </w:instrText>
        </w:r>
        <w:r>
          <w:fldChar w:fldCharType="separate"/>
        </w:r>
        <w:r w:rsidR="006021CB">
          <w:rPr>
            <w:noProof/>
          </w:rPr>
          <w:t>2</w:t>
        </w:r>
        <w:r>
          <w:rPr>
            <w:noProof/>
          </w:rPr>
          <w:fldChar w:fldCharType="end"/>
        </w:r>
      </w:p>
    </w:sdtContent>
  </w:sdt>
  <w:p w:rsidR="00B53368" w:rsidRDefault="00B533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3368" w:rsidRDefault="00B53368" w:rsidP="00B53368">
      <w:pPr>
        <w:spacing w:after="0" w:line="240" w:lineRule="auto"/>
      </w:pPr>
      <w:r>
        <w:separator/>
      </w:r>
    </w:p>
  </w:footnote>
  <w:footnote w:type="continuationSeparator" w:id="0">
    <w:p w:rsidR="00B53368" w:rsidRDefault="00B53368" w:rsidP="00B5336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5B92"/>
    <w:rsid w:val="00027473"/>
    <w:rsid w:val="000E4BE4"/>
    <w:rsid w:val="00130BE9"/>
    <w:rsid w:val="00150B95"/>
    <w:rsid w:val="00164648"/>
    <w:rsid w:val="001812EF"/>
    <w:rsid w:val="001A5505"/>
    <w:rsid w:val="001A7BAB"/>
    <w:rsid w:val="001F6276"/>
    <w:rsid w:val="002034B0"/>
    <w:rsid w:val="00203C68"/>
    <w:rsid w:val="002320A9"/>
    <w:rsid w:val="002974C8"/>
    <w:rsid w:val="002B1FE5"/>
    <w:rsid w:val="002C5B1C"/>
    <w:rsid w:val="00301410"/>
    <w:rsid w:val="00352767"/>
    <w:rsid w:val="00361E71"/>
    <w:rsid w:val="00375952"/>
    <w:rsid w:val="003A1B9E"/>
    <w:rsid w:val="003D7E2C"/>
    <w:rsid w:val="003E7735"/>
    <w:rsid w:val="00421619"/>
    <w:rsid w:val="0044083C"/>
    <w:rsid w:val="004F70AC"/>
    <w:rsid w:val="0050221B"/>
    <w:rsid w:val="00505606"/>
    <w:rsid w:val="005507AF"/>
    <w:rsid w:val="00562F9B"/>
    <w:rsid w:val="005A3E74"/>
    <w:rsid w:val="005E0743"/>
    <w:rsid w:val="006021CB"/>
    <w:rsid w:val="00641629"/>
    <w:rsid w:val="00670522"/>
    <w:rsid w:val="00687ECC"/>
    <w:rsid w:val="006F2C50"/>
    <w:rsid w:val="00792FFC"/>
    <w:rsid w:val="007B4372"/>
    <w:rsid w:val="007D4230"/>
    <w:rsid w:val="008015A6"/>
    <w:rsid w:val="00804AA2"/>
    <w:rsid w:val="00814E86"/>
    <w:rsid w:val="008A600A"/>
    <w:rsid w:val="009367DD"/>
    <w:rsid w:val="00A371F0"/>
    <w:rsid w:val="00A4113A"/>
    <w:rsid w:val="00A62B39"/>
    <w:rsid w:val="00AA3367"/>
    <w:rsid w:val="00AC47C9"/>
    <w:rsid w:val="00AE51AB"/>
    <w:rsid w:val="00AF1123"/>
    <w:rsid w:val="00B0013A"/>
    <w:rsid w:val="00B17A2F"/>
    <w:rsid w:val="00B53368"/>
    <w:rsid w:val="00BA3714"/>
    <w:rsid w:val="00BF603F"/>
    <w:rsid w:val="00BF6593"/>
    <w:rsid w:val="00C043F7"/>
    <w:rsid w:val="00C52B69"/>
    <w:rsid w:val="00D451C2"/>
    <w:rsid w:val="00D75B92"/>
    <w:rsid w:val="00D8154B"/>
    <w:rsid w:val="00DC4D79"/>
    <w:rsid w:val="00DD4C8A"/>
    <w:rsid w:val="00DF475D"/>
    <w:rsid w:val="00E16C41"/>
    <w:rsid w:val="00EB1D63"/>
    <w:rsid w:val="00EB3173"/>
    <w:rsid w:val="00F50944"/>
    <w:rsid w:val="00F648A4"/>
    <w:rsid w:val="00FA6F00"/>
    <w:rsid w:val="00FF62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33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3368"/>
  </w:style>
  <w:style w:type="paragraph" w:styleId="Footer">
    <w:name w:val="footer"/>
    <w:basedOn w:val="Normal"/>
    <w:link w:val="FooterChar"/>
    <w:uiPriority w:val="99"/>
    <w:unhideWhenUsed/>
    <w:rsid w:val="00B533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336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33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3368"/>
  </w:style>
  <w:style w:type="paragraph" w:styleId="Footer">
    <w:name w:val="footer"/>
    <w:basedOn w:val="Normal"/>
    <w:link w:val="FooterChar"/>
    <w:uiPriority w:val="99"/>
    <w:unhideWhenUsed/>
    <w:rsid w:val="00B533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33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04708A-00E5-4682-AEEE-1D31FC819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3</Pages>
  <Words>1111</Words>
  <Characters>6170</Characters>
  <Application>Microsoft Office Word</Application>
  <DocSecurity>0</DocSecurity>
  <Lines>96</Lines>
  <Paragraphs>24</Paragraphs>
  <ScaleCrop>false</ScaleCrop>
  <HeadingPairs>
    <vt:vector size="2" baseType="variant">
      <vt:variant>
        <vt:lpstr>Title</vt:lpstr>
      </vt:variant>
      <vt:variant>
        <vt:i4>1</vt:i4>
      </vt:variant>
    </vt:vector>
  </HeadingPairs>
  <TitlesOfParts>
    <vt:vector size="1" baseType="lpstr">
      <vt:lpstr/>
    </vt:vector>
  </TitlesOfParts>
  <Company>Smith, Currie &amp; Hancock</Company>
  <LinksUpToDate>false</LinksUpToDate>
  <CharactersWithSpaces>7299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Heron, Lisa Colon</dc:creator>
  <cp:lastModifiedBy>Heron, Lisa Colon</cp:lastModifiedBy>
  <cp:revision>3</cp:revision>
  <dcterms:created xsi:type="dcterms:W3CDTF">2014-02-10T13:44:00Z</dcterms:created>
  <dcterms:modified xsi:type="dcterms:W3CDTF">2014-02-10T16:06:00Z</dcterms:modified>
</cp:coreProperties>
</file>