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F07" w:rsidRPr="00B82F44" w:rsidRDefault="00F9535D" w:rsidP="00146E4E">
      <w:pPr>
        <w:pStyle w:val="BlockText"/>
        <w:jc w:val="center"/>
        <w:rPr>
          <w:b/>
          <w:sz w:val="28"/>
          <w:szCs w:val="28"/>
        </w:rPr>
      </w:pPr>
      <w:r w:rsidRPr="00B82F44">
        <w:rPr>
          <w:b/>
          <w:sz w:val="28"/>
          <w:szCs w:val="28"/>
        </w:rPr>
        <w:t>The Florida Bar: Real Property, Probate and Trust Law Section</w:t>
      </w:r>
    </w:p>
    <w:p w:rsidR="009A10B6" w:rsidRPr="00832A42" w:rsidRDefault="00F9535D" w:rsidP="00832A42">
      <w:pPr>
        <w:pStyle w:val="BlockText"/>
        <w:jc w:val="center"/>
        <w:rPr>
          <w:b/>
          <w:sz w:val="28"/>
          <w:szCs w:val="28"/>
        </w:rPr>
      </w:pPr>
      <w:r w:rsidRPr="00B82F44">
        <w:rPr>
          <w:b/>
          <w:sz w:val="28"/>
          <w:szCs w:val="28"/>
        </w:rPr>
        <w:t>Construction Law Committee</w:t>
      </w:r>
    </w:p>
    <w:p w:rsidR="009E1F25" w:rsidRPr="001476D7" w:rsidRDefault="009E1F25" w:rsidP="00D8155F">
      <w:pPr>
        <w:pStyle w:val="BlockText"/>
        <w:jc w:val="center"/>
        <w:rPr>
          <w:b/>
        </w:rPr>
      </w:pPr>
    </w:p>
    <w:p w:rsidR="00F9535D" w:rsidRPr="00DF255F" w:rsidRDefault="00DE5A5D" w:rsidP="00D8155F">
      <w:pPr>
        <w:pStyle w:val="BlockText"/>
        <w:jc w:val="center"/>
        <w:rPr>
          <w:b/>
          <w:i/>
          <w:sz w:val="28"/>
          <w:szCs w:val="28"/>
          <w:u w:val="single"/>
        </w:rPr>
      </w:pPr>
      <w:r w:rsidRPr="00DF255F">
        <w:rPr>
          <w:b/>
          <w:i/>
          <w:sz w:val="28"/>
          <w:szCs w:val="28"/>
          <w:u w:val="single"/>
        </w:rPr>
        <w:t>Construction Regulation</w:t>
      </w:r>
      <w:r w:rsidR="00F9535D" w:rsidRPr="00DF255F">
        <w:rPr>
          <w:b/>
          <w:i/>
          <w:sz w:val="28"/>
          <w:szCs w:val="28"/>
          <w:u w:val="single"/>
        </w:rPr>
        <w:t xml:space="preserve"> Subcommittee</w:t>
      </w:r>
      <w:r w:rsidR="00251EB1" w:rsidRPr="00DF255F">
        <w:rPr>
          <w:b/>
          <w:i/>
          <w:sz w:val="28"/>
          <w:szCs w:val="28"/>
          <w:u w:val="single"/>
        </w:rPr>
        <w:t xml:space="preserve"> Monthly Report</w:t>
      </w:r>
    </w:p>
    <w:p w:rsidR="00F9535D" w:rsidRDefault="001476D7" w:rsidP="00286B5F">
      <w:pPr>
        <w:pStyle w:val="BlockText"/>
        <w:jc w:val="center"/>
      </w:pPr>
      <w:r>
        <w:t>Month of</w:t>
      </w:r>
      <w:r w:rsidR="0046330C">
        <w:t xml:space="preserve"> Dec</w:t>
      </w:r>
      <w:r w:rsidR="00F820A6">
        <w:t>ember</w:t>
      </w:r>
      <w:r w:rsidR="007D14A8">
        <w:t xml:space="preserve"> </w:t>
      </w:r>
      <w:r w:rsidR="00FA0D68">
        <w:t>2013</w:t>
      </w:r>
    </w:p>
    <w:p w:rsidR="006F4CE9" w:rsidRDefault="006F4CE9" w:rsidP="00D9771C">
      <w:pPr>
        <w:pStyle w:val="BlockText"/>
        <w:rPr>
          <w:b/>
          <w:u w:val="single"/>
        </w:rPr>
      </w:pPr>
    </w:p>
    <w:p w:rsidR="007F16BD" w:rsidRDefault="009F4440" w:rsidP="007D14A8">
      <w:pPr>
        <w:pStyle w:val="BlockText"/>
        <w:rPr>
          <w:b/>
          <w:u w:val="single"/>
        </w:rPr>
      </w:pPr>
      <w:r>
        <w:rPr>
          <w:b/>
          <w:u w:val="single"/>
        </w:rPr>
        <w:t xml:space="preserve">State </w:t>
      </w:r>
      <w:r w:rsidR="00D9771C" w:rsidRPr="00D9771C">
        <w:rPr>
          <w:b/>
          <w:u w:val="single"/>
        </w:rPr>
        <w:t>Appellate Decisions:</w:t>
      </w:r>
    </w:p>
    <w:p w:rsidR="00FD2F47" w:rsidRDefault="00FD2F47" w:rsidP="007D14A8">
      <w:pPr>
        <w:pStyle w:val="BlockText"/>
        <w:rPr>
          <w:b/>
          <w:u w:val="single"/>
        </w:rPr>
      </w:pPr>
    </w:p>
    <w:p w:rsidR="00FD2F47" w:rsidRDefault="00F820A6" w:rsidP="00F419B2">
      <w:pPr>
        <w:pStyle w:val="BlockText"/>
      </w:pPr>
      <w:r>
        <w:tab/>
      </w:r>
      <w:r w:rsidR="00094EBD" w:rsidRPr="00094EBD">
        <w:rPr>
          <w:i/>
          <w:u w:val="single"/>
        </w:rPr>
        <w:t>Sunshine State Insurance Company v. Munoz-Upton and Fox-Upton</w:t>
      </w:r>
      <w:r w:rsidR="00094EBD">
        <w:t>, 38 Fla. L. Weekly D2514a, Case No. 3D13-573, filed on November 27, 2013.</w:t>
      </w:r>
      <w:r w:rsidR="00491948">
        <w:t xml:space="preserve"> Domestic insurance company was sued in Miami-Dade County for damages to a home located in Palm Beach County, and trial court denied insurer’s motion to transfer venue. REVERSED and remanded with instructions to transfer case to Palm Beach County pursuant to three (3) situations described in s. 47.051. It was noted that the company having agents in Miami-Dade County applied ONLY for purposes of establishing venue over a “foreign” corporation.</w:t>
      </w:r>
    </w:p>
    <w:p w:rsidR="00F820A6" w:rsidRDefault="00F820A6" w:rsidP="00F419B2">
      <w:pPr>
        <w:pStyle w:val="BlockText"/>
      </w:pPr>
    </w:p>
    <w:p w:rsidR="00094EBD" w:rsidRDefault="00094EBD" w:rsidP="00F419B2">
      <w:pPr>
        <w:pStyle w:val="BlockText"/>
      </w:pPr>
      <w:r>
        <w:tab/>
      </w:r>
      <w:r w:rsidRPr="00094EBD">
        <w:rPr>
          <w:i/>
          <w:u w:val="single"/>
        </w:rPr>
        <w:t>Skala v. Lyons Heritage Corporation and Clark Contracting, Inc.,</w:t>
      </w:r>
      <w:r>
        <w:t xml:space="preserve"> 38 Fla. L. Weekly D2485b, Case No. 2D12-1331, filed on November 27, 2013.</w:t>
      </w:r>
      <w:r w:rsidR="00491948">
        <w:t xml:space="preserve"> Summary judgment in negligence case against contractor for injuries sustained on a construction site by its business invitee (consultant) who tripped over visible debris was REVERSED and remanded, based on </w:t>
      </w:r>
      <w:r w:rsidR="00B92C29">
        <w:t xml:space="preserve">an </w:t>
      </w:r>
      <w:r w:rsidR="00491948">
        <w:t>exception to the “obvious dangerous”</w:t>
      </w:r>
      <w:r w:rsidR="00B92C29">
        <w:t xml:space="preserve"> doctrine</w:t>
      </w:r>
      <w:r w:rsidR="00491948">
        <w:t xml:space="preserve"> that the owner or possessor of the property has a legal duty to maintain the premises in a reasonably safe condition</w:t>
      </w:r>
      <w:r w:rsidR="00B92C29">
        <w:t xml:space="preserve"> where the dangerous condition should have been anticipated to cause harm; the breach of that legal duty</w:t>
      </w:r>
      <w:r w:rsidR="00491948">
        <w:t xml:space="preserve"> is a question of disputed fact.</w:t>
      </w:r>
    </w:p>
    <w:p w:rsidR="00F820A6" w:rsidRDefault="00F820A6" w:rsidP="00F419B2">
      <w:pPr>
        <w:pStyle w:val="BlockText"/>
      </w:pPr>
      <w:r>
        <w:tab/>
      </w:r>
    </w:p>
    <w:p w:rsidR="00D9771C" w:rsidRDefault="00EB61E2" w:rsidP="00D9771C">
      <w:pPr>
        <w:pStyle w:val="BlockText"/>
      </w:pPr>
      <w:r w:rsidRPr="00797252">
        <w:rPr>
          <w:b/>
          <w:u w:val="single"/>
        </w:rPr>
        <w:t>DOAH</w:t>
      </w:r>
      <w:r w:rsidR="002B09F1">
        <w:rPr>
          <w:b/>
          <w:u w:val="single"/>
        </w:rPr>
        <w:t xml:space="preserve"> Orders</w:t>
      </w:r>
      <w:r w:rsidR="00D9771C" w:rsidRPr="00797252">
        <w:rPr>
          <w:b/>
          <w:u w:val="single"/>
        </w:rPr>
        <w:t>:</w:t>
      </w:r>
      <w:r w:rsidR="0083319A" w:rsidRPr="00797252">
        <w:t xml:space="preserve"> </w:t>
      </w:r>
    </w:p>
    <w:p w:rsidR="00401A5C" w:rsidRDefault="00401A5C" w:rsidP="00D9771C">
      <w:pPr>
        <w:pStyle w:val="BlockText"/>
      </w:pPr>
    </w:p>
    <w:p w:rsidR="00401A5C" w:rsidRPr="00691E1A" w:rsidRDefault="00401A5C" w:rsidP="00D9771C">
      <w:pPr>
        <w:pStyle w:val="BlockText"/>
      </w:pPr>
      <w:r>
        <w:tab/>
      </w:r>
      <w:r w:rsidR="00691E1A">
        <w:t>(Nothing to report)</w:t>
      </w:r>
    </w:p>
    <w:p w:rsidR="002B09F1" w:rsidRDefault="002B09F1" w:rsidP="00D9771C">
      <w:pPr>
        <w:pStyle w:val="BlockText"/>
      </w:pPr>
    </w:p>
    <w:p w:rsidR="00D255AC" w:rsidRPr="00D255AC" w:rsidRDefault="002B09F1" w:rsidP="00D9771C">
      <w:pPr>
        <w:pStyle w:val="BlockText"/>
      </w:pPr>
      <w:r w:rsidRPr="002B09F1">
        <w:rPr>
          <w:b/>
          <w:u w:val="single"/>
        </w:rPr>
        <w:t>State Agency Actions</w:t>
      </w:r>
      <w:r w:rsidRPr="00D255AC">
        <w:t>:</w:t>
      </w:r>
      <w:r w:rsidR="00D255AC" w:rsidRPr="00D255AC">
        <w:t xml:space="preserve"> Based on the requirements of Senate Bill 50, passed earlier this year, the Attorney General's office has proposed that all boards adopt a rule providi</w:t>
      </w:r>
      <w:r w:rsidR="00D255AC">
        <w:t>ng for "public inp</w:t>
      </w:r>
      <w:r w:rsidR="00D255AC" w:rsidRPr="00D255AC">
        <w:t>ut."</w:t>
      </w:r>
      <w:r w:rsidR="00094EBD">
        <w:t xml:space="preserve"> Some boards have indicated they will do so, while other boards have indicated that they see no problem that needs to be addressed.</w:t>
      </w:r>
    </w:p>
    <w:p w:rsidR="006A50BC" w:rsidRPr="00D255AC" w:rsidRDefault="006A50BC" w:rsidP="00D9771C">
      <w:pPr>
        <w:pStyle w:val="BlockText"/>
      </w:pPr>
    </w:p>
    <w:p w:rsidR="004E142A" w:rsidRDefault="00DE52F2" w:rsidP="00DE52F2">
      <w:pPr>
        <w:pStyle w:val="BlockText"/>
      </w:pPr>
      <w:r>
        <w:t xml:space="preserve">A. </w:t>
      </w:r>
      <w:r w:rsidR="004E142A">
        <w:rPr>
          <w:b/>
        </w:rPr>
        <w:t xml:space="preserve">Department of </w:t>
      </w:r>
      <w:r w:rsidR="004E142A" w:rsidRPr="0098369B">
        <w:rPr>
          <w:b/>
        </w:rPr>
        <w:t>Business and Professional Regulation</w:t>
      </w:r>
      <w:r w:rsidR="004E142A">
        <w:rPr>
          <w:b/>
        </w:rPr>
        <w:t>.</w:t>
      </w:r>
    </w:p>
    <w:p w:rsidR="004E142A" w:rsidRDefault="004E142A" w:rsidP="004E142A">
      <w:pPr>
        <w:pStyle w:val="BlockText"/>
        <w:ind w:left="720"/>
      </w:pPr>
    </w:p>
    <w:p w:rsidR="002A7577" w:rsidRPr="002A7577" w:rsidRDefault="004E142A" w:rsidP="002A7577">
      <w:pPr>
        <w:pStyle w:val="BlockText"/>
        <w:numPr>
          <w:ilvl w:val="0"/>
          <w:numId w:val="32"/>
        </w:numPr>
        <w:rPr>
          <w:b/>
        </w:rPr>
      </w:pPr>
      <w:r w:rsidRPr="00936542">
        <w:rPr>
          <w:u w:val="single"/>
        </w:rPr>
        <w:t>Construction Industry Licensing Board</w:t>
      </w:r>
      <w:r>
        <w:t xml:space="preserve"> – Chapter 489, Part I, FS and Chapter 61G4 FAC: </w:t>
      </w:r>
    </w:p>
    <w:p w:rsidR="00B92C29" w:rsidRPr="00B92C29" w:rsidRDefault="00E1125C" w:rsidP="00B92C29">
      <w:pPr>
        <w:pStyle w:val="BlockText"/>
        <w:numPr>
          <w:ilvl w:val="1"/>
          <w:numId w:val="32"/>
        </w:numPr>
        <w:rPr>
          <w:b/>
        </w:rPr>
      </w:pPr>
      <w:r>
        <w:t xml:space="preserve">This board has </w:t>
      </w:r>
      <w:r w:rsidR="00052694">
        <w:t>proposed</w:t>
      </w:r>
      <w:r>
        <w:t xml:space="preserve"> </w:t>
      </w:r>
      <w:r w:rsidR="004E142A">
        <w:t>adopt</w:t>
      </w:r>
      <w:r>
        <w:t>ed, repealed</w:t>
      </w:r>
      <w:r w:rsidR="004E142A">
        <w:t xml:space="preserve"> or amend</w:t>
      </w:r>
      <w:r>
        <w:t>ed</w:t>
      </w:r>
      <w:r w:rsidR="004E142A">
        <w:t xml:space="preserve"> the following rules (if any)</w:t>
      </w:r>
      <w:r w:rsidR="00B754FE">
        <w:t>:</w:t>
      </w:r>
    </w:p>
    <w:p w:rsidR="00B92C29" w:rsidRPr="00B92C29" w:rsidRDefault="00B92C29" w:rsidP="00B92C29">
      <w:pPr>
        <w:pStyle w:val="BlockText"/>
        <w:ind w:left="1800"/>
        <w:rPr>
          <w:b/>
        </w:rPr>
      </w:pPr>
    </w:p>
    <w:p w:rsidR="00B92C29" w:rsidRPr="00B92C29" w:rsidRDefault="00B92C29" w:rsidP="00B92C29">
      <w:pPr>
        <w:pStyle w:val="BlockText"/>
        <w:numPr>
          <w:ilvl w:val="2"/>
          <w:numId w:val="32"/>
        </w:numPr>
        <w:rPr>
          <w:b/>
        </w:rPr>
      </w:pPr>
      <w:r>
        <w:t>Held a public hearing on proposed rule 61G4-15.039, which would create a new specialty contractor license for “Industrial Equipment” installation.</w:t>
      </w:r>
    </w:p>
    <w:p w:rsidR="00B92C29" w:rsidRPr="00B92C29" w:rsidRDefault="00B92C29" w:rsidP="00B92C29">
      <w:pPr>
        <w:pStyle w:val="BlockText"/>
        <w:ind w:left="2520"/>
        <w:rPr>
          <w:b/>
        </w:rPr>
      </w:pPr>
    </w:p>
    <w:p w:rsidR="00B92C29" w:rsidRPr="00B92C29" w:rsidRDefault="00B92C29" w:rsidP="00B92C29">
      <w:pPr>
        <w:pStyle w:val="BlockText"/>
        <w:numPr>
          <w:ilvl w:val="2"/>
          <w:numId w:val="32"/>
        </w:numPr>
        <w:rPr>
          <w:b/>
        </w:rPr>
      </w:pPr>
      <w:r>
        <w:t>Drafted a proposed definition of “structure” as part of Rule 61G4-12.001, as it relates to s. 489.103(6).</w:t>
      </w:r>
    </w:p>
    <w:p w:rsidR="002A7577" w:rsidRPr="002A7577" w:rsidRDefault="002A7577" w:rsidP="00B92C29">
      <w:pPr>
        <w:pStyle w:val="BlockText"/>
        <w:rPr>
          <w:b/>
        </w:rPr>
      </w:pPr>
    </w:p>
    <w:p w:rsidR="00D255AC" w:rsidRDefault="004E142A" w:rsidP="00BC59CC">
      <w:pPr>
        <w:pStyle w:val="BlockText"/>
        <w:numPr>
          <w:ilvl w:val="1"/>
          <w:numId w:val="32"/>
        </w:numPr>
      </w:pPr>
      <w:r>
        <w:t>This board has received or disposed of the following Petitions for</w:t>
      </w:r>
      <w:r w:rsidR="00DB01F6">
        <w:t xml:space="preserve"> Declaratory Statement (if any):</w:t>
      </w:r>
      <w:r w:rsidR="002A7577">
        <w:tab/>
        <w:t xml:space="preserve"> </w:t>
      </w:r>
    </w:p>
    <w:p w:rsidR="00D255AC" w:rsidRDefault="00D255AC" w:rsidP="00D255AC">
      <w:pPr>
        <w:pStyle w:val="BlockText"/>
        <w:ind w:left="1800"/>
      </w:pPr>
    </w:p>
    <w:p w:rsidR="00D255AC" w:rsidRDefault="00065B23" w:rsidP="002424DE">
      <w:pPr>
        <w:pStyle w:val="BlockText"/>
        <w:numPr>
          <w:ilvl w:val="2"/>
          <w:numId w:val="32"/>
        </w:numPr>
      </w:pPr>
      <w:r>
        <w:t xml:space="preserve">Received </w:t>
      </w:r>
      <w:r w:rsidR="002A7577">
        <w:t xml:space="preserve">from </w:t>
      </w:r>
      <w:r>
        <w:t>Sun Star Energy, LLC, dated December 6, 2013</w:t>
      </w:r>
      <w:r w:rsidR="00EF1906">
        <w:t xml:space="preserve">, seeking a determination </w:t>
      </w:r>
      <w:r w:rsidR="002A7577">
        <w:t xml:space="preserve">of whether </w:t>
      </w:r>
      <w:r>
        <w:t>s. 489.105(3)(m) requires a plumbing license for the installation of solar water hearing systems, which includes a flat plate thermal collector attached to the roof of a house</w:t>
      </w:r>
      <w:r w:rsidR="00094EBD">
        <w:t>.</w:t>
      </w:r>
    </w:p>
    <w:p w:rsidR="00065B23" w:rsidRDefault="00065B23" w:rsidP="00065B23">
      <w:pPr>
        <w:pStyle w:val="BlockText"/>
        <w:ind w:left="2520"/>
      </w:pPr>
    </w:p>
    <w:p w:rsidR="00065B23" w:rsidRDefault="00065B23" w:rsidP="00065B23">
      <w:pPr>
        <w:pStyle w:val="BlockText"/>
        <w:numPr>
          <w:ilvl w:val="2"/>
          <w:numId w:val="32"/>
        </w:numPr>
      </w:pPr>
      <w:r>
        <w:t>Received from Fort Pierce Utility Authority, on December 5, 2013, seeking a determination of whether the petitioner is exempt from the licensure requirements of s. 489.105(3) for the installation of gas piping and installation and testing of gas piping systems.</w:t>
      </w:r>
    </w:p>
    <w:p w:rsidR="00065B23" w:rsidRDefault="00065B23" w:rsidP="00065B23">
      <w:pPr>
        <w:pStyle w:val="ListParagraph"/>
      </w:pPr>
    </w:p>
    <w:p w:rsidR="00B228D4" w:rsidRDefault="00065B23" w:rsidP="00B228D4">
      <w:pPr>
        <w:pStyle w:val="BlockText"/>
        <w:numPr>
          <w:ilvl w:val="2"/>
          <w:numId w:val="32"/>
        </w:numPr>
      </w:pPr>
      <w:r>
        <w:t xml:space="preserve">Issued an order </w:t>
      </w:r>
      <w:r w:rsidR="00B228D4">
        <w:t xml:space="preserve">on November 27, 2013, </w:t>
      </w:r>
      <w:r>
        <w:t>on a petition received from City of Port Orange on May 28, 2013, seeking a determination of whether s. 489.105(3) and 489.113(9)(a) requires an underground utility and excavation contractor to perform work at a reclaimed water treatment plant</w:t>
      </w:r>
      <w:r w:rsidR="00B228D4">
        <w:t>, specifying the work such a contractor is permitted to perform</w:t>
      </w:r>
      <w:r>
        <w:t>.</w:t>
      </w:r>
      <w:r w:rsidR="00B228D4" w:rsidRPr="00B228D4">
        <w:t xml:space="preserve"> </w:t>
      </w:r>
    </w:p>
    <w:p w:rsidR="00B228D4" w:rsidRDefault="00B228D4" w:rsidP="00B228D4">
      <w:pPr>
        <w:pStyle w:val="ListParagraph"/>
      </w:pPr>
    </w:p>
    <w:p w:rsidR="00B228D4" w:rsidRDefault="00B228D4" w:rsidP="00B228D4">
      <w:pPr>
        <w:pStyle w:val="BlockText"/>
        <w:numPr>
          <w:ilvl w:val="2"/>
          <w:numId w:val="32"/>
        </w:numPr>
      </w:pPr>
      <w:r>
        <w:t xml:space="preserve">Received from Morganti Group, Inc., on December 12, 2013, seeking a determination of whether s. 489.105 requires a general contractor’s license to perform “Construction Management,” “Program Management” and “Facility Management” services. </w:t>
      </w:r>
    </w:p>
    <w:p w:rsidR="00B228D4" w:rsidRDefault="00B228D4" w:rsidP="00B228D4">
      <w:pPr>
        <w:pStyle w:val="ListParagraph"/>
      </w:pPr>
    </w:p>
    <w:p w:rsidR="00BC59CC" w:rsidRDefault="004E142A" w:rsidP="00B228D4">
      <w:pPr>
        <w:pStyle w:val="BlockText"/>
        <w:numPr>
          <w:ilvl w:val="1"/>
          <w:numId w:val="32"/>
        </w:numPr>
      </w:pPr>
      <w:r>
        <w:t>This board has received or dis</w:t>
      </w:r>
      <w:r w:rsidR="002558FB">
        <w:t>posed of the following Petition</w:t>
      </w:r>
      <w:r>
        <w:t xml:space="preserve"> for Va</w:t>
      </w:r>
      <w:r w:rsidR="008C23E6">
        <w:t>riance or Waiver (if any):</w:t>
      </w:r>
      <w:r w:rsidR="000340FB">
        <w:t xml:space="preserve"> </w:t>
      </w:r>
      <w:r w:rsidR="00790ED1">
        <w:t xml:space="preserve">Withdrew </w:t>
      </w:r>
      <w:r w:rsidR="00BC59CC">
        <w:t>a petition r</w:t>
      </w:r>
      <w:r w:rsidR="004E1249">
        <w:t xml:space="preserve">eceived </w:t>
      </w:r>
      <w:r w:rsidR="00790ED1">
        <w:t>on October 25, 2013, from Robert W. Moody, Jr.,</w:t>
      </w:r>
      <w:r w:rsidR="00BC59CC">
        <w:t xml:space="preserve"> </w:t>
      </w:r>
      <w:r w:rsidR="004E1249">
        <w:t xml:space="preserve">seeking a </w:t>
      </w:r>
      <w:r w:rsidR="00790ED1">
        <w:t>waiver of Rule 61G4-16.005</w:t>
      </w:r>
      <w:r w:rsidR="00065B23">
        <w:t>.</w:t>
      </w:r>
    </w:p>
    <w:p w:rsidR="004E1249" w:rsidRDefault="004E1249" w:rsidP="001150F0">
      <w:pPr>
        <w:pStyle w:val="BlockText"/>
      </w:pPr>
    </w:p>
    <w:p w:rsidR="00B228D4" w:rsidRDefault="004E142A" w:rsidP="00B228D4">
      <w:pPr>
        <w:pStyle w:val="BlockText"/>
        <w:numPr>
          <w:ilvl w:val="0"/>
          <w:numId w:val="32"/>
        </w:numPr>
      </w:pPr>
      <w:r w:rsidRPr="00BD45AE">
        <w:rPr>
          <w:u w:val="single"/>
        </w:rPr>
        <w:t>Electrical Contracting Licensing Board</w:t>
      </w:r>
      <w:r>
        <w:t xml:space="preserve"> (includes both electricians and alarm contractors) – Chapter </w:t>
      </w:r>
      <w:r w:rsidR="00EF30B1">
        <w:t>489, Part II, FS and 61G6, FAC</w:t>
      </w:r>
      <w:r w:rsidR="00BD45AE">
        <w:t xml:space="preserve">: </w:t>
      </w:r>
    </w:p>
    <w:p w:rsidR="00BD45AE" w:rsidRDefault="00BD45AE" w:rsidP="00BE7523">
      <w:pPr>
        <w:pStyle w:val="BlockText"/>
      </w:pPr>
    </w:p>
    <w:p w:rsidR="00480712" w:rsidRDefault="00BD45AE" w:rsidP="00BD45AE">
      <w:pPr>
        <w:pStyle w:val="BlockText"/>
        <w:numPr>
          <w:ilvl w:val="1"/>
          <w:numId w:val="32"/>
        </w:numPr>
      </w:pPr>
      <w:r>
        <w:t xml:space="preserve">This board has </w:t>
      </w:r>
      <w:r w:rsidR="00BE7523">
        <w:t>proposed</w:t>
      </w:r>
      <w:r>
        <w:t xml:space="preserve"> adopted, repealed or amended the following rules (if any): </w:t>
      </w:r>
      <w:r w:rsidR="00691E1A">
        <w:t>Rule 61G6-8.001 is proposed to be amended to add $200 filing fee to alarm and specialty licenses.</w:t>
      </w:r>
    </w:p>
    <w:p w:rsidR="00480712" w:rsidRDefault="00480712" w:rsidP="00480712">
      <w:pPr>
        <w:pStyle w:val="BlockText"/>
        <w:ind w:left="1800"/>
      </w:pPr>
    </w:p>
    <w:p w:rsidR="004E142A" w:rsidRDefault="004E142A" w:rsidP="00BD45AE">
      <w:pPr>
        <w:pStyle w:val="BlockText"/>
        <w:numPr>
          <w:ilvl w:val="1"/>
          <w:numId w:val="32"/>
        </w:numPr>
      </w:pPr>
      <w:r>
        <w:t xml:space="preserve">This board has received or disposed of the following Petitions for </w:t>
      </w:r>
      <w:r w:rsidR="00480712">
        <w:t>Declaratory Statement (if any):</w:t>
      </w:r>
      <w:r w:rsidR="00BC59CC">
        <w:t xml:space="preserve"> None noticed.</w:t>
      </w:r>
    </w:p>
    <w:p w:rsidR="00480712" w:rsidRDefault="00480712" w:rsidP="00480712">
      <w:pPr>
        <w:pStyle w:val="BlockText"/>
        <w:ind w:left="1800"/>
      </w:pPr>
    </w:p>
    <w:p w:rsidR="004E142A" w:rsidRDefault="004E142A" w:rsidP="004E142A">
      <w:pPr>
        <w:pStyle w:val="BlockText"/>
        <w:numPr>
          <w:ilvl w:val="1"/>
          <w:numId w:val="32"/>
        </w:numPr>
      </w:pPr>
      <w:r>
        <w:t xml:space="preserve">This board has received or disposed of the following Petitions for </w:t>
      </w:r>
      <w:r w:rsidR="009E2A70">
        <w:t>Va</w:t>
      </w:r>
      <w:r w:rsidR="00BD45AE">
        <w:t>riance or Waiver (if any):</w:t>
      </w:r>
      <w:r w:rsidR="00AC4FD0">
        <w:t xml:space="preserve"> </w:t>
      </w:r>
      <w:r w:rsidR="00BC59CC">
        <w:t>None noticed</w:t>
      </w:r>
      <w:r w:rsidR="00AC4FD0">
        <w:t>.</w:t>
      </w:r>
    </w:p>
    <w:p w:rsidR="004E142A" w:rsidRDefault="004E142A" w:rsidP="001E3281">
      <w:pPr>
        <w:pStyle w:val="BlockText"/>
      </w:pPr>
    </w:p>
    <w:p w:rsidR="004E142A" w:rsidRDefault="004E142A" w:rsidP="004E142A">
      <w:pPr>
        <w:pStyle w:val="BlockText"/>
        <w:numPr>
          <w:ilvl w:val="0"/>
          <w:numId w:val="32"/>
        </w:numPr>
      </w:pPr>
      <w:r w:rsidRPr="00CF2384">
        <w:rPr>
          <w:u w:val="single"/>
        </w:rPr>
        <w:t>Board of Architecture and Interior Design</w:t>
      </w:r>
      <w:r>
        <w:t xml:space="preserve"> – Chapter 481, Part I, FS and 61G1 FAC: </w:t>
      </w:r>
    </w:p>
    <w:p w:rsidR="004E142A" w:rsidRDefault="004E142A" w:rsidP="004E142A">
      <w:pPr>
        <w:pStyle w:val="BlockText"/>
        <w:ind w:left="1080"/>
      </w:pPr>
    </w:p>
    <w:p w:rsidR="003C40E8" w:rsidRDefault="00E1125C" w:rsidP="00571120">
      <w:pPr>
        <w:pStyle w:val="BlockText"/>
        <w:numPr>
          <w:ilvl w:val="1"/>
          <w:numId w:val="32"/>
        </w:numPr>
      </w:pPr>
      <w:r>
        <w:t>This board has proposed, adopted, repealed or amended the following rules (if any</w:t>
      </w:r>
      <w:r w:rsidR="00691E1A">
        <w:t>):</w:t>
      </w:r>
    </w:p>
    <w:p w:rsidR="00691E1A" w:rsidRDefault="00691E1A" w:rsidP="00691E1A">
      <w:pPr>
        <w:pStyle w:val="BlockText"/>
        <w:numPr>
          <w:ilvl w:val="2"/>
          <w:numId w:val="32"/>
        </w:numPr>
      </w:pPr>
      <w:r>
        <w:t>Rule 61G1-16.004 regarding block titles.</w:t>
      </w:r>
    </w:p>
    <w:p w:rsidR="00691E1A" w:rsidRDefault="00691E1A" w:rsidP="00691E1A">
      <w:pPr>
        <w:pStyle w:val="BlockText"/>
        <w:ind w:left="2520"/>
      </w:pPr>
    </w:p>
    <w:p w:rsidR="00691E1A" w:rsidRDefault="00691E1A" w:rsidP="00691E1A">
      <w:pPr>
        <w:pStyle w:val="BlockText"/>
        <w:numPr>
          <w:ilvl w:val="2"/>
          <w:numId w:val="32"/>
        </w:numPr>
      </w:pPr>
      <w:r>
        <w:t>Rule 61G1-21.006 regarding inactive or delinquent interior designers.</w:t>
      </w:r>
    </w:p>
    <w:p w:rsidR="00691E1A" w:rsidRDefault="00691E1A" w:rsidP="00691E1A">
      <w:pPr>
        <w:pStyle w:val="BlockText"/>
      </w:pPr>
    </w:p>
    <w:p w:rsidR="00691E1A" w:rsidRDefault="00691E1A" w:rsidP="00691E1A">
      <w:pPr>
        <w:pStyle w:val="BlockText"/>
        <w:numPr>
          <w:ilvl w:val="2"/>
          <w:numId w:val="32"/>
        </w:numPr>
      </w:pPr>
      <w:r>
        <w:t>Rule 61G1-24-004 regarding inactive or delinquent architects.</w:t>
      </w:r>
    </w:p>
    <w:p w:rsidR="00691E1A" w:rsidRDefault="00691E1A" w:rsidP="00691E1A">
      <w:pPr>
        <w:pStyle w:val="BlockText"/>
      </w:pPr>
    </w:p>
    <w:p w:rsidR="00691E1A" w:rsidRDefault="00691E1A" w:rsidP="00691E1A">
      <w:pPr>
        <w:pStyle w:val="BlockText"/>
        <w:numPr>
          <w:ilvl w:val="2"/>
          <w:numId w:val="32"/>
        </w:numPr>
      </w:pPr>
      <w:r>
        <w:t>Rule 61G1-24.005 regarding the definition of a completed application.</w:t>
      </w:r>
    </w:p>
    <w:p w:rsidR="00691E1A" w:rsidRDefault="00691E1A" w:rsidP="00691E1A">
      <w:pPr>
        <w:pStyle w:val="BlockText"/>
      </w:pPr>
    </w:p>
    <w:p w:rsidR="00691E1A" w:rsidRDefault="00691E1A" w:rsidP="00691E1A">
      <w:pPr>
        <w:pStyle w:val="BlockText"/>
        <w:numPr>
          <w:ilvl w:val="2"/>
          <w:numId w:val="32"/>
        </w:numPr>
      </w:pPr>
      <w:r>
        <w:t>Rule 61G1-25.003 regarding qualification program for threshold building inspectors.</w:t>
      </w:r>
    </w:p>
    <w:p w:rsidR="00AC4FD0" w:rsidRDefault="00AC4FD0" w:rsidP="00AC4FD0">
      <w:pPr>
        <w:pStyle w:val="BlockText"/>
        <w:ind w:left="1800"/>
      </w:pPr>
    </w:p>
    <w:p w:rsidR="004E142A" w:rsidRDefault="004E142A" w:rsidP="004E142A">
      <w:pPr>
        <w:pStyle w:val="BlockText"/>
        <w:numPr>
          <w:ilvl w:val="1"/>
          <w:numId w:val="32"/>
        </w:numPr>
      </w:pPr>
      <w:r>
        <w:t xml:space="preserve">This board has received or disposed of the following Petitions for Declaratory Statement (if any): </w:t>
      </w:r>
      <w:r w:rsidR="009E2A70">
        <w:t>None</w:t>
      </w:r>
      <w:r w:rsidR="002558FB">
        <w:t xml:space="preserve"> noticed</w:t>
      </w:r>
      <w:r w:rsidR="009E2A70">
        <w:t>.</w:t>
      </w:r>
    </w:p>
    <w:p w:rsidR="004E142A" w:rsidRDefault="004E142A" w:rsidP="004E142A">
      <w:pPr>
        <w:pStyle w:val="ListParagraph"/>
      </w:pPr>
    </w:p>
    <w:p w:rsidR="004E142A" w:rsidRDefault="004E142A" w:rsidP="004E142A">
      <w:pPr>
        <w:pStyle w:val="BlockText"/>
        <w:numPr>
          <w:ilvl w:val="1"/>
          <w:numId w:val="32"/>
        </w:numPr>
      </w:pPr>
      <w:r>
        <w:t>This board has received or disposed of the following Petitions f</w:t>
      </w:r>
      <w:r w:rsidR="00273404">
        <w:t>or Variance or Waiver (if any):</w:t>
      </w:r>
      <w:r w:rsidR="00AC4FD0">
        <w:t xml:space="preserve"> None noticed.</w:t>
      </w:r>
    </w:p>
    <w:p w:rsidR="004E2A5D" w:rsidRDefault="004E2A5D" w:rsidP="00AC4FD0">
      <w:pPr>
        <w:pStyle w:val="BlockText"/>
      </w:pPr>
    </w:p>
    <w:p w:rsidR="004E142A" w:rsidRDefault="004E142A" w:rsidP="004E142A">
      <w:pPr>
        <w:pStyle w:val="BlockText"/>
        <w:numPr>
          <w:ilvl w:val="0"/>
          <w:numId w:val="32"/>
        </w:numPr>
      </w:pPr>
      <w:r w:rsidRPr="00EF1953">
        <w:rPr>
          <w:u w:val="single"/>
        </w:rPr>
        <w:t>Board of Landscape Architecture</w:t>
      </w:r>
      <w:r>
        <w:t xml:space="preserve"> – Chapter 481, Part II, FS and 61G10 FAC: </w:t>
      </w:r>
    </w:p>
    <w:p w:rsidR="004E142A" w:rsidRDefault="004E142A" w:rsidP="004E142A"/>
    <w:p w:rsidR="004E142A" w:rsidRDefault="004E142A" w:rsidP="00D255AC">
      <w:pPr>
        <w:ind w:left="720" w:firstLine="720"/>
      </w:pPr>
      <w:r>
        <w:t>(Nothing to report)</w:t>
      </w:r>
    </w:p>
    <w:p w:rsidR="004E142A" w:rsidRDefault="004E142A" w:rsidP="004E142A"/>
    <w:p w:rsidR="004E142A" w:rsidRDefault="004E142A" w:rsidP="004E142A">
      <w:pPr>
        <w:pStyle w:val="BlockText"/>
        <w:numPr>
          <w:ilvl w:val="0"/>
          <w:numId w:val="32"/>
        </w:numPr>
      </w:pPr>
      <w:r w:rsidRPr="00D42313">
        <w:rPr>
          <w:u w:val="single"/>
        </w:rPr>
        <w:t>Board of Professional Engineers</w:t>
      </w:r>
      <w:r>
        <w:t xml:space="preserve"> – Chapter 471, FS and 61G15 FAC: </w:t>
      </w:r>
    </w:p>
    <w:p w:rsidR="004E142A" w:rsidRDefault="004E142A" w:rsidP="004E142A">
      <w:pPr>
        <w:pStyle w:val="BlockText"/>
      </w:pPr>
    </w:p>
    <w:p w:rsidR="003C4C6F" w:rsidRDefault="00E1125C" w:rsidP="003B1E1B">
      <w:pPr>
        <w:pStyle w:val="BlockText"/>
        <w:numPr>
          <w:ilvl w:val="1"/>
          <w:numId w:val="32"/>
        </w:numPr>
      </w:pPr>
      <w:r>
        <w:t xml:space="preserve">This board has </w:t>
      </w:r>
      <w:r w:rsidR="004204AE">
        <w:t>proposed</w:t>
      </w:r>
      <w:r>
        <w:t xml:space="preserve"> adopted, repealed or amended</w:t>
      </w:r>
      <w:r w:rsidR="004204AE">
        <w:t xml:space="preserve"> the following rules (if </w:t>
      </w:r>
      <w:r>
        <w:t>any)</w:t>
      </w:r>
      <w:r w:rsidR="004E2A5D">
        <w:t>:</w:t>
      </w:r>
      <w:r w:rsidR="00AC4FD0">
        <w:t xml:space="preserve"> </w:t>
      </w:r>
      <w:r w:rsidR="00691E1A">
        <w:t>None noticed.</w:t>
      </w:r>
    </w:p>
    <w:p w:rsidR="00691E1A" w:rsidRDefault="00691E1A" w:rsidP="00691E1A">
      <w:pPr>
        <w:pStyle w:val="BlockText"/>
        <w:ind w:left="1800"/>
      </w:pPr>
    </w:p>
    <w:p w:rsidR="002438D2" w:rsidRDefault="009E2A70" w:rsidP="002438D2">
      <w:pPr>
        <w:pStyle w:val="BlockText"/>
        <w:numPr>
          <w:ilvl w:val="1"/>
          <w:numId w:val="32"/>
        </w:numPr>
      </w:pPr>
      <w:r>
        <w:t xml:space="preserve">This board has received or disposed of the following Petitions for </w:t>
      </w:r>
      <w:r w:rsidR="00052694">
        <w:t>Declaratory Statement</w:t>
      </w:r>
      <w:r>
        <w:t xml:space="preserve"> (if any): None</w:t>
      </w:r>
      <w:r w:rsidR="00920535">
        <w:t xml:space="preserve"> noticed</w:t>
      </w:r>
      <w:r>
        <w:t>.</w:t>
      </w:r>
    </w:p>
    <w:p w:rsidR="002438D2" w:rsidRDefault="002438D2" w:rsidP="002438D2">
      <w:pPr>
        <w:pStyle w:val="BlockText"/>
        <w:ind w:left="1800"/>
      </w:pPr>
    </w:p>
    <w:p w:rsidR="00691E1A" w:rsidRDefault="009E2A70" w:rsidP="00691E1A">
      <w:pPr>
        <w:pStyle w:val="BlockText"/>
        <w:numPr>
          <w:ilvl w:val="1"/>
          <w:numId w:val="32"/>
        </w:numPr>
      </w:pPr>
      <w:r>
        <w:t>This board has received or disposed of the following Petitions for Va</w:t>
      </w:r>
      <w:r w:rsidR="00920535">
        <w:t>riance or Waiver (if any):</w:t>
      </w:r>
      <w:r w:rsidR="00691E1A">
        <w:t xml:space="preserve"> None noticed.</w:t>
      </w:r>
    </w:p>
    <w:p w:rsidR="004E142A" w:rsidRDefault="004E142A" w:rsidP="00691E1A">
      <w:pPr>
        <w:pStyle w:val="BlockText"/>
      </w:pPr>
      <w:r>
        <w:tab/>
      </w:r>
    </w:p>
    <w:p w:rsidR="004E142A" w:rsidRDefault="004E142A" w:rsidP="004E142A">
      <w:pPr>
        <w:pStyle w:val="BlockText"/>
        <w:numPr>
          <w:ilvl w:val="0"/>
          <w:numId w:val="32"/>
        </w:numPr>
      </w:pPr>
      <w:r w:rsidRPr="009A1012">
        <w:rPr>
          <w:u w:val="single"/>
        </w:rPr>
        <w:t>Building Code Administrators and Inspectors</w:t>
      </w:r>
      <w:r>
        <w:t xml:space="preserve"> Board – Chapter 468, Part XII and 61G19 FAC: </w:t>
      </w:r>
    </w:p>
    <w:p w:rsidR="004E142A" w:rsidRDefault="004E142A" w:rsidP="004E142A">
      <w:pPr>
        <w:pStyle w:val="BlockText"/>
        <w:ind w:left="1440"/>
      </w:pPr>
    </w:p>
    <w:p w:rsidR="004E142A" w:rsidRDefault="00E1125C" w:rsidP="00E1125C">
      <w:pPr>
        <w:pStyle w:val="BlockText"/>
        <w:numPr>
          <w:ilvl w:val="1"/>
          <w:numId w:val="32"/>
        </w:numPr>
      </w:pPr>
      <w:r>
        <w:t>This board has proposed, adopted, repealed or amended the following rules (if any):</w:t>
      </w:r>
      <w:r w:rsidR="00691E1A">
        <w:t xml:space="preserve"> Rule 61G19-2.008 regarding public comments.</w:t>
      </w:r>
    </w:p>
    <w:p w:rsidR="004E142A" w:rsidRDefault="004E142A" w:rsidP="004E142A">
      <w:pPr>
        <w:pStyle w:val="BlockText"/>
      </w:pPr>
    </w:p>
    <w:p w:rsidR="004E2A5D" w:rsidRDefault="004E142A" w:rsidP="004E142A">
      <w:pPr>
        <w:pStyle w:val="BlockText"/>
        <w:numPr>
          <w:ilvl w:val="1"/>
          <w:numId w:val="32"/>
        </w:numPr>
      </w:pPr>
      <w:r>
        <w:t>This board has received or disposed of the following Petitions for Declaratory Statement (if any</w:t>
      </w:r>
      <w:r w:rsidR="004E2A5D">
        <w:t>): None noticed.</w:t>
      </w:r>
    </w:p>
    <w:p w:rsidR="004E2A5D" w:rsidRDefault="004E2A5D" w:rsidP="004E2A5D">
      <w:pPr>
        <w:pStyle w:val="BlockText"/>
        <w:ind w:left="1800"/>
      </w:pPr>
    </w:p>
    <w:p w:rsidR="004E142A" w:rsidRDefault="004E142A" w:rsidP="004E142A">
      <w:pPr>
        <w:pStyle w:val="BlockText"/>
        <w:numPr>
          <w:ilvl w:val="1"/>
          <w:numId w:val="32"/>
        </w:numPr>
      </w:pPr>
      <w:r>
        <w:t xml:space="preserve">This board has received or disposed of the following Petitions for Variance or Waiver (if any): </w:t>
      </w:r>
      <w:r w:rsidR="004204AE">
        <w:t>None</w:t>
      </w:r>
      <w:r w:rsidR="00920535">
        <w:t xml:space="preserve"> noticed</w:t>
      </w:r>
      <w:r w:rsidR="004204AE">
        <w:t>.</w:t>
      </w:r>
    </w:p>
    <w:p w:rsidR="004E142A" w:rsidRPr="003134D3" w:rsidRDefault="004E142A" w:rsidP="004E142A">
      <w:pPr>
        <w:pStyle w:val="BlockText"/>
      </w:pPr>
    </w:p>
    <w:p w:rsidR="00941C32" w:rsidRDefault="004E142A" w:rsidP="00A82F6F">
      <w:pPr>
        <w:pStyle w:val="BlockText"/>
        <w:numPr>
          <w:ilvl w:val="0"/>
          <w:numId w:val="32"/>
        </w:numPr>
      </w:pPr>
      <w:r w:rsidRPr="00A82F6F">
        <w:rPr>
          <w:u w:val="single"/>
        </w:rPr>
        <w:t>Florida Building Commission</w:t>
      </w:r>
      <w:r>
        <w:rPr>
          <w:rStyle w:val="FootnoteReference"/>
          <w:u w:val="single"/>
        </w:rPr>
        <w:footnoteReference w:id="1"/>
      </w:r>
      <w:r>
        <w:t xml:space="preserve"> – Chapter 553, Part IV and Chapter 61G20, FAC): </w:t>
      </w:r>
    </w:p>
    <w:p w:rsidR="00920535" w:rsidRDefault="00920535" w:rsidP="00920535">
      <w:pPr>
        <w:pStyle w:val="BlockText"/>
        <w:ind w:left="1080"/>
      </w:pPr>
    </w:p>
    <w:p w:rsidR="004E2A5D" w:rsidRDefault="00E1125C" w:rsidP="003C4C6F">
      <w:pPr>
        <w:pStyle w:val="BlockText"/>
        <w:numPr>
          <w:ilvl w:val="1"/>
          <w:numId w:val="32"/>
        </w:numPr>
      </w:pPr>
      <w:r>
        <w:t>This board has proposed, adopted, repealed or amended the following rules (if any):</w:t>
      </w:r>
    </w:p>
    <w:p w:rsidR="00691E1A" w:rsidRDefault="00691E1A" w:rsidP="00691E1A">
      <w:pPr>
        <w:pStyle w:val="BlockText"/>
        <w:numPr>
          <w:ilvl w:val="2"/>
          <w:numId w:val="32"/>
        </w:numPr>
      </w:pPr>
      <w:r>
        <w:t>Rule 61G20-3, regarding product approvals.</w:t>
      </w:r>
    </w:p>
    <w:p w:rsidR="00691E1A" w:rsidRDefault="00691E1A" w:rsidP="00691E1A">
      <w:pPr>
        <w:pStyle w:val="BlockText"/>
        <w:ind w:left="2520"/>
      </w:pPr>
    </w:p>
    <w:p w:rsidR="00691E1A" w:rsidRDefault="00691E1A" w:rsidP="00691E1A">
      <w:pPr>
        <w:pStyle w:val="BlockText"/>
        <w:numPr>
          <w:ilvl w:val="2"/>
          <w:numId w:val="32"/>
        </w:numPr>
      </w:pPr>
      <w:r>
        <w:t>Rule 61G20-6, regarding building code training program.</w:t>
      </w:r>
    </w:p>
    <w:p w:rsidR="00571120" w:rsidRDefault="00571120" w:rsidP="00571120">
      <w:pPr>
        <w:pStyle w:val="BlockText"/>
        <w:ind w:left="1800"/>
      </w:pPr>
    </w:p>
    <w:p w:rsidR="00571120" w:rsidRDefault="00E1125C" w:rsidP="00F054FC">
      <w:pPr>
        <w:pStyle w:val="BlockText"/>
        <w:numPr>
          <w:ilvl w:val="1"/>
          <w:numId w:val="32"/>
        </w:numPr>
      </w:pPr>
      <w:r>
        <w:t xml:space="preserve">This board has received or disposed of the following Petitions for </w:t>
      </w:r>
      <w:r w:rsidR="004E2A5D">
        <w:t xml:space="preserve">Declaratory Statement: </w:t>
      </w:r>
      <w:r w:rsidR="00571120">
        <w:t xml:space="preserve">None </w:t>
      </w:r>
      <w:r w:rsidR="00D255AC">
        <w:t>noticed.</w:t>
      </w:r>
    </w:p>
    <w:p w:rsidR="002438D2" w:rsidRDefault="002438D2" w:rsidP="002438D2">
      <w:pPr>
        <w:pStyle w:val="BlockText"/>
        <w:ind w:left="1800"/>
      </w:pPr>
    </w:p>
    <w:p w:rsidR="00571120" w:rsidRPr="00571120" w:rsidRDefault="00D255AC" w:rsidP="00571120">
      <w:pPr>
        <w:pStyle w:val="BlockText"/>
        <w:rPr>
          <w:b/>
        </w:rPr>
      </w:pPr>
      <w:r>
        <w:rPr>
          <w:b/>
          <w:u w:val="single"/>
        </w:rPr>
        <w:t xml:space="preserve">CODE </w:t>
      </w:r>
      <w:r w:rsidR="00571120" w:rsidRPr="00D255AC">
        <w:rPr>
          <w:b/>
          <w:u w:val="single"/>
        </w:rPr>
        <w:t>NOTE</w:t>
      </w:r>
      <w:r w:rsidR="00571120" w:rsidRPr="00D255AC">
        <w:rPr>
          <w:b/>
        </w:rPr>
        <w:t xml:space="preserve">: </w:t>
      </w:r>
      <w:r w:rsidR="00571120" w:rsidRPr="00571120">
        <w:rPr>
          <w:b/>
        </w:rPr>
        <w:t xml:space="preserve">Due to a delay in adoption of the latest NFPA fire codes, the effective date of the next Florida Building has been postponed until </w:t>
      </w:r>
      <w:r w:rsidR="00571120">
        <w:rPr>
          <w:b/>
        </w:rPr>
        <w:t>December 31, 201</w:t>
      </w:r>
      <w:r w:rsidR="00571120" w:rsidRPr="00571120">
        <w:rPr>
          <w:b/>
          <w:i/>
          <w:u w:val="single"/>
        </w:rPr>
        <w:t>4</w:t>
      </w:r>
      <w:r w:rsidR="00571120">
        <w:rPr>
          <w:b/>
          <w:i/>
          <w:u w:val="single"/>
        </w:rPr>
        <w:t xml:space="preserve"> </w:t>
      </w:r>
      <w:r w:rsidR="00571120">
        <w:rPr>
          <w:b/>
        </w:rPr>
        <w:t>and will be entitled "Florida Building Code 5</w:t>
      </w:r>
      <w:r w:rsidR="00571120" w:rsidRPr="00571120">
        <w:rPr>
          <w:b/>
          <w:vertAlign w:val="superscript"/>
        </w:rPr>
        <w:t>th</w:t>
      </w:r>
      <w:r w:rsidR="00571120">
        <w:rPr>
          <w:b/>
        </w:rPr>
        <w:t xml:space="preserve"> Edition (2014)."</w:t>
      </w:r>
    </w:p>
    <w:p w:rsidR="00571120" w:rsidRPr="00571120" w:rsidRDefault="00571120" w:rsidP="00571120">
      <w:pPr>
        <w:pStyle w:val="BlockText"/>
        <w:rPr>
          <w:b/>
        </w:rPr>
      </w:pPr>
    </w:p>
    <w:p w:rsidR="000340FB" w:rsidRDefault="00941C32" w:rsidP="0017187B">
      <w:pPr>
        <w:pStyle w:val="BlockText"/>
        <w:ind w:firstLine="720"/>
      </w:pPr>
      <w:r>
        <w:t xml:space="preserve">8. </w:t>
      </w:r>
      <w:r w:rsidRPr="00941C32">
        <w:rPr>
          <w:u w:val="single"/>
        </w:rPr>
        <w:t>DBPR/Home Inspectors:</w:t>
      </w:r>
      <w:r>
        <w:t xml:space="preserve"> </w:t>
      </w:r>
      <w:r w:rsidR="002438D2">
        <w:t xml:space="preserve">The agency has published notice of </w:t>
      </w:r>
      <w:r w:rsidR="00B40FA6">
        <w:t>rulemaking</w:t>
      </w:r>
      <w:r w:rsidR="002438D2">
        <w:t xml:space="preserve"> pursuant to Chapter 61-31, Sections .101-.702 F. A. C., regarding licensing of mold related services.</w:t>
      </w:r>
    </w:p>
    <w:p w:rsidR="004E2A5D" w:rsidRDefault="004E2A5D" w:rsidP="004E2A5D">
      <w:pPr>
        <w:pStyle w:val="BlockText"/>
      </w:pPr>
    </w:p>
    <w:p w:rsidR="000340FB" w:rsidRDefault="000340FB" w:rsidP="00941C32">
      <w:pPr>
        <w:pStyle w:val="BlockText"/>
        <w:ind w:left="720"/>
      </w:pPr>
      <w:r>
        <w:t xml:space="preserve">9. </w:t>
      </w:r>
      <w:r w:rsidRPr="000340FB">
        <w:rPr>
          <w:u w:val="single"/>
        </w:rPr>
        <w:t>Board of Professional Geologists:</w:t>
      </w:r>
      <w:r>
        <w:t xml:space="preserve"> Chapter 492, Florida Statutes, and Rule Chapter 61G16, F.A.C.</w:t>
      </w:r>
      <w:r w:rsidR="00F054FC">
        <w:t>: Nothing to report.</w:t>
      </w:r>
    </w:p>
    <w:p w:rsidR="00436BA2" w:rsidRDefault="00436BA2" w:rsidP="00941C32">
      <w:pPr>
        <w:pStyle w:val="BlockText"/>
        <w:ind w:left="720"/>
      </w:pPr>
    </w:p>
    <w:p w:rsidR="004E142A" w:rsidRDefault="00436BA2" w:rsidP="004E142A">
      <w:pPr>
        <w:pStyle w:val="BlockText"/>
        <w:ind w:left="1080"/>
        <w:rPr>
          <w:rStyle w:val="text"/>
          <w:rFonts w:ascii="Verdana" w:hAnsi="Verdana"/>
          <w:color w:val="000080"/>
          <w:sz w:val="20"/>
          <w:szCs w:val="20"/>
        </w:rPr>
      </w:pPr>
      <w:r>
        <w:rPr>
          <w:rStyle w:val="text"/>
          <w:rFonts w:ascii="Verdana" w:hAnsi="Verdana"/>
          <w:color w:val="000080"/>
          <w:sz w:val="20"/>
          <w:szCs w:val="20"/>
        </w:rPr>
        <w:t>“Geology” means the science which includes the treatment of the earth and its origin and history, in general; the investigation of the earth’s crust and interior and the solids and fluids, including all surface and underground waters, and gases which compose the earth; the study of the natural agents, forces, and processes which cause changes in the earth; and the utilization of this knowledge of the earth and its solids, fluids, and gases, and their collective properties and processes, for the benefit of humankind.</w:t>
      </w:r>
    </w:p>
    <w:p w:rsidR="0094577A" w:rsidRDefault="0094577A" w:rsidP="0094577A">
      <w:pPr>
        <w:pStyle w:val="BlockText"/>
      </w:pPr>
    </w:p>
    <w:p w:rsidR="0094577A" w:rsidRDefault="0094577A" w:rsidP="0094577A">
      <w:pPr>
        <w:pStyle w:val="BlockText"/>
        <w:ind w:left="720"/>
      </w:pPr>
      <w:r>
        <w:t>10</w:t>
      </w:r>
      <w:r w:rsidRPr="00427E2F">
        <w:rPr>
          <w:u w:val="single"/>
        </w:rPr>
        <w:t>. Division of Hotels and Restaurants: Elevator Safety</w:t>
      </w:r>
      <w:r>
        <w:t xml:space="preserve"> - Chapter 399, Florida Statutes</w:t>
      </w:r>
      <w:r w:rsidR="00E64091">
        <w:t xml:space="preserve"> (which excludes private residential elevators)</w:t>
      </w:r>
      <w:r>
        <w:t xml:space="preserve">, and Chapter </w:t>
      </w:r>
      <w:r w:rsidR="00427E2F">
        <w:t>61C-5, F.A.C.</w:t>
      </w:r>
      <w:r w:rsidR="004E2A5D">
        <w:t xml:space="preserve"> Nothing to report.</w:t>
      </w:r>
    </w:p>
    <w:p w:rsidR="004B10A3" w:rsidRDefault="004B10A3" w:rsidP="0094577A">
      <w:pPr>
        <w:pStyle w:val="BlockText"/>
        <w:ind w:left="720"/>
      </w:pPr>
    </w:p>
    <w:p w:rsidR="004B10A3" w:rsidRDefault="004B10A3" w:rsidP="004B10A3">
      <w:pPr>
        <w:pStyle w:val="BlockText"/>
        <w:ind w:left="810" w:hanging="810"/>
      </w:pPr>
      <w:r w:rsidRPr="004B10A3">
        <w:rPr>
          <w:b/>
          <w:u w:val="single"/>
        </w:rPr>
        <w:t>NEW</w:t>
      </w:r>
      <w:r>
        <w:t xml:space="preserve">   11. </w:t>
      </w:r>
      <w:r w:rsidRPr="00C906E0">
        <w:rPr>
          <w:u w:val="single"/>
        </w:rPr>
        <w:t>Asbestos Consultants</w:t>
      </w:r>
      <w:r>
        <w:t xml:space="preserve"> – Chapter </w:t>
      </w:r>
      <w:r w:rsidR="00C906E0">
        <w:t>469</w:t>
      </w:r>
      <w:r>
        <w:t>, Florida Statutes, and Chapter 61E1, F.A.C.: Nothing to report</w:t>
      </w:r>
    </w:p>
    <w:p w:rsidR="00427E2F" w:rsidRPr="0094577A" w:rsidRDefault="00427E2F" w:rsidP="004E2A5D">
      <w:pPr>
        <w:pStyle w:val="BlockText"/>
      </w:pPr>
    </w:p>
    <w:p w:rsidR="004E142A" w:rsidRDefault="00DE52F2" w:rsidP="00DE52F2">
      <w:pPr>
        <w:pStyle w:val="BlockText"/>
        <w:rPr>
          <w:b/>
        </w:rPr>
      </w:pPr>
      <w:r>
        <w:rPr>
          <w:b/>
        </w:rPr>
        <w:t xml:space="preserve">B. Department of </w:t>
      </w:r>
      <w:r w:rsidR="004E142A" w:rsidRPr="0094577A">
        <w:rPr>
          <w:b/>
        </w:rPr>
        <w:t>Environmental Protection</w:t>
      </w:r>
      <w:r>
        <w:rPr>
          <w:b/>
        </w:rPr>
        <w:t xml:space="preserve">: </w:t>
      </w:r>
    </w:p>
    <w:p w:rsidR="00DE52F2" w:rsidRDefault="00DE52F2" w:rsidP="00DE52F2">
      <w:pPr>
        <w:pStyle w:val="BlockText"/>
        <w:rPr>
          <w:b/>
        </w:rPr>
      </w:pPr>
    </w:p>
    <w:p w:rsidR="00DE52F2" w:rsidRDefault="00DE52F2" w:rsidP="00E64091">
      <w:pPr>
        <w:pStyle w:val="BlockText"/>
        <w:ind w:left="720"/>
      </w:pPr>
      <w:r>
        <w:t>1. Water Well Contractors: Chapter 373, Par</w:t>
      </w:r>
      <w:r w:rsidR="00E64091">
        <w:t>t II (licensing and regulation): House Bill 999, effective Jul</w:t>
      </w:r>
      <w:r w:rsidR="00F054FC">
        <w:t xml:space="preserve">y 1, 2013, will </w:t>
      </w:r>
      <w:r w:rsidR="00E64091">
        <w:t>repeal Rule 62-531-340(1)(d), which is a $14 per CEU fee for license renewal.</w:t>
      </w:r>
    </w:p>
    <w:p w:rsidR="00DE52F2" w:rsidRDefault="00DE52F2" w:rsidP="00DE52F2">
      <w:pPr>
        <w:pStyle w:val="BlockText"/>
      </w:pPr>
    </w:p>
    <w:p w:rsidR="00DE52F2" w:rsidRPr="00DE52F2" w:rsidRDefault="00DE52F2" w:rsidP="00DE52F2">
      <w:pPr>
        <w:pStyle w:val="BlockText"/>
      </w:pPr>
      <w:r>
        <w:tab/>
        <w:t xml:space="preserve">2. Consumptive Use Permits: </w:t>
      </w:r>
      <w:r w:rsidR="00E64091">
        <w:t>Chapter 373, Part II: Noting to report.</w:t>
      </w:r>
    </w:p>
    <w:p w:rsidR="004E142A" w:rsidRPr="002E2A6D" w:rsidRDefault="004E142A" w:rsidP="004E142A">
      <w:pPr>
        <w:pStyle w:val="BlockText"/>
        <w:ind w:left="720"/>
      </w:pPr>
    </w:p>
    <w:p w:rsidR="004E142A" w:rsidRDefault="00DE52F2" w:rsidP="00DE52F2">
      <w:pPr>
        <w:pStyle w:val="BlockText"/>
        <w:rPr>
          <w:b/>
        </w:rPr>
      </w:pPr>
      <w:r>
        <w:rPr>
          <w:b/>
        </w:rPr>
        <w:t xml:space="preserve">C. Department of </w:t>
      </w:r>
      <w:r w:rsidR="004E142A" w:rsidRPr="006577D7">
        <w:rPr>
          <w:b/>
        </w:rPr>
        <w:t>Health</w:t>
      </w:r>
      <w:r w:rsidR="004E142A">
        <w:t xml:space="preserve">: </w:t>
      </w:r>
      <w:r w:rsidR="004E142A" w:rsidRPr="00922A6D">
        <w:rPr>
          <w:b/>
        </w:rPr>
        <w:t xml:space="preserve">Water Quality/Septic Tanks – Chapter 381 and 64E FAC: </w:t>
      </w:r>
      <w:r w:rsidR="004E142A">
        <w:rPr>
          <w:b/>
        </w:rPr>
        <w:t xml:space="preserve">Chapter 2012-184, Laws of Florida, </w:t>
      </w:r>
      <w:r w:rsidR="004E142A" w:rsidRPr="000B0E17">
        <w:rPr>
          <w:b/>
          <w:u w:val="single"/>
        </w:rPr>
        <w:t>effective April 27, 2012</w:t>
      </w:r>
      <w:r w:rsidR="004E142A">
        <w:rPr>
          <w:b/>
        </w:rPr>
        <w:t>, mad</w:t>
      </w:r>
      <w:r w:rsidR="004E142A" w:rsidRPr="00922A6D">
        <w:rPr>
          <w:b/>
        </w:rPr>
        <w:t>e</w:t>
      </w:r>
      <w:r w:rsidR="004E142A">
        <w:rPr>
          <w:b/>
        </w:rPr>
        <w:t xml:space="preserve"> the following changes: </w:t>
      </w:r>
    </w:p>
    <w:p w:rsidR="004E142A" w:rsidRDefault="004E142A" w:rsidP="004E142A">
      <w:pPr>
        <w:pStyle w:val="ListParagraph"/>
      </w:pPr>
    </w:p>
    <w:p w:rsidR="004E142A" w:rsidRDefault="004E142A" w:rsidP="004E142A">
      <w:pPr>
        <w:pStyle w:val="BlockText"/>
        <w:ind w:left="720"/>
      </w:pPr>
      <w:r>
        <w:t>Reminder: The Department of Health’s authority for plan review and approval of swimming pools and bathing pools was repealed and given to local government in accordance with the Florida Building Code.</w:t>
      </w:r>
    </w:p>
    <w:p w:rsidR="004E142A" w:rsidRDefault="004E142A" w:rsidP="004E142A">
      <w:pPr>
        <w:pStyle w:val="BlockText"/>
        <w:ind w:left="720"/>
        <w:rPr>
          <w:b/>
        </w:rPr>
      </w:pPr>
    </w:p>
    <w:p w:rsidR="004E142A" w:rsidRPr="00A9360E" w:rsidRDefault="008476AE" w:rsidP="004E142A">
      <w:pPr>
        <w:pStyle w:val="BlockText"/>
        <w:ind w:left="720"/>
        <w:rPr>
          <w:b/>
        </w:rPr>
      </w:pPr>
      <w:r>
        <w:t xml:space="preserve">Reminder: </w:t>
      </w:r>
      <w:r w:rsidR="004E142A">
        <w:t>Section 381.0065(5), requiring periodic inspections of on-site sewerage disposal systems (“septic tanks”) has been repealed, and authority to impose such requirements was authorized for local governments whose boundaries include a “first magnitude spring,” as defined in the bill. None of these 19 local jurisdiction</w:t>
      </w:r>
      <w:r w:rsidR="00436BA2">
        <w:t>s</w:t>
      </w:r>
      <w:r w:rsidR="004E142A">
        <w:t xml:space="preserve"> have opted to implement such a program at this time.</w:t>
      </w:r>
    </w:p>
    <w:p w:rsidR="004E142A" w:rsidRDefault="004E142A" w:rsidP="004E142A">
      <w:pPr>
        <w:pStyle w:val="ListParagraph"/>
      </w:pPr>
    </w:p>
    <w:p w:rsidR="008F58B8" w:rsidRDefault="00DE52F2" w:rsidP="00DE52F2">
      <w:pPr>
        <w:pStyle w:val="BlockText"/>
      </w:pPr>
      <w:r>
        <w:rPr>
          <w:b/>
        </w:rPr>
        <w:t xml:space="preserve">D. Department of </w:t>
      </w:r>
      <w:r w:rsidR="004E142A" w:rsidRPr="00251EB1">
        <w:rPr>
          <w:b/>
        </w:rPr>
        <w:t>Financial Services</w:t>
      </w:r>
      <w:r w:rsidR="004E142A">
        <w:t xml:space="preserve">: </w:t>
      </w:r>
    </w:p>
    <w:p w:rsidR="00436BA2" w:rsidRDefault="00436BA2" w:rsidP="00436BA2">
      <w:pPr>
        <w:pStyle w:val="BlockText"/>
        <w:ind w:left="720"/>
      </w:pPr>
    </w:p>
    <w:p w:rsidR="00436BA2" w:rsidRDefault="00DE52F2" w:rsidP="00DE52F2">
      <w:pPr>
        <w:pStyle w:val="BlockText"/>
        <w:ind w:firstLine="360"/>
      </w:pPr>
      <w:r>
        <w:t xml:space="preserve">1. </w:t>
      </w:r>
      <w:r w:rsidR="00436BA2">
        <w:t>Boiler Safety Act - Chapter 554, F. S., and Chapter 69A-51, F.A.C.</w:t>
      </w:r>
      <w:r w:rsidR="008476AE">
        <w:t>: Nothing to report.</w:t>
      </w:r>
    </w:p>
    <w:p w:rsidR="008F58B8" w:rsidRDefault="008F58B8" w:rsidP="008F58B8">
      <w:pPr>
        <w:pStyle w:val="BlockText"/>
        <w:ind w:left="720"/>
      </w:pPr>
    </w:p>
    <w:p w:rsidR="004E142A" w:rsidRDefault="0001260C" w:rsidP="00DE52F2">
      <w:pPr>
        <w:pStyle w:val="BlockText"/>
        <w:ind w:firstLine="360"/>
      </w:pPr>
      <w:r>
        <w:t>2.</w:t>
      </w:r>
      <w:r w:rsidR="00DE52F2">
        <w:t xml:space="preserve"> </w:t>
      </w:r>
      <w:r w:rsidR="004E142A">
        <w:t xml:space="preserve">Workers’ Compensation Insurance – Chapter 440 and 69L FAC: </w:t>
      </w:r>
    </w:p>
    <w:p w:rsidR="004E142A" w:rsidRDefault="004E142A" w:rsidP="004E142A">
      <w:pPr>
        <w:pStyle w:val="BlockText"/>
        <w:ind w:left="720"/>
      </w:pPr>
      <w:r>
        <w:t>]</w:t>
      </w:r>
    </w:p>
    <w:p w:rsidR="004E142A" w:rsidRDefault="004E142A" w:rsidP="008F58B8">
      <w:pPr>
        <w:pStyle w:val="BlockText"/>
        <w:ind w:left="1080"/>
      </w:pPr>
      <w:r w:rsidRPr="0029168D">
        <w:rPr>
          <w:b/>
          <w:u w:val="single"/>
        </w:rPr>
        <w:t>NOTICE:</w:t>
      </w:r>
      <w:r>
        <w:t xml:space="preserve"> As of </w:t>
      </w:r>
      <w:r w:rsidRPr="000B0E17">
        <w:rPr>
          <w:u w:val="single"/>
        </w:rPr>
        <w:t>July 1, 2012</w:t>
      </w:r>
      <w:r>
        <w:t xml:space="preserve">, applications for exemption from workers’ compensation insurance can be made on-line at </w:t>
      </w:r>
      <w:r w:rsidRPr="0029168D">
        <w:rPr>
          <w:u w:val="single"/>
        </w:rPr>
        <w:t>myfloridacfo.com/wc</w:t>
      </w:r>
      <w:r>
        <w:t>. Such applications will no longer have to be notarized; while applicants will be required to provide Florida driver’s license number or Florida identification card and date of birth, copies of ownership documents will no longer be required. However, for construction business, the law regarding exemptions continues to allow up to three (3) individuals to be exempt at the same time, provided that each one owns at least 10% of the business.</w:t>
      </w:r>
    </w:p>
    <w:p w:rsidR="004E142A" w:rsidRDefault="004E142A" w:rsidP="004E142A">
      <w:pPr>
        <w:pStyle w:val="BlockText"/>
        <w:ind w:left="360"/>
      </w:pPr>
    </w:p>
    <w:p w:rsidR="004E142A" w:rsidRDefault="004E142A" w:rsidP="0001260C">
      <w:pPr>
        <w:pStyle w:val="BlockText"/>
        <w:ind w:left="1080"/>
      </w:pPr>
      <w:r w:rsidRPr="00252DC4">
        <w:rPr>
          <w:b/>
          <w:u w:val="single"/>
        </w:rPr>
        <w:t>Warning:</w:t>
      </w:r>
      <w:r>
        <w:t xml:space="preserve"> Insurance carriers and their representative joint underwriter association appear to </w:t>
      </w:r>
      <w:r w:rsidR="00571120">
        <w:t xml:space="preserve">now be </w:t>
      </w:r>
      <w:r>
        <w:t>checking for policies or exemptions issued to recently qualified businesses, and filing complaints with DBPR for those who do not have either. While the current licensure application forms purport to require such insurance coverage within thirty (30) days of licensure, there does not appear to be any statutory requirement for WC coverage until a business has a payroll.</w:t>
      </w:r>
    </w:p>
    <w:p w:rsidR="0001260C" w:rsidRDefault="0001260C" w:rsidP="004E142A">
      <w:pPr>
        <w:pStyle w:val="BlockText"/>
        <w:ind w:left="360"/>
      </w:pPr>
    </w:p>
    <w:p w:rsidR="004E142A" w:rsidRDefault="004E142A" w:rsidP="008F58B8">
      <w:pPr>
        <w:pStyle w:val="BlockText"/>
        <w:ind w:left="1080"/>
      </w:pPr>
      <w:r>
        <w:rPr>
          <w:b/>
          <w:u w:val="single"/>
        </w:rPr>
        <w:t xml:space="preserve">Important </w:t>
      </w:r>
      <w:r w:rsidRPr="00222C12">
        <w:rPr>
          <w:b/>
          <w:u w:val="single"/>
        </w:rPr>
        <w:t>Note:</w:t>
      </w:r>
      <w:r>
        <w:t xml:space="preserve"> You can check compliance with worker’s compensation insurance requirements (coverage or exemptions) by name of company, federal employer ID number, employer policy number, and exemption holder name or exemption holder SS number at </w:t>
      </w:r>
      <w:r w:rsidRPr="00222C12">
        <w:rPr>
          <w:i/>
          <w:u w:val="single"/>
        </w:rPr>
        <w:t>https//:secure.fldfs.com/WCAPPA/Compliance</w:t>
      </w:r>
      <w:r>
        <w:t>.</w:t>
      </w:r>
    </w:p>
    <w:p w:rsidR="0001260C" w:rsidRDefault="0001260C" w:rsidP="008F58B8">
      <w:pPr>
        <w:pStyle w:val="BlockText"/>
        <w:ind w:left="1080"/>
      </w:pPr>
    </w:p>
    <w:p w:rsidR="008476AE" w:rsidRDefault="0001260C" w:rsidP="0001260C">
      <w:pPr>
        <w:pStyle w:val="BlockText"/>
        <w:ind w:left="360"/>
      </w:pPr>
      <w:r>
        <w:t xml:space="preserve">3. Office of State Fire Marshal - Chapter 633, Florida Statutes and Chapter 69A, F.C.A.: </w:t>
      </w:r>
    </w:p>
    <w:p w:rsidR="008476AE" w:rsidRDefault="008476AE" w:rsidP="0001260C">
      <w:pPr>
        <w:pStyle w:val="BlockText"/>
        <w:ind w:left="360"/>
      </w:pPr>
    </w:p>
    <w:p w:rsidR="0001260C" w:rsidRDefault="008476AE" w:rsidP="0001260C">
      <w:pPr>
        <w:pStyle w:val="BlockText"/>
        <w:ind w:left="360"/>
      </w:pPr>
      <w:r>
        <w:t xml:space="preserve">Reminder: </w:t>
      </w:r>
      <w:r w:rsidR="0001260C">
        <w:t>Rule 69A-60.003, amended ef</w:t>
      </w:r>
      <w:r w:rsidR="00B40FA6">
        <w:t xml:space="preserve">fective May 1, 2013, adopts </w:t>
      </w:r>
      <w:r w:rsidR="0001260C">
        <w:t>NPR 1, the Fire Code, Florida 2009 edition (as amended 3/2013 to add Section 18.4.1.3 to Section 18.4 - Fire Flow Requirements for Buildings).</w:t>
      </w:r>
    </w:p>
    <w:p w:rsidR="008476AE" w:rsidRDefault="008476AE" w:rsidP="0001260C">
      <w:pPr>
        <w:pStyle w:val="BlockText"/>
        <w:ind w:left="360"/>
      </w:pPr>
    </w:p>
    <w:p w:rsidR="0001260C" w:rsidRDefault="00757661" w:rsidP="00757661">
      <w:pPr>
        <w:pStyle w:val="BlockText"/>
        <w:ind w:left="360"/>
      </w:pPr>
      <w:r>
        <w:rPr>
          <w:u w:val="single"/>
        </w:rPr>
        <w:t>Note:</w:t>
      </w:r>
      <w:r>
        <w:t xml:space="preserve"> Section 1 of Senate Bill 1122, effect</w:t>
      </w:r>
      <w:r w:rsidR="00E17AA2">
        <w:t xml:space="preserve">ive July 1, 2013 </w:t>
      </w:r>
      <w:r>
        <w:t>creates a new section 633.0215(6)(b) which EXMEPTS certain structures from application of the Florida Fire Prevention Code.</w:t>
      </w:r>
    </w:p>
    <w:p w:rsidR="00D255AC" w:rsidRDefault="00D255AC" w:rsidP="00F00476">
      <w:pPr>
        <w:pStyle w:val="BlockText"/>
        <w:rPr>
          <w:b/>
          <w:i/>
          <w:u w:val="single"/>
        </w:rPr>
      </w:pPr>
    </w:p>
    <w:p w:rsidR="00D255AC" w:rsidRDefault="00D255AC" w:rsidP="00F00476">
      <w:pPr>
        <w:pStyle w:val="BlockText"/>
        <w:rPr>
          <w:b/>
          <w:i/>
          <w:u w:val="single"/>
        </w:rPr>
      </w:pPr>
    </w:p>
    <w:p w:rsidR="00F00476" w:rsidRPr="00F00476" w:rsidRDefault="00F00476" w:rsidP="00F00476">
      <w:pPr>
        <w:pStyle w:val="BlockText"/>
        <w:rPr>
          <w:b/>
          <w:i/>
          <w:u w:val="single"/>
        </w:rPr>
      </w:pPr>
      <w:r w:rsidRPr="00F00476">
        <w:rPr>
          <w:b/>
          <w:i/>
          <w:u w:val="single"/>
        </w:rPr>
        <w:t>ALERT: As a result of 2013 legislation, some panhandle development permits are eligible for 6-month extension due to Tropical Storm Karen.</w:t>
      </w:r>
    </w:p>
    <w:p w:rsidR="00D255AC" w:rsidRDefault="00D255AC" w:rsidP="008476AE">
      <w:pPr>
        <w:pStyle w:val="BlockText"/>
        <w:rPr>
          <w:b/>
          <w:u w:val="single"/>
        </w:rPr>
      </w:pPr>
    </w:p>
    <w:p w:rsidR="00D255AC" w:rsidRDefault="00D255AC" w:rsidP="008476AE">
      <w:pPr>
        <w:pStyle w:val="BlockText"/>
        <w:rPr>
          <w:b/>
          <w:u w:val="single"/>
        </w:rPr>
      </w:pPr>
    </w:p>
    <w:p w:rsidR="00D255AC" w:rsidRDefault="00D255AC" w:rsidP="008476AE">
      <w:pPr>
        <w:pStyle w:val="BlockText"/>
        <w:rPr>
          <w:b/>
          <w:u w:val="single"/>
        </w:rPr>
      </w:pPr>
    </w:p>
    <w:p w:rsidR="00D255AC" w:rsidRDefault="00D255AC" w:rsidP="008476AE">
      <w:pPr>
        <w:pStyle w:val="BlockText"/>
        <w:rPr>
          <w:b/>
          <w:u w:val="single"/>
        </w:rPr>
      </w:pPr>
    </w:p>
    <w:p w:rsidR="00F00476" w:rsidRDefault="00CF37B7" w:rsidP="008476AE">
      <w:pPr>
        <w:pStyle w:val="BlockText"/>
      </w:pPr>
      <w:r w:rsidRPr="00CD02EB">
        <w:rPr>
          <w:b/>
          <w:u w:val="single"/>
        </w:rPr>
        <w:t>Legislative Action:</w:t>
      </w:r>
      <w:r w:rsidR="00156092">
        <w:t xml:space="preserve"> </w:t>
      </w:r>
      <w:r w:rsidR="006E3B26">
        <w:t>The regularly schedule</w:t>
      </w:r>
      <w:r w:rsidR="00436BA2">
        <w:t>d</w:t>
      </w:r>
      <w:r w:rsidR="006E3B26">
        <w:t xml:space="preserve"> legislati</w:t>
      </w:r>
      <w:r w:rsidR="007F63B9">
        <w:t>ve session</w:t>
      </w:r>
      <w:r w:rsidR="008476AE">
        <w:t xml:space="preserve"> for 2014</w:t>
      </w:r>
      <w:r w:rsidR="002935A9">
        <w:t xml:space="preserve"> will begin on March 4, 2014 for sixty (60) calendar days, with a scheduled ending on May 2</w:t>
      </w:r>
      <w:r w:rsidR="002935A9" w:rsidRPr="002935A9">
        <w:rPr>
          <w:vertAlign w:val="superscript"/>
        </w:rPr>
        <w:t>nd</w:t>
      </w:r>
      <w:r w:rsidR="002935A9">
        <w:t xml:space="preserve">. </w:t>
      </w:r>
      <w:r w:rsidR="00F054FC">
        <w:t>To date</w:t>
      </w:r>
      <w:r w:rsidR="002935A9">
        <w:t>, the following construction related bills have been filed:</w:t>
      </w:r>
    </w:p>
    <w:p w:rsidR="00B22750" w:rsidRDefault="00B22750" w:rsidP="008476AE">
      <w:pPr>
        <w:pStyle w:val="BlockText"/>
      </w:pPr>
    </w:p>
    <w:tbl>
      <w:tblPr>
        <w:tblW w:w="0" w:type="auto"/>
        <w:tblCellSpacing w:w="15" w:type="dxa"/>
        <w:tblCellMar>
          <w:top w:w="15" w:type="dxa"/>
          <w:left w:w="15" w:type="dxa"/>
          <w:bottom w:w="15" w:type="dxa"/>
          <w:right w:w="15" w:type="dxa"/>
        </w:tblCellMar>
        <w:tblLook w:val="04A0" w:firstRow="1" w:lastRow="0" w:firstColumn="1" w:lastColumn="0" w:noHBand="0" w:noVBand="1"/>
        <w:tblCaption w:val="Bills"/>
      </w:tblPr>
      <w:tblGrid>
        <w:gridCol w:w="1109"/>
        <w:gridCol w:w="2139"/>
        <w:gridCol w:w="1367"/>
        <w:gridCol w:w="4952"/>
        <w:gridCol w:w="81"/>
      </w:tblGrid>
      <w:tr w:rsidR="00B22750" w:rsidRPr="00B22750" w:rsidTr="00B22750">
        <w:trPr>
          <w:tblHeader/>
          <w:tblCellSpacing w:w="15" w:type="dxa"/>
        </w:trPr>
        <w:tc>
          <w:tcPr>
            <w:tcW w:w="0" w:type="auto"/>
            <w:vAlign w:val="center"/>
            <w:hideMark/>
          </w:tcPr>
          <w:p w:rsidR="00B22750" w:rsidRPr="00B22750" w:rsidRDefault="00B22750" w:rsidP="00B22750">
            <w:pPr>
              <w:jc w:val="center"/>
              <w:rPr>
                <w:rFonts w:eastAsia="Times New Roman" w:cs="Times New Roman"/>
                <w:b/>
                <w:bCs/>
                <w:u w:val="single"/>
              </w:rPr>
            </w:pPr>
            <w:r w:rsidRPr="00B22750">
              <w:rPr>
                <w:rFonts w:eastAsia="Times New Roman" w:cs="Times New Roman"/>
                <w:b/>
                <w:bCs/>
                <w:u w:val="single"/>
              </w:rPr>
              <w:t>Number   </w:t>
            </w:r>
          </w:p>
        </w:tc>
        <w:tc>
          <w:tcPr>
            <w:tcW w:w="0" w:type="auto"/>
            <w:vAlign w:val="center"/>
            <w:hideMark/>
          </w:tcPr>
          <w:p w:rsidR="00B22750" w:rsidRPr="00B22750" w:rsidRDefault="00B22750" w:rsidP="00B22750">
            <w:pPr>
              <w:jc w:val="center"/>
              <w:rPr>
                <w:rFonts w:eastAsia="Times New Roman" w:cs="Times New Roman"/>
                <w:b/>
                <w:bCs/>
                <w:u w:val="single"/>
              </w:rPr>
            </w:pPr>
            <w:r w:rsidRPr="00B22750">
              <w:rPr>
                <w:rFonts w:eastAsia="Times New Roman" w:cs="Times New Roman"/>
                <w:b/>
                <w:bCs/>
                <w:u w:val="single"/>
              </w:rPr>
              <w:t>Title</w:t>
            </w:r>
          </w:p>
        </w:tc>
        <w:tc>
          <w:tcPr>
            <w:tcW w:w="0" w:type="auto"/>
            <w:vAlign w:val="center"/>
            <w:hideMark/>
          </w:tcPr>
          <w:p w:rsidR="00B22750" w:rsidRPr="00B22750" w:rsidRDefault="00B22750" w:rsidP="00B22750">
            <w:pPr>
              <w:jc w:val="center"/>
              <w:rPr>
                <w:rFonts w:eastAsia="Times New Roman" w:cs="Times New Roman"/>
                <w:b/>
                <w:bCs/>
                <w:u w:val="single"/>
              </w:rPr>
            </w:pPr>
            <w:r w:rsidRPr="00B22750">
              <w:rPr>
                <w:rFonts w:eastAsia="Times New Roman" w:cs="Times New Roman"/>
                <w:b/>
                <w:bCs/>
                <w:u w:val="single"/>
              </w:rPr>
              <w:t>Filed By    </w:t>
            </w:r>
          </w:p>
        </w:tc>
        <w:tc>
          <w:tcPr>
            <w:tcW w:w="0" w:type="auto"/>
            <w:vAlign w:val="center"/>
            <w:hideMark/>
          </w:tcPr>
          <w:p w:rsidR="00B22750" w:rsidRPr="00B22750" w:rsidRDefault="00B22750" w:rsidP="00B22750">
            <w:pPr>
              <w:jc w:val="center"/>
              <w:rPr>
                <w:rFonts w:eastAsia="Times New Roman" w:cs="Times New Roman"/>
                <w:b/>
                <w:bCs/>
                <w:u w:val="single"/>
              </w:rPr>
            </w:pPr>
            <w:r w:rsidRPr="00B22750">
              <w:rPr>
                <w:rFonts w:eastAsia="Times New Roman" w:cs="Times New Roman"/>
                <w:b/>
                <w:bCs/>
                <w:u w:val="single"/>
              </w:rPr>
              <w:t>Last Action</w:t>
            </w:r>
          </w:p>
        </w:tc>
        <w:tc>
          <w:tcPr>
            <w:tcW w:w="0" w:type="auto"/>
            <w:vAlign w:val="center"/>
          </w:tcPr>
          <w:p w:rsidR="00B22750" w:rsidRPr="00B22750" w:rsidRDefault="00B22750" w:rsidP="00B22750">
            <w:pPr>
              <w:jc w:val="center"/>
              <w:rPr>
                <w:rFonts w:eastAsia="Times New Roman" w:cs="Times New Roman"/>
                <w:b/>
                <w:bCs/>
                <w:u w:val="single"/>
              </w:rPr>
            </w:pPr>
          </w:p>
        </w:tc>
      </w:tr>
      <w:tr w:rsidR="00B22750" w:rsidRPr="00B22750" w:rsidTr="00B22750">
        <w:trPr>
          <w:tblCellSpacing w:w="15" w:type="dxa"/>
        </w:trPr>
        <w:tc>
          <w:tcPr>
            <w:tcW w:w="0" w:type="auto"/>
            <w:vAlign w:val="center"/>
            <w:hideMark/>
          </w:tcPr>
          <w:p w:rsidR="00B22750" w:rsidRPr="00B22750" w:rsidRDefault="00B22750" w:rsidP="00B22750">
            <w:pPr>
              <w:jc w:val="center"/>
              <w:rPr>
                <w:rFonts w:eastAsia="Times New Roman" w:cs="Times New Roman"/>
                <w:b/>
                <w:bCs/>
              </w:rPr>
            </w:pPr>
            <w:hyperlink r:id="rId7" w:history="1">
              <w:r w:rsidRPr="00B22750">
                <w:rPr>
                  <w:rFonts w:eastAsia="Times New Roman" w:cs="Times New Roman"/>
                  <w:b/>
                  <w:bCs/>
                  <w:color w:val="0000FF"/>
                  <w:u w:val="single"/>
                </w:rPr>
                <w:t>HB 0147</w:t>
              </w:r>
            </w:hyperlink>
          </w:p>
        </w:tc>
        <w:tc>
          <w:tcPr>
            <w:tcW w:w="0" w:type="auto"/>
            <w:vAlign w:val="center"/>
            <w:hideMark/>
          </w:tcPr>
          <w:p w:rsidR="00B22750" w:rsidRPr="00B22750" w:rsidRDefault="00B22750" w:rsidP="00B22750">
            <w:pPr>
              <w:rPr>
                <w:rFonts w:eastAsia="Times New Roman" w:cs="Times New Roman"/>
              </w:rPr>
            </w:pPr>
            <w:r w:rsidRPr="00B22750">
              <w:rPr>
                <w:rFonts w:eastAsia="Times New Roman" w:cs="Times New Roman"/>
              </w:rPr>
              <w:t>Concrete Masonry Education</w:t>
            </w:r>
          </w:p>
        </w:tc>
        <w:tc>
          <w:tcPr>
            <w:tcW w:w="0" w:type="auto"/>
            <w:vAlign w:val="center"/>
            <w:hideMark/>
          </w:tcPr>
          <w:p w:rsidR="00B22750" w:rsidRPr="00B22750" w:rsidRDefault="00B22750" w:rsidP="00B22750">
            <w:pPr>
              <w:rPr>
                <w:rFonts w:eastAsia="Times New Roman" w:cs="Times New Roman"/>
              </w:rPr>
            </w:pPr>
            <w:r w:rsidRPr="00B22750">
              <w:rPr>
                <w:rFonts w:eastAsia="Times New Roman" w:cs="Times New Roman"/>
              </w:rPr>
              <w:t xml:space="preserve">Caldwell </w:t>
            </w:r>
          </w:p>
        </w:tc>
        <w:tc>
          <w:tcPr>
            <w:tcW w:w="0" w:type="auto"/>
            <w:vAlign w:val="center"/>
            <w:hideMark/>
          </w:tcPr>
          <w:p w:rsidR="00B22750" w:rsidRDefault="00B22750" w:rsidP="00B22750">
            <w:pPr>
              <w:rPr>
                <w:rFonts w:eastAsia="Times New Roman" w:cs="Times New Roman"/>
              </w:rPr>
            </w:pPr>
            <w:r w:rsidRPr="00B22750">
              <w:rPr>
                <w:rFonts w:eastAsia="Times New Roman" w:cs="Times New Roman"/>
              </w:rPr>
              <w:t xml:space="preserve">Last Action: 11/5/2013 H Referred to Higher Education and Workforce Subcommittee; Government Operations Subcommittee; Education Appropriations Subcommittee; Education Committee </w:t>
            </w:r>
            <w:r w:rsidRPr="00B22750">
              <w:rPr>
                <w:rFonts w:eastAsia="Times New Roman" w:cs="Times New Roman"/>
              </w:rPr>
              <w:br/>
              <w:t xml:space="preserve">Location: In committee/council (HEWS) </w:t>
            </w:r>
          </w:p>
          <w:p w:rsidR="00B22750" w:rsidRPr="00B22750" w:rsidRDefault="00B22750" w:rsidP="00B22750">
            <w:pPr>
              <w:rPr>
                <w:rFonts w:eastAsia="Times New Roman" w:cs="Times New Roman"/>
              </w:rPr>
            </w:pPr>
          </w:p>
        </w:tc>
        <w:tc>
          <w:tcPr>
            <w:tcW w:w="0" w:type="auto"/>
            <w:vAlign w:val="center"/>
          </w:tcPr>
          <w:p w:rsidR="00B22750" w:rsidRPr="00B22750" w:rsidRDefault="00B22750" w:rsidP="00B22750">
            <w:pPr>
              <w:rPr>
                <w:rFonts w:eastAsia="Times New Roman" w:cs="Times New Roman"/>
              </w:rPr>
            </w:pPr>
          </w:p>
        </w:tc>
      </w:tr>
      <w:tr w:rsidR="00B22750" w:rsidRPr="00B22750" w:rsidTr="00B22750">
        <w:trPr>
          <w:tblCellSpacing w:w="15" w:type="dxa"/>
        </w:trPr>
        <w:tc>
          <w:tcPr>
            <w:tcW w:w="0" w:type="auto"/>
            <w:vAlign w:val="center"/>
            <w:hideMark/>
          </w:tcPr>
          <w:p w:rsidR="00B22750" w:rsidRPr="00B22750" w:rsidRDefault="00B22750" w:rsidP="00B22750">
            <w:pPr>
              <w:jc w:val="center"/>
              <w:rPr>
                <w:rFonts w:eastAsia="Times New Roman" w:cs="Times New Roman"/>
                <w:b/>
                <w:bCs/>
              </w:rPr>
            </w:pPr>
            <w:hyperlink r:id="rId8" w:history="1">
              <w:r w:rsidRPr="00B22750">
                <w:rPr>
                  <w:rFonts w:eastAsia="Times New Roman" w:cs="Times New Roman"/>
                  <w:b/>
                  <w:bCs/>
                  <w:color w:val="0000FF"/>
                  <w:u w:val="single"/>
                </w:rPr>
                <w:t>SB 0154</w:t>
              </w:r>
            </w:hyperlink>
          </w:p>
        </w:tc>
        <w:tc>
          <w:tcPr>
            <w:tcW w:w="0" w:type="auto"/>
            <w:vAlign w:val="center"/>
            <w:hideMark/>
          </w:tcPr>
          <w:p w:rsidR="00B22750" w:rsidRPr="00B22750" w:rsidRDefault="00B22750" w:rsidP="00B22750">
            <w:pPr>
              <w:rPr>
                <w:rFonts w:eastAsia="Times New Roman" w:cs="Times New Roman"/>
              </w:rPr>
            </w:pPr>
            <w:r w:rsidRPr="00B22750">
              <w:rPr>
                <w:rFonts w:eastAsia="Times New Roman" w:cs="Times New Roman"/>
              </w:rPr>
              <w:t>Electrical Contracting</w:t>
            </w:r>
          </w:p>
        </w:tc>
        <w:tc>
          <w:tcPr>
            <w:tcW w:w="0" w:type="auto"/>
            <w:vAlign w:val="center"/>
            <w:hideMark/>
          </w:tcPr>
          <w:p w:rsidR="00B22750" w:rsidRPr="00B22750" w:rsidRDefault="00B22750" w:rsidP="00B22750">
            <w:pPr>
              <w:rPr>
                <w:rFonts w:eastAsia="Times New Roman" w:cs="Times New Roman"/>
              </w:rPr>
            </w:pPr>
            <w:r w:rsidRPr="00B22750">
              <w:rPr>
                <w:rFonts w:eastAsia="Times New Roman" w:cs="Times New Roman"/>
              </w:rPr>
              <w:t xml:space="preserve">Soto </w:t>
            </w:r>
          </w:p>
        </w:tc>
        <w:tc>
          <w:tcPr>
            <w:tcW w:w="0" w:type="auto"/>
            <w:vAlign w:val="center"/>
            <w:hideMark/>
          </w:tcPr>
          <w:p w:rsidR="00B22750" w:rsidRDefault="00B22750" w:rsidP="00B22750">
            <w:pPr>
              <w:rPr>
                <w:rFonts w:eastAsia="Times New Roman" w:cs="Times New Roman"/>
              </w:rPr>
            </w:pPr>
            <w:r w:rsidRPr="00B22750">
              <w:rPr>
                <w:rFonts w:eastAsia="Times New Roman" w:cs="Times New Roman"/>
              </w:rPr>
              <w:t xml:space="preserve">Last Action: 9/25/2013 S Referred to Regulated Industries; Commerce and Tourism; Community Affairs </w:t>
            </w:r>
            <w:r w:rsidRPr="00B22750">
              <w:rPr>
                <w:rFonts w:eastAsia="Times New Roman" w:cs="Times New Roman"/>
              </w:rPr>
              <w:br/>
              <w:t xml:space="preserve">Location: In committee/council (RI) </w:t>
            </w:r>
          </w:p>
          <w:p w:rsidR="00B22750" w:rsidRPr="00B22750" w:rsidRDefault="00B22750" w:rsidP="00B22750">
            <w:pPr>
              <w:rPr>
                <w:rFonts w:eastAsia="Times New Roman" w:cs="Times New Roman"/>
              </w:rPr>
            </w:pPr>
          </w:p>
        </w:tc>
        <w:tc>
          <w:tcPr>
            <w:tcW w:w="0" w:type="auto"/>
            <w:vAlign w:val="center"/>
          </w:tcPr>
          <w:p w:rsidR="00B22750" w:rsidRPr="00B22750" w:rsidRDefault="00B22750" w:rsidP="00B22750">
            <w:pPr>
              <w:rPr>
                <w:rFonts w:eastAsia="Times New Roman" w:cs="Times New Roman"/>
              </w:rPr>
            </w:pPr>
          </w:p>
        </w:tc>
      </w:tr>
      <w:tr w:rsidR="00B22750" w:rsidRPr="00B22750" w:rsidTr="00B22750">
        <w:trPr>
          <w:tblCellSpacing w:w="15" w:type="dxa"/>
        </w:trPr>
        <w:tc>
          <w:tcPr>
            <w:tcW w:w="0" w:type="auto"/>
            <w:vAlign w:val="center"/>
            <w:hideMark/>
          </w:tcPr>
          <w:p w:rsidR="00B22750" w:rsidRPr="00B22750" w:rsidRDefault="00B22750" w:rsidP="00B22750">
            <w:pPr>
              <w:jc w:val="center"/>
              <w:rPr>
                <w:rFonts w:eastAsia="Times New Roman" w:cs="Times New Roman"/>
                <w:b/>
                <w:bCs/>
              </w:rPr>
            </w:pPr>
            <w:hyperlink r:id="rId9" w:history="1">
              <w:r w:rsidRPr="00B22750">
                <w:rPr>
                  <w:rFonts w:eastAsia="Times New Roman" w:cs="Times New Roman"/>
                  <w:b/>
                  <w:bCs/>
                  <w:color w:val="0000FF"/>
                  <w:u w:val="single"/>
                </w:rPr>
                <w:t>HB 0155</w:t>
              </w:r>
            </w:hyperlink>
          </w:p>
        </w:tc>
        <w:tc>
          <w:tcPr>
            <w:tcW w:w="0" w:type="auto"/>
            <w:vAlign w:val="center"/>
            <w:hideMark/>
          </w:tcPr>
          <w:p w:rsidR="00B22750" w:rsidRPr="00B22750" w:rsidRDefault="00B22750" w:rsidP="00B22750">
            <w:pPr>
              <w:rPr>
                <w:rFonts w:eastAsia="Times New Roman" w:cs="Times New Roman"/>
              </w:rPr>
            </w:pPr>
            <w:r w:rsidRPr="00B22750">
              <w:rPr>
                <w:rFonts w:eastAsia="Times New Roman" w:cs="Times New Roman"/>
              </w:rPr>
              <w:t>Defense Contracting</w:t>
            </w:r>
          </w:p>
        </w:tc>
        <w:tc>
          <w:tcPr>
            <w:tcW w:w="0" w:type="auto"/>
            <w:vAlign w:val="center"/>
            <w:hideMark/>
          </w:tcPr>
          <w:p w:rsidR="00B22750" w:rsidRPr="00B22750" w:rsidRDefault="00B22750" w:rsidP="00B22750">
            <w:pPr>
              <w:rPr>
                <w:rFonts w:eastAsia="Times New Roman" w:cs="Times New Roman"/>
              </w:rPr>
            </w:pPr>
            <w:r w:rsidRPr="00B22750">
              <w:rPr>
                <w:rFonts w:eastAsia="Times New Roman" w:cs="Times New Roman"/>
              </w:rPr>
              <w:t xml:space="preserve">Smith </w:t>
            </w:r>
          </w:p>
        </w:tc>
        <w:tc>
          <w:tcPr>
            <w:tcW w:w="0" w:type="auto"/>
            <w:vAlign w:val="center"/>
            <w:hideMark/>
          </w:tcPr>
          <w:p w:rsidR="00B22750" w:rsidRDefault="00B22750" w:rsidP="00B22750">
            <w:pPr>
              <w:rPr>
                <w:rFonts w:eastAsia="Times New Roman" w:cs="Times New Roman"/>
              </w:rPr>
            </w:pPr>
            <w:r w:rsidRPr="00B22750">
              <w:rPr>
                <w:rFonts w:eastAsia="Times New Roman" w:cs="Times New Roman"/>
              </w:rPr>
              <w:t xml:space="preserve">Last Action: 11/5/2013 H Referred to Economic Development and Tourism Subcommittee; Finance and Tax Subcommittee; Economic Affairs Committee </w:t>
            </w:r>
            <w:r w:rsidRPr="00B22750">
              <w:rPr>
                <w:rFonts w:eastAsia="Times New Roman" w:cs="Times New Roman"/>
              </w:rPr>
              <w:br/>
              <w:t xml:space="preserve">Location: In committee/council (EDTS) </w:t>
            </w:r>
          </w:p>
          <w:p w:rsidR="00B22750" w:rsidRPr="00B22750" w:rsidRDefault="00B22750" w:rsidP="00B22750">
            <w:pPr>
              <w:rPr>
                <w:rFonts w:eastAsia="Times New Roman" w:cs="Times New Roman"/>
              </w:rPr>
            </w:pPr>
          </w:p>
        </w:tc>
        <w:tc>
          <w:tcPr>
            <w:tcW w:w="0" w:type="auto"/>
            <w:vAlign w:val="center"/>
            <w:hideMark/>
          </w:tcPr>
          <w:p w:rsidR="00B22750" w:rsidRPr="00B22750" w:rsidRDefault="00B22750" w:rsidP="00B22750">
            <w:pPr>
              <w:rPr>
                <w:rFonts w:eastAsia="Times New Roman" w:cs="Times New Roman"/>
              </w:rPr>
            </w:pPr>
          </w:p>
        </w:tc>
      </w:tr>
      <w:tr w:rsidR="00B22750" w:rsidRPr="00B22750" w:rsidTr="00B22750">
        <w:trPr>
          <w:tblCellSpacing w:w="15" w:type="dxa"/>
        </w:trPr>
        <w:tc>
          <w:tcPr>
            <w:tcW w:w="0" w:type="auto"/>
            <w:vAlign w:val="center"/>
            <w:hideMark/>
          </w:tcPr>
          <w:p w:rsidR="00B22750" w:rsidRPr="00B22750" w:rsidRDefault="00B22750" w:rsidP="00B22750">
            <w:pPr>
              <w:jc w:val="center"/>
              <w:rPr>
                <w:rFonts w:eastAsia="Times New Roman" w:cs="Times New Roman"/>
                <w:b/>
                <w:bCs/>
              </w:rPr>
            </w:pPr>
            <w:hyperlink r:id="rId10" w:history="1">
              <w:r w:rsidRPr="00B22750">
                <w:rPr>
                  <w:rFonts w:eastAsia="Times New Roman" w:cs="Times New Roman"/>
                  <w:b/>
                  <w:bCs/>
                  <w:color w:val="0000FF"/>
                  <w:u w:val="single"/>
                </w:rPr>
                <w:t>HB 0213</w:t>
              </w:r>
            </w:hyperlink>
          </w:p>
        </w:tc>
        <w:tc>
          <w:tcPr>
            <w:tcW w:w="0" w:type="auto"/>
            <w:vAlign w:val="center"/>
            <w:hideMark/>
          </w:tcPr>
          <w:p w:rsidR="00B22750" w:rsidRPr="00B22750" w:rsidRDefault="00B22750" w:rsidP="00B22750">
            <w:pPr>
              <w:rPr>
                <w:rFonts w:eastAsia="Times New Roman" w:cs="Times New Roman"/>
              </w:rPr>
            </w:pPr>
            <w:r w:rsidRPr="00B22750">
              <w:rPr>
                <w:rFonts w:eastAsia="Times New Roman" w:cs="Times New Roman"/>
              </w:rPr>
              <w:t>Underground Facility Damage Prevention &amp; Safety</w:t>
            </w:r>
          </w:p>
        </w:tc>
        <w:tc>
          <w:tcPr>
            <w:tcW w:w="0" w:type="auto"/>
            <w:vAlign w:val="center"/>
            <w:hideMark/>
          </w:tcPr>
          <w:p w:rsidR="00B22750" w:rsidRPr="00B22750" w:rsidRDefault="00B22750" w:rsidP="00B22750">
            <w:pPr>
              <w:rPr>
                <w:rFonts w:eastAsia="Times New Roman" w:cs="Times New Roman"/>
              </w:rPr>
            </w:pPr>
            <w:r w:rsidRPr="00B22750">
              <w:rPr>
                <w:rFonts w:eastAsia="Times New Roman" w:cs="Times New Roman"/>
              </w:rPr>
              <w:t xml:space="preserve">Santiago </w:t>
            </w:r>
          </w:p>
        </w:tc>
        <w:tc>
          <w:tcPr>
            <w:tcW w:w="0" w:type="auto"/>
            <w:vAlign w:val="center"/>
            <w:hideMark/>
          </w:tcPr>
          <w:p w:rsidR="00B22750" w:rsidRDefault="00B22750" w:rsidP="00B22750">
            <w:pPr>
              <w:rPr>
                <w:rFonts w:eastAsia="Times New Roman" w:cs="Times New Roman"/>
              </w:rPr>
            </w:pPr>
            <w:r w:rsidRPr="00B22750">
              <w:rPr>
                <w:rFonts w:eastAsia="Times New Roman" w:cs="Times New Roman"/>
              </w:rPr>
              <w:t xml:space="preserve">Last Action: 11/22/2013 H Referred to Energy and Utilities Subcommittee; Local and Federal Affairs Committee; Regulatory Affairs Committee </w:t>
            </w:r>
            <w:r w:rsidRPr="00B22750">
              <w:rPr>
                <w:rFonts w:eastAsia="Times New Roman" w:cs="Times New Roman"/>
              </w:rPr>
              <w:br/>
              <w:t xml:space="preserve">Location: In committee/council (EUS) </w:t>
            </w:r>
          </w:p>
          <w:p w:rsidR="00B22750" w:rsidRPr="00B22750" w:rsidRDefault="00B22750" w:rsidP="00B22750">
            <w:pPr>
              <w:rPr>
                <w:rFonts w:eastAsia="Times New Roman" w:cs="Times New Roman"/>
              </w:rPr>
            </w:pPr>
          </w:p>
        </w:tc>
        <w:tc>
          <w:tcPr>
            <w:tcW w:w="0" w:type="auto"/>
            <w:vAlign w:val="center"/>
            <w:hideMark/>
          </w:tcPr>
          <w:p w:rsidR="00B22750" w:rsidRPr="00B22750" w:rsidRDefault="00B22750" w:rsidP="00B22750">
            <w:pPr>
              <w:rPr>
                <w:rFonts w:eastAsia="Times New Roman" w:cs="Times New Roman"/>
              </w:rPr>
            </w:pPr>
          </w:p>
        </w:tc>
      </w:tr>
      <w:tr w:rsidR="00B22750" w:rsidRPr="00B22750" w:rsidTr="00B22750">
        <w:trPr>
          <w:tblCellSpacing w:w="15" w:type="dxa"/>
        </w:trPr>
        <w:tc>
          <w:tcPr>
            <w:tcW w:w="0" w:type="auto"/>
            <w:vAlign w:val="center"/>
            <w:hideMark/>
          </w:tcPr>
          <w:p w:rsidR="00B22750" w:rsidRPr="00B22750" w:rsidRDefault="00B22750" w:rsidP="00B22750">
            <w:pPr>
              <w:jc w:val="center"/>
              <w:rPr>
                <w:rFonts w:eastAsia="Times New Roman" w:cs="Times New Roman"/>
                <w:b/>
                <w:bCs/>
              </w:rPr>
            </w:pPr>
            <w:hyperlink r:id="rId11" w:history="1">
              <w:r w:rsidRPr="00B22750">
                <w:rPr>
                  <w:rFonts w:eastAsia="Times New Roman" w:cs="Times New Roman"/>
                  <w:b/>
                  <w:bCs/>
                  <w:color w:val="0000FF"/>
                  <w:u w:val="single"/>
                </w:rPr>
                <w:t>SB 0272</w:t>
              </w:r>
            </w:hyperlink>
          </w:p>
        </w:tc>
        <w:tc>
          <w:tcPr>
            <w:tcW w:w="0" w:type="auto"/>
            <w:vAlign w:val="center"/>
            <w:hideMark/>
          </w:tcPr>
          <w:p w:rsidR="00B22750" w:rsidRPr="00B22750" w:rsidRDefault="00B22750" w:rsidP="00B22750">
            <w:pPr>
              <w:rPr>
                <w:rFonts w:eastAsia="Times New Roman" w:cs="Times New Roman"/>
              </w:rPr>
            </w:pPr>
            <w:r w:rsidRPr="00B22750">
              <w:rPr>
                <w:rFonts w:eastAsia="Times New Roman" w:cs="Times New Roman"/>
              </w:rPr>
              <w:t>Water and Wastewater Utilities</w:t>
            </w:r>
          </w:p>
        </w:tc>
        <w:tc>
          <w:tcPr>
            <w:tcW w:w="0" w:type="auto"/>
            <w:vAlign w:val="center"/>
            <w:hideMark/>
          </w:tcPr>
          <w:p w:rsidR="00B22750" w:rsidRPr="00B22750" w:rsidRDefault="00B22750" w:rsidP="00B22750">
            <w:pPr>
              <w:rPr>
                <w:rFonts w:eastAsia="Times New Roman" w:cs="Times New Roman"/>
              </w:rPr>
            </w:pPr>
            <w:r w:rsidRPr="00B22750">
              <w:rPr>
                <w:rFonts w:eastAsia="Times New Roman" w:cs="Times New Roman"/>
              </w:rPr>
              <w:t xml:space="preserve">Simpson </w:t>
            </w:r>
          </w:p>
        </w:tc>
        <w:tc>
          <w:tcPr>
            <w:tcW w:w="0" w:type="auto"/>
            <w:vAlign w:val="center"/>
            <w:hideMark/>
          </w:tcPr>
          <w:p w:rsidR="00B22750" w:rsidRDefault="00B22750" w:rsidP="00B22750">
            <w:pPr>
              <w:rPr>
                <w:rFonts w:eastAsia="Times New Roman" w:cs="Times New Roman"/>
              </w:rPr>
            </w:pPr>
            <w:r w:rsidRPr="00B22750">
              <w:rPr>
                <w:rFonts w:eastAsia="Times New Roman" w:cs="Times New Roman"/>
              </w:rPr>
              <w:t xml:space="preserve">Last Action: 1/6/2014 S On Committee agenda-- Communications, Energy, and Public Utilities, 01/14/14, 10:00 am, 301 Senate Office Building </w:t>
            </w:r>
            <w:r w:rsidRPr="00B22750">
              <w:rPr>
                <w:rFonts w:eastAsia="Times New Roman" w:cs="Times New Roman"/>
              </w:rPr>
              <w:br/>
              <w:t xml:space="preserve">Location: On agenda (CU) </w:t>
            </w:r>
          </w:p>
          <w:p w:rsidR="00B22750" w:rsidRPr="00B22750" w:rsidRDefault="00B22750" w:rsidP="00B22750">
            <w:pPr>
              <w:rPr>
                <w:rFonts w:eastAsia="Times New Roman" w:cs="Times New Roman"/>
              </w:rPr>
            </w:pPr>
          </w:p>
        </w:tc>
        <w:tc>
          <w:tcPr>
            <w:tcW w:w="0" w:type="auto"/>
            <w:vAlign w:val="center"/>
            <w:hideMark/>
          </w:tcPr>
          <w:p w:rsidR="00B22750" w:rsidRPr="00B22750" w:rsidRDefault="00B22750" w:rsidP="00B22750">
            <w:pPr>
              <w:rPr>
                <w:rFonts w:eastAsia="Times New Roman" w:cs="Times New Roman"/>
              </w:rPr>
            </w:pPr>
          </w:p>
        </w:tc>
      </w:tr>
      <w:tr w:rsidR="00B22750" w:rsidRPr="00B22750" w:rsidTr="00B22750">
        <w:trPr>
          <w:tblCellSpacing w:w="15" w:type="dxa"/>
        </w:trPr>
        <w:tc>
          <w:tcPr>
            <w:tcW w:w="0" w:type="auto"/>
            <w:vAlign w:val="center"/>
            <w:hideMark/>
          </w:tcPr>
          <w:p w:rsidR="00B22750" w:rsidRPr="00B22750" w:rsidRDefault="00B22750" w:rsidP="00B22750">
            <w:pPr>
              <w:jc w:val="center"/>
              <w:rPr>
                <w:rFonts w:eastAsia="Times New Roman" w:cs="Times New Roman"/>
                <w:b/>
                <w:bCs/>
              </w:rPr>
            </w:pPr>
            <w:hyperlink r:id="rId12" w:history="1">
              <w:r w:rsidRPr="00B22750">
                <w:rPr>
                  <w:rFonts w:eastAsia="Times New Roman" w:cs="Times New Roman"/>
                  <w:b/>
                  <w:bCs/>
                  <w:color w:val="0000FF"/>
                  <w:u w:val="single"/>
                </w:rPr>
                <w:t>SB 0288</w:t>
              </w:r>
            </w:hyperlink>
          </w:p>
        </w:tc>
        <w:tc>
          <w:tcPr>
            <w:tcW w:w="0" w:type="auto"/>
            <w:vAlign w:val="center"/>
            <w:hideMark/>
          </w:tcPr>
          <w:p w:rsidR="00B22750" w:rsidRPr="00B22750" w:rsidRDefault="00B22750" w:rsidP="00B22750">
            <w:pPr>
              <w:rPr>
                <w:rFonts w:eastAsia="Times New Roman" w:cs="Times New Roman"/>
              </w:rPr>
            </w:pPr>
            <w:r w:rsidRPr="00B22750">
              <w:rPr>
                <w:rFonts w:eastAsia="Times New Roman" w:cs="Times New Roman"/>
              </w:rPr>
              <w:t>Underground Facility Damage Prevention and Safety</w:t>
            </w:r>
          </w:p>
        </w:tc>
        <w:tc>
          <w:tcPr>
            <w:tcW w:w="0" w:type="auto"/>
            <w:vAlign w:val="center"/>
            <w:hideMark/>
          </w:tcPr>
          <w:p w:rsidR="00B22750" w:rsidRPr="00B22750" w:rsidRDefault="00B22750" w:rsidP="00B22750">
            <w:pPr>
              <w:rPr>
                <w:rFonts w:eastAsia="Times New Roman" w:cs="Times New Roman"/>
              </w:rPr>
            </w:pPr>
            <w:r w:rsidRPr="00B22750">
              <w:rPr>
                <w:rFonts w:eastAsia="Times New Roman" w:cs="Times New Roman"/>
              </w:rPr>
              <w:t xml:space="preserve">Richter </w:t>
            </w:r>
          </w:p>
        </w:tc>
        <w:tc>
          <w:tcPr>
            <w:tcW w:w="0" w:type="auto"/>
            <w:vAlign w:val="center"/>
            <w:hideMark/>
          </w:tcPr>
          <w:p w:rsidR="00B22750" w:rsidRDefault="00B22750" w:rsidP="00B22750">
            <w:pPr>
              <w:rPr>
                <w:rFonts w:eastAsia="Times New Roman" w:cs="Times New Roman"/>
              </w:rPr>
            </w:pPr>
            <w:r w:rsidRPr="00B22750">
              <w:rPr>
                <w:rFonts w:eastAsia="Times New Roman" w:cs="Times New Roman"/>
              </w:rPr>
              <w:t xml:space="preserve">Last Action: 1/6/2014 S On Committee agenda-- Communications, Energy, and Public Utilities, 01/14/14, 10:00 am, 301 Senate Office Building </w:t>
            </w:r>
            <w:r w:rsidRPr="00B22750">
              <w:rPr>
                <w:rFonts w:eastAsia="Times New Roman" w:cs="Times New Roman"/>
              </w:rPr>
              <w:br/>
              <w:t xml:space="preserve">Location: On agenda (CU) </w:t>
            </w:r>
          </w:p>
          <w:p w:rsidR="00B22750" w:rsidRPr="00B22750" w:rsidRDefault="00B22750" w:rsidP="00B22750">
            <w:pPr>
              <w:rPr>
                <w:rFonts w:eastAsia="Times New Roman" w:cs="Times New Roman"/>
              </w:rPr>
            </w:pPr>
          </w:p>
        </w:tc>
        <w:tc>
          <w:tcPr>
            <w:tcW w:w="0" w:type="auto"/>
            <w:vAlign w:val="center"/>
            <w:hideMark/>
          </w:tcPr>
          <w:p w:rsidR="00B22750" w:rsidRPr="00B22750" w:rsidRDefault="00B22750" w:rsidP="00B22750">
            <w:pPr>
              <w:rPr>
                <w:rFonts w:eastAsia="Times New Roman" w:cs="Times New Roman"/>
              </w:rPr>
            </w:pPr>
          </w:p>
        </w:tc>
      </w:tr>
      <w:tr w:rsidR="00B22750" w:rsidRPr="00B22750" w:rsidTr="00B22750">
        <w:trPr>
          <w:tblCellSpacing w:w="15" w:type="dxa"/>
        </w:trPr>
        <w:tc>
          <w:tcPr>
            <w:tcW w:w="0" w:type="auto"/>
            <w:vAlign w:val="center"/>
            <w:hideMark/>
          </w:tcPr>
          <w:p w:rsidR="00B22750" w:rsidRPr="00B22750" w:rsidRDefault="00B22750" w:rsidP="00B22750">
            <w:pPr>
              <w:jc w:val="center"/>
              <w:rPr>
                <w:rFonts w:eastAsia="Times New Roman" w:cs="Times New Roman"/>
                <w:b/>
                <w:bCs/>
              </w:rPr>
            </w:pPr>
            <w:hyperlink r:id="rId13" w:history="1">
              <w:r w:rsidRPr="00B22750">
                <w:rPr>
                  <w:rFonts w:eastAsia="Times New Roman" w:cs="Times New Roman"/>
                  <w:b/>
                  <w:bCs/>
                  <w:color w:val="0000FF"/>
                  <w:u w:val="single"/>
                </w:rPr>
                <w:t>HB 0357</w:t>
              </w:r>
            </w:hyperlink>
          </w:p>
        </w:tc>
        <w:tc>
          <w:tcPr>
            <w:tcW w:w="0" w:type="auto"/>
            <w:vAlign w:val="center"/>
            <w:hideMark/>
          </w:tcPr>
          <w:p w:rsidR="00B22750" w:rsidRPr="00B22750" w:rsidRDefault="00B22750" w:rsidP="00B22750">
            <w:pPr>
              <w:rPr>
                <w:rFonts w:eastAsia="Times New Roman" w:cs="Times New Roman"/>
              </w:rPr>
            </w:pPr>
            <w:r w:rsidRPr="00B22750">
              <w:rPr>
                <w:rFonts w:eastAsia="Times New Roman" w:cs="Times New Roman"/>
              </w:rPr>
              <w:t>Water and Wastewater Utility Systems</w:t>
            </w:r>
          </w:p>
        </w:tc>
        <w:tc>
          <w:tcPr>
            <w:tcW w:w="0" w:type="auto"/>
            <w:vAlign w:val="center"/>
            <w:hideMark/>
          </w:tcPr>
          <w:p w:rsidR="00B22750" w:rsidRPr="00B22750" w:rsidRDefault="00B22750" w:rsidP="00B22750">
            <w:pPr>
              <w:rPr>
                <w:rFonts w:eastAsia="Times New Roman" w:cs="Times New Roman"/>
              </w:rPr>
            </w:pPr>
            <w:r w:rsidRPr="00B22750">
              <w:rPr>
                <w:rFonts w:eastAsia="Times New Roman" w:cs="Times New Roman"/>
              </w:rPr>
              <w:t xml:space="preserve">Santiago </w:t>
            </w:r>
          </w:p>
        </w:tc>
        <w:tc>
          <w:tcPr>
            <w:tcW w:w="0" w:type="auto"/>
            <w:vAlign w:val="center"/>
            <w:hideMark/>
          </w:tcPr>
          <w:p w:rsidR="00B22750" w:rsidRDefault="00B22750" w:rsidP="00B22750">
            <w:pPr>
              <w:rPr>
                <w:rFonts w:eastAsia="Times New Roman" w:cs="Times New Roman"/>
              </w:rPr>
            </w:pPr>
            <w:r w:rsidRPr="00B22750">
              <w:rPr>
                <w:rFonts w:eastAsia="Times New Roman" w:cs="Times New Roman"/>
              </w:rPr>
              <w:t xml:space="preserve">Last Action: 12/16/2013 H Referred to Energy and Utilities Subcommittee; Finance and Tax Subcommittee; Regulatory Affairs Committee </w:t>
            </w:r>
            <w:r w:rsidRPr="00B22750">
              <w:rPr>
                <w:rFonts w:eastAsia="Times New Roman" w:cs="Times New Roman"/>
              </w:rPr>
              <w:br/>
              <w:t xml:space="preserve">Location: In committee/council (EUS) </w:t>
            </w:r>
          </w:p>
          <w:p w:rsidR="00B40FA6" w:rsidRPr="00B22750" w:rsidRDefault="00B40FA6" w:rsidP="00B22750">
            <w:pPr>
              <w:rPr>
                <w:rFonts w:eastAsia="Times New Roman" w:cs="Times New Roman"/>
              </w:rPr>
            </w:pPr>
          </w:p>
        </w:tc>
        <w:tc>
          <w:tcPr>
            <w:tcW w:w="0" w:type="auto"/>
            <w:vAlign w:val="center"/>
            <w:hideMark/>
          </w:tcPr>
          <w:p w:rsidR="00B22750" w:rsidRPr="00B22750" w:rsidRDefault="00B22750" w:rsidP="00B22750">
            <w:pPr>
              <w:rPr>
                <w:rFonts w:eastAsia="Times New Roman" w:cs="Times New Roman"/>
              </w:rPr>
            </w:pPr>
          </w:p>
        </w:tc>
      </w:tr>
      <w:tr w:rsidR="00B22750" w:rsidRPr="00B22750" w:rsidTr="00B22750">
        <w:trPr>
          <w:tblCellSpacing w:w="15" w:type="dxa"/>
        </w:trPr>
        <w:tc>
          <w:tcPr>
            <w:tcW w:w="0" w:type="auto"/>
            <w:vAlign w:val="center"/>
            <w:hideMark/>
          </w:tcPr>
          <w:p w:rsidR="00B22750" w:rsidRPr="00B22750" w:rsidRDefault="00B22750" w:rsidP="00B22750">
            <w:pPr>
              <w:jc w:val="center"/>
              <w:rPr>
                <w:rFonts w:eastAsia="Times New Roman" w:cs="Times New Roman"/>
                <w:b/>
                <w:bCs/>
              </w:rPr>
            </w:pPr>
            <w:hyperlink r:id="rId14" w:history="1">
              <w:r w:rsidRPr="00B22750">
                <w:rPr>
                  <w:rFonts w:eastAsia="Times New Roman" w:cs="Times New Roman"/>
                  <w:b/>
                  <w:bCs/>
                  <w:color w:val="0000FF"/>
                  <w:u w:val="single"/>
                </w:rPr>
                <w:t>HB 0359</w:t>
              </w:r>
            </w:hyperlink>
          </w:p>
        </w:tc>
        <w:tc>
          <w:tcPr>
            <w:tcW w:w="0" w:type="auto"/>
            <w:vAlign w:val="center"/>
            <w:hideMark/>
          </w:tcPr>
          <w:p w:rsidR="00B22750" w:rsidRPr="00B22750" w:rsidRDefault="00B22750" w:rsidP="00B22750">
            <w:pPr>
              <w:rPr>
                <w:rFonts w:eastAsia="Times New Roman" w:cs="Times New Roman"/>
              </w:rPr>
            </w:pPr>
            <w:r w:rsidRPr="00B22750">
              <w:rPr>
                <w:rFonts w:eastAsia="Times New Roman" w:cs="Times New Roman"/>
              </w:rPr>
              <w:t>Renovation of Educational Facilities</w:t>
            </w:r>
          </w:p>
        </w:tc>
        <w:tc>
          <w:tcPr>
            <w:tcW w:w="0" w:type="auto"/>
            <w:vAlign w:val="center"/>
            <w:hideMark/>
          </w:tcPr>
          <w:p w:rsidR="00B22750" w:rsidRPr="00B22750" w:rsidRDefault="00B22750" w:rsidP="00B22750">
            <w:pPr>
              <w:rPr>
                <w:rFonts w:eastAsia="Times New Roman" w:cs="Times New Roman"/>
              </w:rPr>
            </w:pPr>
            <w:r w:rsidRPr="00B22750">
              <w:rPr>
                <w:rFonts w:eastAsia="Times New Roman" w:cs="Times New Roman"/>
              </w:rPr>
              <w:t xml:space="preserve">Zimmermann </w:t>
            </w:r>
          </w:p>
        </w:tc>
        <w:tc>
          <w:tcPr>
            <w:tcW w:w="0" w:type="auto"/>
            <w:vAlign w:val="center"/>
            <w:hideMark/>
          </w:tcPr>
          <w:p w:rsidR="00B22750" w:rsidRDefault="00B22750" w:rsidP="00B22750">
            <w:pPr>
              <w:rPr>
                <w:rFonts w:eastAsia="Times New Roman" w:cs="Times New Roman"/>
              </w:rPr>
            </w:pPr>
            <w:r w:rsidRPr="00B22750">
              <w:rPr>
                <w:rFonts w:eastAsia="Times New Roman" w:cs="Times New Roman"/>
              </w:rPr>
              <w:t xml:space="preserve">Last Action: 1/8/2014 H Referred to K-12 Subcommittee; Higher Education and Workforce Subcommittee; Appropriations Committee; Education Committee </w:t>
            </w:r>
            <w:r w:rsidRPr="00B22750">
              <w:rPr>
                <w:rFonts w:eastAsia="Times New Roman" w:cs="Times New Roman"/>
              </w:rPr>
              <w:br/>
              <w:t xml:space="preserve">Location: In committee/council (KTS) </w:t>
            </w:r>
          </w:p>
          <w:p w:rsidR="00B40FA6" w:rsidRPr="00B22750" w:rsidRDefault="00B40FA6" w:rsidP="00B22750">
            <w:pPr>
              <w:rPr>
                <w:rFonts w:eastAsia="Times New Roman" w:cs="Times New Roman"/>
              </w:rPr>
            </w:pPr>
          </w:p>
        </w:tc>
        <w:tc>
          <w:tcPr>
            <w:tcW w:w="0" w:type="auto"/>
            <w:vAlign w:val="center"/>
            <w:hideMark/>
          </w:tcPr>
          <w:p w:rsidR="00B22750" w:rsidRPr="00B22750" w:rsidRDefault="00B22750" w:rsidP="00B22750">
            <w:pPr>
              <w:rPr>
                <w:rFonts w:eastAsia="Times New Roman" w:cs="Times New Roman"/>
              </w:rPr>
            </w:pPr>
          </w:p>
        </w:tc>
      </w:tr>
      <w:tr w:rsidR="00B22750" w:rsidRPr="00B22750" w:rsidTr="00B22750">
        <w:trPr>
          <w:tblCellSpacing w:w="15" w:type="dxa"/>
        </w:trPr>
        <w:tc>
          <w:tcPr>
            <w:tcW w:w="0" w:type="auto"/>
            <w:vAlign w:val="center"/>
            <w:hideMark/>
          </w:tcPr>
          <w:p w:rsidR="00B22750" w:rsidRPr="00B22750" w:rsidRDefault="00B22750" w:rsidP="00B22750">
            <w:pPr>
              <w:jc w:val="center"/>
              <w:rPr>
                <w:rFonts w:eastAsia="Times New Roman" w:cs="Times New Roman"/>
                <w:b/>
                <w:bCs/>
              </w:rPr>
            </w:pPr>
            <w:hyperlink r:id="rId15" w:history="1">
              <w:r w:rsidRPr="00B22750">
                <w:rPr>
                  <w:rFonts w:eastAsia="Times New Roman" w:cs="Times New Roman"/>
                  <w:b/>
                  <w:bCs/>
                  <w:color w:val="0000FF"/>
                  <w:u w:val="single"/>
                </w:rPr>
                <w:t>SB 0416</w:t>
              </w:r>
            </w:hyperlink>
          </w:p>
        </w:tc>
        <w:tc>
          <w:tcPr>
            <w:tcW w:w="0" w:type="auto"/>
            <w:vAlign w:val="center"/>
            <w:hideMark/>
          </w:tcPr>
          <w:p w:rsidR="00B22750" w:rsidRPr="00B22750" w:rsidRDefault="00B22750" w:rsidP="00B22750">
            <w:pPr>
              <w:rPr>
                <w:rFonts w:eastAsia="Times New Roman" w:cs="Times New Roman"/>
              </w:rPr>
            </w:pPr>
            <w:r w:rsidRPr="00B22750">
              <w:rPr>
                <w:rFonts w:eastAsia="Times New Roman" w:cs="Times New Roman"/>
              </w:rPr>
              <w:t>Sinkhole Coverage</w:t>
            </w:r>
          </w:p>
        </w:tc>
        <w:tc>
          <w:tcPr>
            <w:tcW w:w="0" w:type="auto"/>
            <w:vAlign w:val="center"/>
            <w:hideMark/>
          </w:tcPr>
          <w:p w:rsidR="00B22750" w:rsidRPr="00B22750" w:rsidRDefault="00B22750" w:rsidP="00B22750">
            <w:pPr>
              <w:rPr>
                <w:rFonts w:eastAsia="Times New Roman" w:cs="Times New Roman"/>
              </w:rPr>
            </w:pPr>
            <w:r w:rsidRPr="00B22750">
              <w:rPr>
                <w:rFonts w:eastAsia="Times New Roman" w:cs="Times New Roman"/>
              </w:rPr>
              <w:t xml:space="preserve">Simpson </w:t>
            </w:r>
          </w:p>
        </w:tc>
        <w:tc>
          <w:tcPr>
            <w:tcW w:w="0" w:type="auto"/>
            <w:vAlign w:val="center"/>
            <w:hideMark/>
          </w:tcPr>
          <w:p w:rsidR="00B22750" w:rsidRDefault="00B22750" w:rsidP="00B22750">
            <w:pPr>
              <w:rPr>
                <w:rFonts w:eastAsia="Times New Roman" w:cs="Times New Roman"/>
              </w:rPr>
            </w:pPr>
            <w:r w:rsidRPr="00B22750">
              <w:rPr>
                <w:rFonts w:eastAsia="Times New Roman" w:cs="Times New Roman"/>
              </w:rPr>
              <w:t xml:space="preserve">Last Action: 1/6/2014 S On Committee agenda-- Banking and Insurance, 01/14/14, 2:00 pm, 110 Senate Office Building </w:t>
            </w:r>
            <w:r w:rsidRPr="00B22750">
              <w:rPr>
                <w:rFonts w:eastAsia="Times New Roman" w:cs="Times New Roman"/>
              </w:rPr>
              <w:br/>
              <w:t xml:space="preserve">Location: On agenda (BI) </w:t>
            </w:r>
          </w:p>
          <w:p w:rsidR="00B40FA6" w:rsidRPr="00B22750" w:rsidRDefault="00B40FA6" w:rsidP="00B22750">
            <w:pPr>
              <w:rPr>
                <w:rFonts w:eastAsia="Times New Roman" w:cs="Times New Roman"/>
              </w:rPr>
            </w:pPr>
          </w:p>
        </w:tc>
        <w:tc>
          <w:tcPr>
            <w:tcW w:w="0" w:type="auto"/>
            <w:vAlign w:val="center"/>
            <w:hideMark/>
          </w:tcPr>
          <w:p w:rsidR="00B22750" w:rsidRPr="00B22750" w:rsidRDefault="00B22750" w:rsidP="00B22750">
            <w:pPr>
              <w:rPr>
                <w:rFonts w:eastAsia="Times New Roman" w:cs="Times New Roman"/>
              </w:rPr>
            </w:pPr>
          </w:p>
        </w:tc>
      </w:tr>
      <w:tr w:rsidR="00B22750" w:rsidRPr="00B22750" w:rsidTr="00B22750">
        <w:trPr>
          <w:tblCellSpacing w:w="15" w:type="dxa"/>
        </w:trPr>
        <w:tc>
          <w:tcPr>
            <w:tcW w:w="0" w:type="auto"/>
            <w:vAlign w:val="center"/>
            <w:hideMark/>
          </w:tcPr>
          <w:p w:rsidR="00B22750" w:rsidRPr="00B22750" w:rsidRDefault="00B22750" w:rsidP="00B22750">
            <w:pPr>
              <w:jc w:val="center"/>
              <w:rPr>
                <w:rFonts w:eastAsia="Times New Roman" w:cs="Times New Roman"/>
                <w:b/>
                <w:bCs/>
              </w:rPr>
            </w:pPr>
            <w:hyperlink r:id="rId16" w:history="1">
              <w:r w:rsidRPr="00B22750">
                <w:rPr>
                  <w:rFonts w:eastAsia="Times New Roman" w:cs="Times New Roman"/>
                  <w:b/>
                  <w:bCs/>
                  <w:color w:val="0000FF"/>
                  <w:u w:val="single"/>
                </w:rPr>
                <w:t>HB 0429</w:t>
              </w:r>
            </w:hyperlink>
          </w:p>
        </w:tc>
        <w:tc>
          <w:tcPr>
            <w:tcW w:w="0" w:type="auto"/>
            <w:vAlign w:val="center"/>
            <w:hideMark/>
          </w:tcPr>
          <w:p w:rsidR="00B22750" w:rsidRPr="00B22750" w:rsidRDefault="00B22750" w:rsidP="00B22750">
            <w:pPr>
              <w:rPr>
                <w:rFonts w:eastAsia="Times New Roman" w:cs="Times New Roman"/>
              </w:rPr>
            </w:pPr>
            <w:r w:rsidRPr="00B22750">
              <w:rPr>
                <w:rFonts w:eastAsia="Times New Roman" w:cs="Times New Roman"/>
              </w:rPr>
              <w:t>Hearsay</w:t>
            </w:r>
          </w:p>
        </w:tc>
        <w:tc>
          <w:tcPr>
            <w:tcW w:w="0" w:type="auto"/>
            <w:vAlign w:val="center"/>
            <w:hideMark/>
          </w:tcPr>
          <w:p w:rsidR="00B22750" w:rsidRPr="00B22750" w:rsidRDefault="00B22750" w:rsidP="00B22750">
            <w:pPr>
              <w:rPr>
                <w:rFonts w:eastAsia="Times New Roman" w:cs="Times New Roman"/>
              </w:rPr>
            </w:pPr>
            <w:r w:rsidRPr="00B22750">
              <w:rPr>
                <w:rFonts w:eastAsia="Times New Roman" w:cs="Times New Roman"/>
              </w:rPr>
              <w:t xml:space="preserve">Boyd </w:t>
            </w:r>
          </w:p>
        </w:tc>
        <w:tc>
          <w:tcPr>
            <w:tcW w:w="0" w:type="auto"/>
            <w:vAlign w:val="center"/>
            <w:hideMark/>
          </w:tcPr>
          <w:p w:rsidR="00B22750" w:rsidRDefault="00B22750" w:rsidP="00B22750">
            <w:pPr>
              <w:rPr>
                <w:rFonts w:eastAsia="Times New Roman" w:cs="Times New Roman"/>
              </w:rPr>
            </w:pPr>
            <w:r w:rsidRPr="00B22750">
              <w:rPr>
                <w:rFonts w:eastAsia="Times New Roman" w:cs="Times New Roman"/>
              </w:rPr>
              <w:t xml:space="preserve">Last Action: 1/8/2014 H Referred to Civil Justice Subcommittee; Criminal Justice Subcommittee; Judiciary Committee </w:t>
            </w:r>
            <w:r w:rsidRPr="00B22750">
              <w:rPr>
                <w:rFonts w:eastAsia="Times New Roman" w:cs="Times New Roman"/>
              </w:rPr>
              <w:br/>
              <w:t xml:space="preserve">Location: In committee/council (CJS) </w:t>
            </w:r>
          </w:p>
          <w:p w:rsidR="00B40FA6" w:rsidRPr="00B22750" w:rsidRDefault="00B40FA6" w:rsidP="00B22750">
            <w:pPr>
              <w:rPr>
                <w:rFonts w:eastAsia="Times New Roman" w:cs="Times New Roman"/>
              </w:rPr>
            </w:pPr>
          </w:p>
        </w:tc>
        <w:tc>
          <w:tcPr>
            <w:tcW w:w="0" w:type="auto"/>
            <w:vAlign w:val="center"/>
            <w:hideMark/>
          </w:tcPr>
          <w:p w:rsidR="00B22750" w:rsidRPr="00B22750" w:rsidRDefault="00B22750" w:rsidP="00B22750">
            <w:pPr>
              <w:rPr>
                <w:rFonts w:eastAsia="Times New Roman" w:cs="Times New Roman"/>
              </w:rPr>
            </w:pPr>
          </w:p>
        </w:tc>
      </w:tr>
      <w:tr w:rsidR="00B22750" w:rsidRPr="00B22750" w:rsidTr="00B22750">
        <w:trPr>
          <w:tblCellSpacing w:w="15" w:type="dxa"/>
        </w:trPr>
        <w:tc>
          <w:tcPr>
            <w:tcW w:w="0" w:type="auto"/>
            <w:vAlign w:val="center"/>
            <w:hideMark/>
          </w:tcPr>
          <w:p w:rsidR="00B22750" w:rsidRPr="00B22750" w:rsidRDefault="00B22750" w:rsidP="00B22750">
            <w:pPr>
              <w:jc w:val="center"/>
              <w:rPr>
                <w:rFonts w:eastAsia="Times New Roman" w:cs="Times New Roman"/>
                <w:b/>
                <w:bCs/>
              </w:rPr>
            </w:pPr>
            <w:hyperlink r:id="rId17" w:history="1">
              <w:r w:rsidRPr="00B22750">
                <w:rPr>
                  <w:rFonts w:eastAsia="Times New Roman" w:cs="Times New Roman"/>
                  <w:b/>
                  <w:bCs/>
                  <w:color w:val="0000FF"/>
                  <w:u w:val="single"/>
                </w:rPr>
                <w:t>SB 0444</w:t>
              </w:r>
            </w:hyperlink>
          </w:p>
        </w:tc>
        <w:tc>
          <w:tcPr>
            <w:tcW w:w="0" w:type="auto"/>
            <w:vAlign w:val="center"/>
            <w:hideMark/>
          </w:tcPr>
          <w:p w:rsidR="00B22750" w:rsidRPr="00B22750" w:rsidRDefault="00B22750" w:rsidP="00B22750">
            <w:pPr>
              <w:rPr>
                <w:rFonts w:eastAsia="Times New Roman" w:cs="Times New Roman"/>
              </w:rPr>
            </w:pPr>
            <w:r w:rsidRPr="00B22750">
              <w:rPr>
                <w:rFonts w:eastAsia="Times New Roman" w:cs="Times New Roman"/>
              </w:rPr>
              <w:t>Workers’ Compensation</w:t>
            </w:r>
          </w:p>
        </w:tc>
        <w:tc>
          <w:tcPr>
            <w:tcW w:w="0" w:type="auto"/>
            <w:vAlign w:val="center"/>
            <w:hideMark/>
          </w:tcPr>
          <w:p w:rsidR="00B22750" w:rsidRPr="00B22750" w:rsidRDefault="00B22750" w:rsidP="00B22750">
            <w:pPr>
              <w:rPr>
                <w:rFonts w:eastAsia="Times New Roman" w:cs="Times New Roman"/>
              </w:rPr>
            </w:pPr>
            <w:r w:rsidRPr="00B22750">
              <w:rPr>
                <w:rFonts w:eastAsia="Times New Roman" w:cs="Times New Roman"/>
              </w:rPr>
              <w:t xml:space="preserve">Galvano </w:t>
            </w:r>
          </w:p>
        </w:tc>
        <w:tc>
          <w:tcPr>
            <w:tcW w:w="0" w:type="auto"/>
            <w:vAlign w:val="center"/>
            <w:hideMark/>
          </w:tcPr>
          <w:p w:rsidR="00B22750" w:rsidRDefault="00B22750" w:rsidP="00B22750">
            <w:pPr>
              <w:rPr>
                <w:rFonts w:eastAsia="Times New Roman" w:cs="Times New Roman"/>
              </w:rPr>
            </w:pPr>
            <w:r w:rsidRPr="00B22750">
              <w:rPr>
                <w:rFonts w:eastAsia="Times New Roman" w:cs="Times New Roman"/>
              </w:rPr>
              <w:t xml:space="preserve">Last Action: 1/6/2014 S On Committee agenda-- Banking and Insurance, 01/14/14, 2:00 pm, 110 Senate Office Building </w:t>
            </w:r>
            <w:r w:rsidRPr="00B22750">
              <w:rPr>
                <w:rFonts w:eastAsia="Times New Roman" w:cs="Times New Roman"/>
              </w:rPr>
              <w:br/>
              <w:t xml:space="preserve">Location: On agenda (BI) </w:t>
            </w:r>
          </w:p>
          <w:p w:rsidR="00B40FA6" w:rsidRPr="00B22750" w:rsidRDefault="00B40FA6" w:rsidP="00B22750">
            <w:pPr>
              <w:rPr>
                <w:rFonts w:eastAsia="Times New Roman" w:cs="Times New Roman"/>
              </w:rPr>
            </w:pPr>
          </w:p>
        </w:tc>
        <w:tc>
          <w:tcPr>
            <w:tcW w:w="0" w:type="auto"/>
            <w:vAlign w:val="center"/>
            <w:hideMark/>
          </w:tcPr>
          <w:p w:rsidR="00B22750" w:rsidRPr="00B22750" w:rsidRDefault="00B22750" w:rsidP="00B22750">
            <w:pPr>
              <w:rPr>
                <w:rFonts w:eastAsia="Times New Roman" w:cs="Times New Roman"/>
              </w:rPr>
            </w:pPr>
          </w:p>
        </w:tc>
      </w:tr>
      <w:tr w:rsidR="00B22750" w:rsidRPr="00B22750" w:rsidTr="00B40FA6">
        <w:trPr>
          <w:tblCellSpacing w:w="15" w:type="dxa"/>
        </w:trPr>
        <w:tc>
          <w:tcPr>
            <w:tcW w:w="0" w:type="auto"/>
            <w:vAlign w:val="center"/>
            <w:hideMark/>
          </w:tcPr>
          <w:p w:rsidR="00B22750" w:rsidRPr="00B22750" w:rsidRDefault="00B22750" w:rsidP="00B22750">
            <w:pPr>
              <w:jc w:val="center"/>
              <w:rPr>
                <w:rFonts w:eastAsia="Times New Roman" w:cs="Times New Roman"/>
                <w:b/>
                <w:bCs/>
              </w:rPr>
            </w:pPr>
            <w:hyperlink r:id="rId18" w:history="1">
              <w:r w:rsidRPr="00B22750">
                <w:rPr>
                  <w:rFonts w:eastAsia="Times New Roman" w:cs="Times New Roman"/>
                  <w:b/>
                  <w:bCs/>
                  <w:color w:val="0000FF"/>
                  <w:u w:val="single"/>
                </w:rPr>
                <w:t>SB 0460</w:t>
              </w:r>
            </w:hyperlink>
          </w:p>
        </w:tc>
        <w:tc>
          <w:tcPr>
            <w:tcW w:w="0" w:type="auto"/>
            <w:vAlign w:val="center"/>
            <w:hideMark/>
          </w:tcPr>
          <w:p w:rsidR="00B22750" w:rsidRPr="00B22750" w:rsidRDefault="00B22750" w:rsidP="00B22750">
            <w:pPr>
              <w:rPr>
                <w:rFonts w:eastAsia="Times New Roman" w:cs="Times New Roman"/>
              </w:rPr>
            </w:pPr>
            <w:r w:rsidRPr="00B22750">
              <w:rPr>
                <w:rFonts w:eastAsia="Times New Roman" w:cs="Times New Roman"/>
              </w:rPr>
              <w:t>Construction Liens</w:t>
            </w:r>
          </w:p>
        </w:tc>
        <w:tc>
          <w:tcPr>
            <w:tcW w:w="0" w:type="auto"/>
            <w:vAlign w:val="center"/>
            <w:hideMark/>
          </w:tcPr>
          <w:p w:rsidR="00B22750" w:rsidRPr="00B22750" w:rsidRDefault="00B22750" w:rsidP="00B22750">
            <w:pPr>
              <w:rPr>
                <w:rFonts w:eastAsia="Times New Roman" w:cs="Times New Roman"/>
              </w:rPr>
            </w:pPr>
            <w:r w:rsidRPr="00B22750">
              <w:rPr>
                <w:rFonts w:eastAsia="Times New Roman" w:cs="Times New Roman"/>
              </w:rPr>
              <w:t xml:space="preserve">Simpson </w:t>
            </w:r>
          </w:p>
        </w:tc>
        <w:tc>
          <w:tcPr>
            <w:tcW w:w="0" w:type="auto"/>
            <w:vAlign w:val="center"/>
            <w:hideMark/>
          </w:tcPr>
          <w:p w:rsidR="00B22750" w:rsidRDefault="00B22750" w:rsidP="00B22750">
            <w:pPr>
              <w:rPr>
                <w:rFonts w:eastAsia="Times New Roman" w:cs="Times New Roman"/>
              </w:rPr>
            </w:pPr>
            <w:r w:rsidRPr="00B22750">
              <w:rPr>
                <w:rFonts w:eastAsia="Times New Roman" w:cs="Times New Roman"/>
              </w:rPr>
              <w:t xml:space="preserve">Last Action: 12/11/2013 S Referred to Judiciary; Regulated Industries; Appropriations Subcommittee on Criminal and Civil Justice; Appropriations </w:t>
            </w:r>
            <w:r w:rsidRPr="00B22750">
              <w:rPr>
                <w:rFonts w:eastAsia="Times New Roman" w:cs="Times New Roman"/>
              </w:rPr>
              <w:br/>
              <w:t xml:space="preserve">Location: In committee/council (JU) </w:t>
            </w:r>
          </w:p>
          <w:p w:rsidR="00B40FA6" w:rsidRPr="00B22750" w:rsidRDefault="00B40FA6" w:rsidP="00B22750">
            <w:pPr>
              <w:rPr>
                <w:rFonts w:eastAsia="Times New Roman" w:cs="Times New Roman"/>
              </w:rPr>
            </w:pPr>
          </w:p>
        </w:tc>
        <w:tc>
          <w:tcPr>
            <w:tcW w:w="0" w:type="auto"/>
            <w:vAlign w:val="center"/>
          </w:tcPr>
          <w:p w:rsidR="00B22750" w:rsidRPr="00B22750" w:rsidRDefault="00B22750" w:rsidP="00B22750">
            <w:pPr>
              <w:rPr>
                <w:rFonts w:eastAsia="Times New Roman" w:cs="Times New Roman"/>
              </w:rPr>
            </w:pPr>
          </w:p>
        </w:tc>
      </w:tr>
      <w:tr w:rsidR="00B22750" w:rsidRPr="00B22750" w:rsidTr="00B40FA6">
        <w:trPr>
          <w:tblCellSpacing w:w="15" w:type="dxa"/>
        </w:trPr>
        <w:tc>
          <w:tcPr>
            <w:tcW w:w="0" w:type="auto"/>
            <w:vAlign w:val="center"/>
            <w:hideMark/>
          </w:tcPr>
          <w:p w:rsidR="00B22750" w:rsidRPr="00B22750" w:rsidRDefault="00B22750" w:rsidP="00B22750">
            <w:pPr>
              <w:jc w:val="center"/>
              <w:rPr>
                <w:rFonts w:eastAsia="Times New Roman" w:cs="Times New Roman"/>
                <w:b/>
                <w:bCs/>
              </w:rPr>
            </w:pPr>
            <w:hyperlink r:id="rId19" w:history="1">
              <w:r w:rsidRPr="00B22750">
                <w:rPr>
                  <w:rFonts w:eastAsia="Times New Roman" w:cs="Times New Roman"/>
                  <w:b/>
                  <w:bCs/>
                  <w:color w:val="0000FF"/>
                  <w:u w:val="single"/>
                </w:rPr>
                <w:t>HB 0541</w:t>
              </w:r>
            </w:hyperlink>
          </w:p>
        </w:tc>
        <w:tc>
          <w:tcPr>
            <w:tcW w:w="0" w:type="auto"/>
            <w:vAlign w:val="center"/>
            <w:hideMark/>
          </w:tcPr>
          <w:p w:rsidR="00B22750" w:rsidRPr="00B22750" w:rsidRDefault="00B22750" w:rsidP="00B22750">
            <w:pPr>
              <w:rPr>
                <w:rFonts w:eastAsia="Times New Roman" w:cs="Times New Roman"/>
              </w:rPr>
            </w:pPr>
            <w:r w:rsidRPr="00B22750">
              <w:rPr>
                <w:rFonts w:eastAsia="Times New Roman" w:cs="Times New Roman"/>
              </w:rPr>
              <w:t>Public-Private Partnerships</w:t>
            </w:r>
          </w:p>
        </w:tc>
        <w:tc>
          <w:tcPr>
            <w:tcW w:w="0" w:type="auto"/>
            <w:vAlign w:val="center"/>
            <w:hideMark/>
          </w:tcPr>
          <w:p w:rsidR="00B22750" w:rsidRPr="00B22750" w:rsidRDefault="00B22750" w:rsidP="00B22750">
            <w:pPr>
              <w:rPr>
                <w:rFonts w:eastAsia="Times New Roman" w:cs="Times New Roman"/>
              </w:rPr>
            </w:pPr>
            <w:r w:rsidRPr="00B22750">
              <w:rPr>
                <w:rFonts w:eastAsia="Times New Roman" w:cs="Times New Roman"/>
              </w:rPr>
              <w:t xml:space="preserve">Steube </w:t>
            </w:r>
          </w:p>
        </w:tc>
        <w:tc>
          <w:tcPr>
            <w:tcW w:w="0" w:type="auto"/>
            <w:vAlign w:val="center"/>
            <w:hideMark/>
          </w:tcPr>
          <w:p w:rsidR="00B22750" w:rsidRDefault="00B22750" w:rsidP="00B22750">
            <w:pPr>
              <w:rPr>
                <w:rFonts w:eastAsia="Times New Roman" w:cs="Times New Roman"/>
              </w:rPr>
            </w:pPr>
            <w:r w:rsidRPr="00B22750">
              <w:rPr>
                <w:rFonts w:eastAsia="Times New Roman" w:cs="Times New Roman"/>
              </w:rPr>
              <w:t xml:space="preserve">Last Action: 1/9/2014 H Filed </w:t>
            </w:r>
            <w:r w:rsidRPr="00B22750">
              <w:rPr>
                <w:rFonts w:eastAsia="Times New Roman" w:cs="Times New Roman"/>
              </w:rPr>
              <w:br/>
              <w:t xml:space="preserve">Location: Filed </w:t>
            </w:r>
          </w:p>
          <w:p w:rsidR="00B40FA6" w:rsidRPr="00B22750" w:rsidRDefault="00B40FA6" w:rsidP="00B22750">
            <w:pPr>
              <w:rPr>
                <w:rFonts w:eastAsia="Times New Roman" w:cs="Times New Roman"/>
              </w:rPr>
            </w:pPr>
          </w:p>
        </w:tc>
        <w:tc>
          <w:tcPr>
            <w:tcW w:w="0" w:type="auto"/>
            <w:vAlign w:val="center"/>
          </w:tcPr>
          <w:p w:rsidR="00B22750" w:rsidRPr="00B22750" w:rsidRDefault="00B22750" w:rsidP="00B22750">
            <w:pPr>
              <w:rPr>
                <w:rFonts w:eastAsia="Times New Roman" w:cs="Times New Roman"/>
              </w:rPr>
            </w:pPr>
          </w:p>
        </w:tc>
      </w:tr>
      <w:tr w:rsidR="00B22750" w:rsidRPr="00B22750" w:rsidTr="00B22750">
        <w:trPr>
          <w:tblCellSpacing w:w="15" w:type="dxa"/>
        </w:trPr>
        <w:tc>
          <w:tcPr>
            <w:tcW w:w="0" w:type="auto"/>
            <w:vAlign w:val="center"/>
            <w:hideMark/>
          </w:tcPr>
          <w:p w:rsidR="00B22750" w:rsidRPr="00B22750" w:rsidRDefault="00B22750" w:rsidP="00B22750">
            <w:pPr>
              <w:jc w:val="center"/>
              <w:rPr>
                <w:rFonts w:eastAsia="Times New Roman" w:cs="Times New Roman"/>
                <w:b/>
                <w:bCs/>
              </w:rPr>
            </w:pPr>
            <w:hyperlink r:id="rId20" w:history="1">
              <w:r w:rsidRPr="00B22750">
                <w:rPr>
                  <w:rFonts w:eastAsia="Times New Roman" w:cs="Times New Roman"/>
                  <w:b/>
                  <w:bCs/>
                  <w:color w:val="0000FF"/>
                  <w:u w:val="single"/>
                </w:rPr>
                <w:t>SB 0596</w:t>
              </w:r>
            </w:hyperlink>
          </w:p>
        </w:tc>
        <w:tc>
          <w:tcPr>
            <w:tcW w:w="0" w:type="auto"/>
            <w:vAlign w:val="center"/>
            <w:hideMark/>
          </w:tcPr>
          <w:p w:rsidR="00B22750" w:rsidRPr="00B22750" w:rsidRDefault="00B22750" w:rsidP="00B22750">
            <w:pPr>
              <w:rPr>
                <w:rFonts w:eastAsia="Times New Roman" w:cs="Times New Roman"/>
              </w:rPr>
            </w:pPr>
            <w:r w:rsidRPr="00B22750">
              <w:rPr>
                <w:rFonts w:eastAsia="Times New Roman" w:cs="Times New Roman"/>
              </w:rPr>
              <w:t>Defense Contracting</w:t>
            </w:r>
          </w:p>
        </w:tc>
        <w:tc>
          <w:tcPr>
            <w:tcW w:w="0" w:type="auto"/>
            <w:vAlign w:val="center"/>
            <w:hideMark/>
          </w:tcPr>
          <w:p w:rsidR="00B22750" w:rsidRPr="00B22750" w:rsidRDefault="00B22750" w:rsidP="00B22750">
            <w:pPr>
              <w:rPr>
                <w:rFonts w:eastAsia="Times New Roman" w:cs="Times New Roman"/>
              </w:rPr>
            </w:pPr>
            <w:r w:rsidRPr="00B22750">
              <w:rPr>
                <w:rFonts w:eastAsia="Times New Roman" w:cs="Times New Roman"/>
              </w:rPr>
              <w:t xml:space="preserve">Evers </w:t>
            </w:r>
          </w:p>
        </w:tc>
        <w:tc>
          <w:tcPr>
            <w:tcW w:w="0" w:type="auto"/>
            <w:vAlign w:val="center"/>
            <w:hideMark/>
          </w:tcPr>
          <w:p w:rsidR="00B22750" w:rsidRDefault="00B22750" w:rsidP="00B22750">
            <w:pPr>
              <w:rPr>
                <w:rFonts w:eastAsia="Times New Roman" w:cs="Times New Roman"/>
              </w:rPr>
            </w:pPr>
            <w:r w:rsidRPr="00B22750">
              <w:rPr>
                <w:rFonts w:eastAsia="Times New Roman" w:cs="Times New Roman"/>
              </w:rPr>
              <w:t xml:space="preserve">Last Action: 1/9/2014 S Filed </w:t>
            </w:r>
            <w:r w:rsidRPr="00B22750">
              <w:rPr>
                <w:rFonts w:eastAsia="Times New Roman" w:cs="Times New Roman"/>
              </w:rPr>
              <w:br/>
              <w:t xml:space="preserve">Location: Filed </w:t>
            </w:r>
          </w:p>
          <w:p w:rsidR="00B40FA6" w:rsidRPr="00B22750" w:rsidRDefault="00B40FA6" w:rsidP="00B22750">
            <w:pPr>
              <w:rPr>
                <w:rFonts w:eastAsia="Times New Roman" w:cs="Times New Roman"/>
              </w:rPr>
            </w:pPr>
          </w:p>
        </w:tc>
        <w:tc>
          <w:tcPr>
            <w:tcW w:w="0" w:type="auto"/>
            <w:vAlign w:val="center"/>
            <w:hideMark/>
          </w:tcPr>
          <w:p w:rsidR="00B22750" w:rsidRPr="00B22750" w:rsidRDefault="00B22750" w:rsidP="00B22750">
            <w:pPr>
              <w:rPr>
                <w:rFonts w:eastAsia="Times New Roman" w:cs="Times New Roman"/>
              </w:rPr>
            </w:pPr>
          </w:p>
        </w:tc>
      </w:tr>
      <w:tr w:rsidR="00B22750" w:rsidRPr="00B22750" w:rsidTr="00B22750">
        <w:trPr>
          <w:tblCellSpacing w:w="15" w:type="dxa"/>
        </w:trPr>
        <w:tc>
          <w:tcPr>
            <w:tcW w:w="0" w:type="auto"/>
            <w:vAlign w:val="center"/>
            <w:hideMark/>
          </w:tcPr>
          <w:p w:rsidR="00B22750" w:rsidRPr="00B22750" w:rsidRDefault="00B22750" w:rsidP="00B22750">
            <w:pPr>
              <w:jc w:val="center"/>
              <w:rPr>
                <w:rFonts w:eastAsia="Times New Roman" w:cs="Times New Roman"/>
                <w:b/>
                <w:bCs/>
              </w:rPr>
            </w:pPr>
            <w:hyperlink r:id="rId21" w:history="1">
              <w:r w:rsidRPr="00B22750">
                <w:rPr>
                  <w:rFonts w:eastAsia="Times New Roman" w:cs="Times New Roman"/>
                  <w:b/>
                  <w:bCs/>
                  <w:color w:val="0000FF"/>
                  <w:u w:val="single"/>
                </w:rPr>
                <w:t>SB 0612</w:t>
              </w:r>
            </w:hyperlink>
          </w:p>
        </w:tc>
        <w:tc>
          <w:tcPr>
            <w:tcW w:w="0" w:type="auto"/>
            <w:vAlign w:val="center"/>
            <w:hideMark/>
          </w:tcPr>
          <w:p w:rsidR="00B22750" w:rsidRPr="00B22750" w:rsidRDefault="00B22750" w:rsidP="00B22750">
            <w:pPr>
              <w:rPr>
                <w:rFonts w:eastAsia="Times New Roman" w:cs="Times New Roman"/>
              </w:rPr>
            </w:pPr>
            <w:r w:rsidRPr="00B22750">
              <w:rPr>
                <w:rFonts w:eastAsia="Times New Roman" w:cs="Times New Roman"/>
              </w:rPr>
              <w:t>Preference in the Award of State Contracts</w:t>
            </w:r>
          </w:p>
        </w:tc>
        <w:tc>
          <w:tcPr>
            <w:tcW w:w="0" w:type="auto"/>
            <w:vAlign w:val="center"/>
            <w:hideMark/>
          </w:tcPr>
          <w:p w:rsidR="00B22750" w:rsidRPr="00B22750" w:rsidRDefault="00B22750" w:rsidP="00B22750">
            <w:pPr>
              <w:rPr>
                <w:rFonts w:eastAsia="Times New Roman" w:cs="Times New Roman"/>
              </w:rPr>
            </w:pPr>
            <w:r w:rsidRPr="00B22750">
              <w:rPr>
                <w:rFonts w:eastAsia="Times New Roman" w:cs="Times New Roman"/>
              </w:rPr>
              <w:t xml:space="preserve">Hays </w:t>
            </w:r>
          </w:p>
        </w:tc>
        <w:tc>
          <w:tcPr>
            <w:tcW w:w="0" w:type="auto"/>
            <w:vAlign w:val="center"/>
            <w:hideMark/>
          </w:tcPr>
          <w:p w:rsidR="00B22750" w:rsidRPr="00B22750" w:rsidRDefault="00B22750" w:rsidP="00B22750">
            <w:pPr>
              <w:rPr>
                <w:rFonts w:eastAsia="Times New Roman" w:cs="Times New Roman"/>
              </w:rPr>
            </w:pPr>
            <w:r w:rsidRPr="00B22750">
              <w:rPr>
                <w:rFonts w:eastAsia="Times New Roman" w:cs="Times New Roman"/>
              </w:rPr>
              <w:t xml:space="preserve">Last Action: 1/10/2014 S Filed </w:t>
            </w:r>
            <w:r w:rsidRPr="00B22750">
              <w:rPr>
                <w:rFonts w:eastAsia="Times New Roman" w:cs="Times New Roman"/>
              </w:rPr>
              <w:br/>
              <w:t xml:space="preserve">Location: Filed </w:t>
            </w:r>
          </w:p>
        </w:tc>
        <w:tc>
          <w:tcPr>
            <w:tcW w:w="0" w:type="auto"/>
            <w:vAlign w:val="center"/>
            <w:hideMark/>
          </w:tcPr>
          <w:p w:rsidR="00B22750" w:rsidRPr="00B22750" w:rsidRDefault="00B22750" w:rsidP="00B22750">
            <w:pPr>
              <w:rPr>
                <w:rFonts w:eastAsia="Times New Roman" w:cs="Times New Roman"/>
              </w:rPr>
            </w:pPr>
          </w:p>
        </w:tc>
      </w:tr>
    </w:tbl>
    <w:p w:rsidR="00B22750" w:rsidRPr="00B22750" w:rsidRDefault="00B22750" w:rsidP="00B22750">
      <w:pPr>
        <w:spacing w:before="100" w:beforeAutospacing="1" w:after="100" w:afterAutospacing="1"/>
        <w:outlineLvl w:val="2"/>
        <w:rPr>
          <w:rFonts w:eastAsia="Times New Roman" w:cs="Times New Roman"/>
          <w:b/>
          <w:bCs/>
          <w:vanish/>
          <w:sz w:val="27"/>
          <w:szCs w:val="27"/>
        </w:rPr>
      </w:pPr>
      <w:r w:rsidRPr="00B22750">
        <w:rPr>
          <w:rFonts w:eastAsia="Times New Roman" w:cs="Times New Roman"/>
          <w:b/>
          <w:bCs/>
          <w:vanish/>
          <w:sz w:val="27"/>
          <w:szCs w:val="27"/>
        </w:rPr>
        <w:t>Senators</w:t>
      </w:r>
    </w:p>
    <w:p w:rsidR="00B22750" w:rsidRPr="00B22750" w:rsidRDefault="00B22750" w:rsidP="00B22750">
      <w:pPr>
        <w:spacing w:before="100" w:beforeAutospacing="1" w:after="100" w:afterAutospacing="1"/>
        <w:rPr>
          <w:rFonts w:eastAsia="Times New Roman" w:cs="Times New Roman"/>
          <w:vanish/>
        </w:rPr>
      </w:pPr>
      <w:r w:rsidRPr="00B22750">
        <w:rPr>
          <w:rFonts w:eastAsia="Times New Roman" w:cs="Times New Roman"/>
          <w:vanish/>
        </w:rPr>
        <w:t>Below are the media and publications posted by your tracked Senators in the past 7 days. You will receive email notifications when media and publications are posted; according to your account preferences.</w:t>
      </w:r>
    </w:p>
    <w:p w:rsidR="00B22750" w:rsidRPr="00B22750" w:rsidRDefault="00B22750" w:rsidP="00B22750">
      <w:pPr>
        <w:spacing w:before="100" w:beforeAutospacing="1" w:after="100" w:afterAutospacing="1"/>
        <w:rPr>
          <w:rFonts w:eastAsia="Times New Roman" w:cs="Times New Roman"/>
          <w:vanish/>
        </w:rPr>
      </w:pPr>
      <w:r w:rsidRPr="00B22750">
        <w:rPr>
          <w:rFonts w:eastAsia="Times New Roman" w:cs="Times New Roman"/>
          <w:vanish/>
        </w:rPr>
        <w:t>You are not tracking any Senators. </w:t>
      </w:r>
    </w:p>
    <w:p w:rsidR="00B22750" w:rsidRPr="00B22750" w:rsidRDefault="00B22750" w:rsidP="00B22750">
      <w:pPr>
        <w:spacing w:before="100" w:beforeAutospacing="1" w:after="100" w:afterAutospacing="1"/>
        <w:outlineLvl w:val="2"/>
        <w:rPr>
          <w:rFonts w:eastAsia="Times New Roman" w:cs="Times New Roman"/>
          <w:b/>
          <w:bCs/>
          <w:vanish/>
          <w:sz w:val="27"/>
          <w:szCs w:val="27"/>
        </w:rPr>
      </w:pPr>
      <w:r w:rsidRPr="00B22750">
        <w:rPr>
          <w:rFonts w:eastAsia="Times New Roman" w:cs="Times New Roman"/>
          <w:b/>
          <w:bCs/>
          <w:vanish/>
          <w:sz w:val="27"/>
          <w:szCs w:val="27"/>
        </w:rPr>
        <w:t>Committees</w:t>
      </w:r>
    </w:p>
    <w:p w:rsidR="00B22750" w:rsidRPr="00B22750" w:rsidRDefault="00B22750" w:rsidP="00B22750">
      <w:pPr>
        <w:spacing w:before="100" w:beforeAutospacing="1" w:after="100" w:afterAutospacing="1"/>
        <w:rPr>
          <w:rFonts w:eastAsia="Times New Roman" w:cs="Times New Roman"/>
          <w:vanish/>
        </w:rPr>
      </w:pPr>
      <w:r w:rsidRPr="00B22750">
        <w:rPr>
          <w:rFonts w:eastAsia="Times New Roman" w:cs="Times New Roman"/>
          <w:vanish/>
        </w:rPr>
        <w:t>Below are the meeting records and publications posted by your tracked committees for the next or previous 8 days. You will receive email notifications when committee meeting records and publications are posted; according to your account preferences.</w:t>
      </w:r>
    </w:p>
    <w:p w:rsidR="00B22750" w:rsidRPr="00B22750" w:rsidRDefault="00B22750" w:rsidP="00B22750">
      <w:pPr>
        <w:spacing w:before="100" w:beforeAutospacing="1" w:after="100" w:afterAutospacing="1"/>
        <w:rPr>
          <w:rFonts w:eastAsia="Times New Roman" w:cs="Times New Roman"/>
          <w:vanish/>
        </w:rPr>
      </w:pPr>
      <w:r w:rsidRPr="00B22750">
        <w:rPr>
          <w:rFonts w:eastAsia="Times New Roman" w:cs="Times New Roman"/>
          <w:vanish/>
        </w:rPr>
        <w:t>You are not tracking any Committees. </w:t>
      </w:r>
    </w:p>
    <w:p w:rsidR="00B22750" w:rsidRPr="00B22750" w:rsidRDefault="00B22750" w:rsidP="00B22750">
      <w:pPr>
        <w:spacing w:before="100" w:beforeAutospacing="1" w:after="100" w:afterAutospacing="1"/>
        <w:outlineLvl w:val="2"/>
        <w:rPr>
          <w:rFonts w:eastAsia="Times New Roman" w:cs="Times New Roman"/>
          <w:b/>
          <w:bCs/>
          <w:vanish/>
          <w:sz w:val="27"/>
          <w:szCs w:val="27"/>
        </w:rPr>
      </w:pPr>
      <w:r w:rsidRPr="00B22750">
        <w:rPr>
          <w:rFonts w:eastAsia="Times New Roman" w:cs="Times New Roman"/>
          <w:b/>
          <w:bCs/>
          <w:vanish/>
          <w:sz w:val="27"/>
          <w:szCs w:val="27"/>
        </w:rPr>
        <w:t>Offices</w:t>
      </w:r>
    </w:p>
    <w:p w:rsidR="00B22750" w:rsidRPr="00B22750" w:rsidRDefault="00B22750" w:rsidP="00B22750">
      <w:pPr>
        <w:spacing w:before="100" w:beforeAutospacing="1" w:after="100" w:afterAutospacing="1"/>
        <w:rPr>
          <w:rFonts w:eastAsia="Times New Roman" w:cs="Times New Roman"/>
          <w:vanish/>
        </w:rPr>
      </w:pPr>
      <w:r w:rsidRPr="00B22750">
        <w:rPr>
          <w:rFonts w:eastAsia="Times New Roman" w:cs="Times New Roman"/>
          <w:vanish/>
        </w:rPr>
        <w:t>Below are the media and publications posted by your tracked Offices in the past 7 days. You will receive email notifications when media and publications are posted; according to your account preferences.</w:t>
      </w:r>
    </w:p>
    <w:p w:rsidR="00B22750" w:rsidRPr="00B22750" w:rsidRDefault="00B22750" w:rsidP="00B22750">
      <w:pPr>
        <w:spacing w:before="100" w:beforeAutospacing="1" w:after="100" w:afterAutospacing="1"/>
        <w:rPr>
          <w:rFonts w:eastAsia="Times New Roman" w:cs="Times New Roman"/>
          <w:vanish/>
        </w:rPr>
      </w:pPr>
      <w:r w:rsidRPr="00B22750">
        <w:rPr>
          <w:rFonts w:eastAsia="Times New Roman" w:cs="Times New Roman"/>
          <w:vanish/>
        </w:rPr>
        <w:t>You are not tracking any Offices. </w:t>
      </w:r>
    </w:p>
    <w:p w:rsidR="00B22750" w:rsidRPr="00B22750" w:rsidRDefault="00B22750" w:rsidP="00B22750">
      <w:pPr>
        <w:spacing w:before="100" w:beforeAutospacing="1" w:after="100" w:afterAutospacing="1"/>
        <w:outlineLvl w:val="2"/>
        <w:rPr>
          <w:rFonts w:eastAsia="Times New Roman" w:cs="Times New Roman"/>
          <w:b/>
          <w:bCs/>
          <w:vanish/>
          <w:sz w:val="27"/>
          <w:szCs w:val="27"/>
        </w:rPr>
      </w:pPr>
      <w:r w:rsidRPr="00B22750">
        <w:rPr>
          <w:rFonts w:eastAsia="Times New Roman" w:cs="Times New Roman"/>
          <w:b/>
          <w:bCs/>
          <w:vanish/>
          <w:sz w:val="27"/>
          <w:szCs w:val="27"/>
        </w:rPr>
        <w:t>Media</w:t>
      </w:r>
    </w:p>
    <w:p w:rsidR="00B22750" w:rsidRPr="00B22750" w:rsidRDefault="00B22750" w:rsidP="00B22750">
      <w:pPr>
        <w:spacing w:before="100" w:beforeAutospacing="1" w:after="100" w:afterAutospacing="1"/>
        <w:rPr>
          <w:rFonts w:eastAsia="Times New Roman" w:cs="Times New Roman"/>
          <w:vanish/>
        </w:rPr>
      </w:pPr>
      <w:r w:rsidRPr="00B22750">
        <w:rPr>
          <w:rFonts w:eastAsia="Times New Roman" w:cs="Times New Roman"/>
          <w:vanish/>
        </w:rPr>
        <w:t>Below are the media and publications posted in the past 7 days. You will receive email notifications when Press Releases, Publications, and Speeches are posted; according to your account preferences.</w:t>
      </w:r>
    </w:p>
    <w:p w:rsidR="00B22750" w:rsidRPr="00B22750" w:rsidRDefault="00B22750" w:rsidP="00B22750">
      <w:pPr>
        <w:spacing w:before="100" w:beforeAutospacing="1" w:after="100" w:afterAutospacing="1"/>
        <w:rPr>
          <w:rFonts w:eastAsia="Times New Roman" w:cs="Times New Roman"/>
          <w:vanish/>
        </w:rPr>
      </w:pPr>
      <w:r w:rsidRPr="00B22750">
        <w:rPr>
          <w:rFonts w:eastAsia="Times New Roman" w:cs="Times New Roman"/>
          <w:vanish/>
        </w:rPr>
        <w:t>You are not tracking any Media. </w:t>
      </w:r>
    </w:p>
    <w:p w:rsidR="00B22750" w:rsidRPr="00B22750" w:rsidRDefault="00B22750" w:rsidP="00B40FA6">
      <w:pPr>
        <w:rPr>
          <w:rFonts w:eastAsia="Times New Roman" w:cs="Times New Roman"/>
          <w:color w:val="0000FF"/>
          <w:u w:val="single"/>
        </w:rPr>
      </w:pPr>
      <w:r w:rsidRPr="00B22750">
        <w:rPr>
          <w:rFonts w:eastAsia="Times New Roman" w:cs="Times New Roman"/>
        </w:rPr>
        <w:fldChar w:fldCharType="begin"/>
      </w:r>
      <w:r w:rsidRPr="00B22750">
        <w:rPr>
          <w:rFonts w:eastAsia="Times New Roman" w:cs="Times New Roman"/>
        </w:rPr>
        <w:instrText xml:space="preserve"> HYPERLINK "http://www.flsenate.gov/" \o "Home" </w:instrText>
      </w:r>
      <w:r w:rsidRPr="00B22750">
        <w:rPr>
          <w:rFonts w:eastAsia="Times New Roman" w:cs="Times New Roman"/>
        </w:rPr>
        <w:fldChar w:fldCharType="separate"/>
      </w:r>
    </w:p>
    <w:p w:rsidR="00B22750" w:rsidRDefault="00B22750" w:rsidP="00B22750">
      <w:pPr>
        <w:pStyle w:val="BlockText"/>
      </w:pPr>
      <w:r w:rsidRPr="00B22750">
        <w:rPr>
          <w:rFonts w:eastAsia="Times New Roman" w:cs="Times New Roman"/>
          <w:iCs w:val="0"/>
        </w:rPr>
        <w:fldChar w:fldCharType="end"/>
      </w:r>
    </w:p>
    <w:p w:rsidR="002438D2" w:rsidRDefault="002438D2" w:rsidP="008476AE">
      <w:pPr>
        <w:pStyle w:val="BlockText"/>
      </w:pPr>
    </w:p>
    <w:p w:rsidR="00156092" w:rsidRDefault="00156092" w:rsidP="002B78B0">
      <w:pPr>
        <w:pStyle w:val="BlockText"/>
      </w:pPr>
      <w:r>
        <w:t>Respectfully submitted,</w:t>
      </w:r>
    </w:p>
    <w:p w:rsidR="00E8267C" w:rsidRDefault="009F4440" w:rsidP="002B78B0">
      <w:pPr>
        <w:pStyle w:val="BlockText"/>
      </w:pPr>
      <w:r>
        <w:t>Fred R. Dudley, Esq.</w:t>
      </w:r>
    </w:p>
    <w:p w:rsidR="00156092" w:rsidRDefault="004B10A3" w:rsidP="002B78B0">
      <w:pPr>
        <w:pStyle w:val="BlockText"/>
      </w:pPr>
      <w:r>
        <w:t>January 12</w:t>
      </w:r>
      <w:r w:rsidR="0029168D">
        <w:t>, 2</w:t>
      </w:r>
      <w:r>
        <w:t>014</w:t>
      </w:r>
      <w:r w:rsidR="00156092">
        <w:t>.</w:t>
      </w:r>
    </w:p>
    <w:p w:rsidR="009C6CE8" w:rsidRDefault="009C6CE8" w:rsidP="00922A6D">
      <w:pPr>
        <w:pStyle w:val="BlockText"/>
        <w:ind w:left="360"/>
      </w:pPr>
    </w:p>
    <w:p w:rsidR="005B581D" w:rsidRDefault="005B581D">
      <w:pPr>
        <w:pStyle w:val="BlockText"/>
        <w:ind w:left="360"/>
      </w:pPr>
    </w:p>
    <w:sectPr w:rsidR="005B581D" w:rsidSect="009A10B6">
      <w:footerReference w:type="default" r:id="rId22"/>
      <w:footerReference w:type="first" r:id="rId23"/>
      <w:pgSz w:w="12240" w:h="15840"/>
      <w:pgMar w:top="1152" w:right="1440" w:bottom="1440"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CB7" w:rsidRDefault="00F47CB7" w:rsidP="009A2CBA">
      <w:r>
        <w:separator/>
      </w:r>
    </w:p>
  </w:endnote>
  <w:endnote w:type="continuationSeparator" w:id="0">
    <w:p w:rsidR="00F47CB7" w:rsidRDefault="00F47CB7" w:rsidP="009A2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595" w:rsidRPr="00B40FA6" w:rsidRDefault="002A5595" w:rsidP="000421B5">
    <w:pPr>
      <w:pStyle w:val="Footer"/>
      <w:rPr>
        <w:rStyle w:val="DocID"/>
        <w:sz w:val="24"/>
      </w:rPr>
    </w:pPr>
    <w:r>
      <w:tab/>
    </w:r>
    <w:r w:rsidR="00BC4B4F">
      <w:fldChar w:fldCharType="begin"/>
    </w:r>
    <w:r w:rsidR="00BC4B4F">
      <w:instrText xml:space="preserve"> PAGE   \* MERGEFORMAT </w:instrText>
    </w:r>
    <w:r w:rsidR="00BC4B4F">
      <w:fldChar w:fldCharType="separate"/>
    </w:r>
    <w:r w:rsidR="00D6010E">
      <w:rPr>
        <w:noProof/>
      </w:rPr>
      <w:t>3</w:t>
    </w:r>
    <w:r w:rsidR="00BC4B4F">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595" w:rsidRPr="00911FE4" w:rsidRDefault="001649EE" w:rsidP="000421B5">
    <w:pPr>
      <w:pStyle w:val="Footer"/>
      <w:rPr>
        <w:rStyle w:val="DocID"/>
      </w:rPr>
    </w:pPr>
    <w:r>
      <w:rPr>
        <w:sz w:val="20"/>
      </w:rPr>
      <w:fldChar w:fldCharType="begin"/>
    </w:r>
    <w:r w:rsidR="002A5595">
      <w:rPr>
        <w:sz w:val="20"/>
      </w:rPr>
      <w:instrText xml:space="preserve"> If </w:instrText>
    </w:r>
    <w:r>
      <w:rPr>
        <w:sz w:val="20"/>
      </w:rPr>
      <w:fldChar w:fldCharType="begin"/>
    </w:r>
    <w:r w:rsidR="002A5595">
      <w:rPr>
        <w:sz w:val="20"/>
      </w:rPr>
      <w:instrText xml:space="preserve"> numpages </w:instrText>
    </w:r>
    <w:r>
      <w:rPr>
        <w:sz w:val="20"/>
      </w:rPr>
      <w:fldChar w:fldCharType="separate"/>
    </w:r>
    <w:r w:rsidR="003F544F">
      <w:rPr>
        <w:noProof/>
        <w:sz w:val="20"/>
      </w:rPr>
      <w:instrText>7</w:instrText>
    </w:r>
    <w:r>
      <w:rPr>
        <w:sz w:val="20"/>
      </w:rPr>
      <w:fldChar w:fldCharType="end"/>
    </w:r>
    <w:r w:rsidR="002A5595">
      <w:rPr>
        <w:sz w:val="20"/>
      </w:rPr>
      <w:instrText xml:space="preserve"> = 1 </w:instrText>
    </w:r>
    <w:r w:rsidR="002A5595" w:rsidRPr="002438D2">
      <w:rPr>
        <w:rStyle w:val="DocID"/>
      </w:rPr>
      <w:instrText>#12612613_v1</w:instrText>
    </w:r>
    <w:r w:rsidR="002A5595">
      <w:instrText xml:space="preserve"> ""</w:instrText>
    </w:r>
    <w:r w:rsidR="002A5595">
      <w:rPr>
        <w:sz w:val="20"/>
      </w:rPr>
      <w:instrText xml:space="preserve"> </w:instrText>
    </w:r>
    <w:r>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CB7" w:rsidRDefault="00F47CB7" w:rsidP="009A2CBA">
      <w:r>
        <w:separator/>
      </w:r>
    </w:p>
  </w:footnote>
  <w:footnote w:type="continuationSeparator" w:id="0">
    <w:p w:rsidR="00F47CB7" w:rsidRDefault="00F47CB7" w:rsidP="009A2CBA">
      <w:r>
        <w:continuationSeparator/>
      </w:r>
    </w:p>
  </w:footnote>
  <w:footnote w:id="1">
    <w:p w:rsidR="002A5595" w:rsidRPr="0038047E" w:rsidRDefault="002A5595" w:rsidP="00491907">
      <w:pPr>
        <w:pStyle w:val="BlockText"/>
      </w:pPr>
      <w:r>
        <w:rPr>
          <w:rStyle w:val="FootnoteReference"/>
        </w:rPr>
        <w:footnoteRef/>
      </w:r>
      <w:r>
        <w:t xml:space="preserve"> The Florida Building Commission is </w:t>
      </w:r>
      <w:r w:rsidRPr="00F054FC">
        <w:rPr>
          <w:b/>
          <w:u w:val="single"/>
        </w:rPr>
        <w:t>not</w:t>
      </w:r>
      <w:r>
        <w:t xml:space="preserve"> allowed to grant variances or waivers from the Florida Building Code, expect as to handicapped accessibility issues. </w:t>
      </w:r>
      <w:r w:rsidRPr="0038047E">
        <w:t xml:space="preserve">As part of the TRANSFER of this commission from the now-defunct Department of Community Affairs to the Department of Business and Professional Regulation, all rules from </w:t>
      </w:r>
      <w:r>
        <w:t xml:space="preserve">former </w:t>
      </w:r>
      <w:r w:rsidRPr="0038047E">
        <w:t>Chapter 9N have been TRANSFERRED to Chapter 61G20, FAC.</w:t>
      </w:r>
    </w:p>
    <w:p w:rsidR="002A5595" w:rsidRDefault="002A5595" w:rsidP="004E142A">
      <w:pPr>
        <w:pStyle w:val="BlockText"/>
      </w:pPr>
    </w:p>
    <w:p w:rsidR="002A5595" w:rsidRDefault="002A5595" w:rsidP="004E142A">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1FF307D"/>
    <w:multiLevelType w:val="hybridMultilevel"/>
    <w:tmpl w:val="263641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18433A"/>
    <w:multiLevelType w:val="hybridMultilevel"/>
    <w:tmpl w:val="68A87FEE"/>
    <w:lvl w:ilvl="0" w:tplc="AA0C1DB8">
      <w:start w:val="1"/>
      <w:numFmt w:val="upp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64280F"/>
    <w:multiLevelType w:val="hybridMultilevel"/>
    <w:tmpl w:val="EDC05C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492F84"/>
    <w:multiLevelType w:val="hybridMultilevel"/>
    <w:tmpl w:val="0F661838"/>
    <w:lvl w:ilvl="0" w:tplc="8C4829F0">
      <w:start w:val="1"/>
      <w:numFmt w:val="upperLetter"/>
      <w:lvlText w:val="%1."/>
      <w:lvlJc w:val="left"/>
      <w:pPr>
        <w:ind w:left="720" w:hanging="360"/>
      </w:pPr>
      <w:rPr>
        <w:rFonts w:ascii="Times New Roman" w:eastAsiaTheme="minorEastAsia" w:hAnsi="Times New Roman" w:cstheme="minorBidi"/>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587DF6"/>
    <w:multiLevelType w:val="hybridMultilevel"/>
    <w:tmpl w:val="EB049B4A"/>
    <w:lvl w:ilvl="0" w:tplc="47C8494A">
      <w:start w:val="1"/>
      <w:numFmt w:val="upp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AE3699"/>
    <w:multiLevelType w:val="hybridMultilevel"/>
    <w:tmpl w:val="3F589A60"/>
    <w:lvl w:ilvl="0" w:tplc="D966982C">
      <w:start w:val="1"/>
      <w:numFmt w:val="decimal"/>
      <w:lvlText w:val="%1."/>
      <w:lvlJc w:val="left"/>
      <w:pPr>
        <w:tabs>
          <w:tab w:val="num" w:pos="720"/>
        </w:tabs>
        <w:ind w:left="720" w:hanging="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C334021"/>
    <w:multiLevelType w:val="hybridMultilevel"/>
    <w:tmpl w:val="A62C8AA6"/>
    <w:lvl w:ilvl="0" w:tplc="AAE23B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963C8E"/>
    <w:multiLevelType w:val="hybridMultilevel"/>
    <w:tmpl w:val="02A84288"/>
    <w:lvl w:ilvl="0" w:tplc="C42EA7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C84AA5"/>
    <w:multiLevelType w:val="hybridMultilevel"/>
    <w:tmpl w:val="DB4C8B38"/>
    <w:lvl w:ilvl="0" w:tplc="0409000F">
      <w:start w:val="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4D7AA1"/>
    <w:multiLevelType w:val="hybridMultilevel"/>
    <w:tmpl w:val="92A67F70"/>
    <w:lvl w:ilvl="0" w:tplc="7DB6166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202D11F4"/>
    <w:multiLevelType w:val="hybridMultilevel"/>
    <w:tmpl w:val="503A2838"/>
    <w:lvl w:ilvl="0" w:tplc="2BB08D2C">
      <w:start w:val="7"/>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2D7559"/>
    <w:multiLevelType w:val="hybridMultilevel"/>
    <w:tmpl w:val="7504836A"/>
    <w:lvl w:ilvl="0" w:tplc="203046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3E23D22"/>
    <w:multiLevelType w:val="hybridMultilevel"/>
    <w:tmpl w:val="6EEE14EE"/>
    <w:lvl w:ilvl="0" w:tplc="E81E7D8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51D7BC2"/>
    <w:multiLevelType w:val="hybridMultilevel"/>
    <w:tmpl w:val="1E6EC06E"/>
    <w:lvl w:ilvl="0" w:tplc="1C621A8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5B3B5F"/>
    <w:multiLevelType w:val="hybridMultilevel"/>
    <w:tmpl w:val="9948D060"/>
    <w:lvl w:ilvl="0" w:tplc="954E7D34">
      <w:start w:val="24"/>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350E0A57"/>
    <w:multiLevelType w:val="hybridMultilevel"/>
    <w:tmpl w:val="BFB0774E"/>
    <w:lvl w:ilvl="0" w:tplc="7E4CA2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71380066">
      <w:start w:val="1"/>
      <w:numFmt w:val="decimal"/>
      <w:lvlText w:val="%4."/>
      <w:lvlJc w:val="left"/>
      <w:pPr>
        <w:ind w:left="3240" w:hanging="360"/>
      </w:pPr>
      <w:rPr>
        <w:rFonts w:ascii="Times New Roman" w:eastAsiaTheme="minorEastAsia" w:hAnsi="Times New Roman" w:cstheme="minorBidi"/>
      </w:rPr>
    </w:lvl>
    <w:lvl w:ilvl="4" w:tplc="32263AEA">
      <w:start w:val="1"/>
      <w:numFmt w:val="upperLetter"/>
      <w:lvlText w:val="%5."/>
      <w:lvlJc w:val="left"/>
      <w:pPr>
        <w:ind w:left="3960" w:hanging="360"/>
      </w:pPr>
      <w:rPr>
        <w:rFonts w:hint="default"/>
      </w:rPr>
    </w:lvl>
    <w:lvl w:ilvl="5" w:tplc="87729F82">
      <w:start w:val="1"/>
      <w:numFmt w:val="decimal"/>
      <w:lvlText w:val="%6"/>
      <w:lvlJc w:val="left"/>
      <w:pPr>
        <w:ind w:left="4860" w:hanging="360"/>
      </w:pPr>
      <w:rPr>
        <w:rFonts w:hint="default"/>
        <w:u w:val="single"/>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6535926"/>
    <w:multiLevelType w:val="hybridMultilevel"/>
    <w:tmpl w:val="570E0CC0"/>
    <w:lvl w:ilvl="0" w:tplc="81E011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3B317B"/>
    <w:multiLevelType w:val="hybridMultilevel"/>
    <w:tmpl w:val="BEF40A0E"/>
    <w:lvl w:ilvl="0" w:tplc="D88035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FE3036"/>
    <w:multiLevelType w:val="hybridMultilevel"/>
    <w:tmpl w:val="62AA8572"/>
    <w:lvl w:ilvl="0" w:tplc="5CE094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9230C63"/>
    <w:multiLevelType w:val="hybridMultilevel"/>
    <w:tmpl w:val="0D9A195A"/>
    <w:lvl w:ilvl="0" w:tplc="986AA9F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9EA6B15"/>
    <w:multiLevelType w:val="hybridMultilevel"/>
    <w:tmpl w:val="BE764DC2"/>
    <w:lvl w:ilvl="0" w:tplc="B2AE5720">
      <w:start w:val="6"/>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4AF019E6"/>
    <w:multiLevelType w:val="hybridMultilevel"/>
    <w:tmpl w:val="6BD4438E"/>
    <w:lvl w:ilvl="0" w:tplc="E0968C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4E7348A4"/>
    <w:multiLevelType w:val="hybridMultilevel"/>
    <w:tmpl w:val="40CE732A"/>
    <w:lvl w:ilvl="0" w:tplc="E5D4B862">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9520BB"/>
    <w:multiLevelType w:val="hybridMultilevel"/>
    <w:tmpl w:val="F3CEDAF6"/>
    <w:lvl w:ilvl="0" w:tplc="C5A49F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2C524B"/>
    <w:multiLevelType w:val="hybridMultilevel"/>
    <w:tmpl w:val="824871A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5A890759"/>
    <w:multiLevelType w:val="hybridMultilevel"/>
    <w:tmpl w:val="11E0FCB4"/>
    <w:lvl w:ilvl="0" w:tplc="6EA29A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C47503B"/>
    <w:multiLevelType w:val="hybridMultilevel"/>
    <w:tmpl w:val="7A487CFA"/>
    <w:lvl w:ilvl="0" w:tplc="4E464F58">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0490E0F"/>
    <w:multiLevelType w:val="hybridMultilevel"/>
    <w:tmpl w:val="3118E95A"/>
    <w:lvl w:ilvl="0" w:tplc="34305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1B05D0D"/>
    <w:multiLevelType w:val="hybridMultilevel"/>
    <w:tmpl w:val="6EC4E8C8"/>
    <w:lvl w:ilvl="0" w:tplc="4386FB8A">
      <w:start w:val="1"/>
      <w:numFmt w:val="decimal"/>
      <w:lvlRestart w:val="0"/>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B948A0"/>
    <w:multiLevelType w:val="hybridMultilevel"/>
    <w:tmpl w:val="242E6008"/>
    <w:lvl w:ilvl="0" w:tplc="FA343D6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51353AC"/>
    <w:multiLevelType w:val="hybridMultilevel"/>
    <w:tmpl w:val="BCF6B1F0"/>
    <w:lvl w:ilvl="0" w:tplc="168C59FE">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9C4856"/>
    <w:multiLevelType w:val="hybridMultilevel"/>
    <w:tmpl w:val="7F6CBF66"/>
    <w:lvl w:ilvl="0" w:tplc="46A69FF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F60B97"/>
    <w:multiLevelType w:val="hybridMultilevel"/>
    <w:tmpl w:val="6B503E2A"/>
    <w:lvl w:ilvl="0" w:tplc="9D60DF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2E92B24"/>
    <w:multiLevelType w:val="hybridMultilevel"/>
    <w:tmpl w:val="FB826694"/>
    <w:lvl w:ilvl="0" w:tplc="316095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77C17189"/>
    <w:multiLevelType w:val="hybridMultilevel"/>
    <w:tmpl w:val="19D0C8C2"/>
    <w:lvl w:ilvl="0" w:tplc="ACB645AA">
      <w:start w:val="1"/>
      <w:numFmt w:val="decimal"/>
      <w:lvlText w:val="%1."/>
      <w:lvlJc w:val="left"/>
      <w:pPr>
        <w:tabs>
          <w:tab w:val="num" w:pos="1080"/>
        </w:tabs>
        <w:ind w:left="0" w:firstLine="720"/>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DD94D11"/>
    <w:multiLevelType w:val="hybridMultilevel"/>
    <w:tmpl w:val="2C10A7C6"/>
    <w:lvl w:ilvl="0" w:tplc="8CCCF6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DE50282"/>
    <w:multiLevelType w:val="hybridMultilevel"/>
    <w:tmpl w:val="94E0E7DC"/>
    <w:lvl w:ilvl="0" w:tplc="844E2756">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F6D47AF"/>
    <w:multiLevelType w:val="hybridMultilevel"/>
    <w:tmpl w:val="E51E6F10"/>
    <w:lvl w:ilvl="0" w:tplc="D83C1BDA">
      <w:start w:val="1"/>
      <w:numFmt w:val="decimal"/>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5"/>
  </w:num>
  <w:num w:numId="3">
    <w:abstractNumId w:val="0"/>
  </w:num>
  <w:num w:numId="4">
    <w:abstractNumId w:val="10"/>
  </w:num>
  <w:num w:numId="5">
    <w:abstractNumId w:val="38"/>
  </w:num>
  <w:num w:numId="6">
    <w:abstractNumId w:val="31"/>
  </w:num>
  <w:num w:numId="7">
    <w:abstractNumId w:val="28"/>
  </w:num>
  <w:num w:numId="8">
    <w:abstractNumId w:val="46"/>
  </w:num>
  <w:num w:numId="9">
    <w:abstractNumId w:val="29"/>
  </w:num>
  <w:num w:numId="10">
    <w:abstractNumId w:val="6"/>
  </w:num>
  <w:num w:numId="11">
    <w:abstractNumId w:val="5"/>
  </w:num>
  <w:num w:numId="12">
    <w:abstractNumId w:val="8"/>
  </w:num>
  <w:num w:numId="13">
    <w:abstractNumId w:val="19"/>
  </w:num>
  <w:num w:numId="14">
    <w:abstractNumId w:val="37"/>
  </w:num>
  <w:num w:numId="15">
    <w:abstractNumId w:val="42"/>
  </w:num>
  <w:num w:numId="16">
    <w:abstractNumId w:val="44"/>
  </w:num>
  <w:num w:numId="17">
    <w:abstractNumId w:val="33"/>
  </w:num>
  <w:num w:numId="18">
    <w:abstractNumId w:val="9"/>
  </w:num>
  <w:num w:numId="19">
    <w:abstractNumId w:val="40"/>
  </w:num>
  <w:num w:numId="20">
    <w:abstractNumId w:val="45"/>
  </w:num>
  <w:num w:numId="21">
    <w:abstractNumId w:val="32"/>
  </w:num>
  <w:num w:numId="22">
    <w:abstractNumId w:val="47"/>
  </w:num>
  <w:num w:numId="23">
    <w:abstractNumId w:val="13"/>
  </w:num>
  <w:num w:numId="24">
    <w:abstractNumId w:val="11"/>
  </w:num>
  <w:num w:numId="25">
    <w:abstractNumId w:val="16"/>
  </w:num>
  <w:num w:numId="26">
    <w:abstractNumId w:val="3"/>
  </w:num>
  <w:num w:numId="27">
    <w:abstractNumId w:val="1"/>
  </w:num>
  <w:num w:numId="28">
    <w:abstractNumId w:val="22"/>
  </w:num>
  <w:num w:numId="29">
    <w:abstractNumId w:val="23"/>
  </w:num>
  <w:num w:numId="30">
    <w:abstractNumId w:val="7"/>
  </w:num>
  <w:num w:numId="31">
    <w:abstractNumId w:val="18"/>
  </w:num>
  <w:num w:numId="32">
    <w:abstractNumId w:val="21"/>
  </w:num>
  <w:num w:numId="33">
    <w:abstractNumId w:val="27"/>
  </w:num>
  <w:num w:numId="34">
    <w:abstractNumId w:val="17"/>
  </w:num>
  <w:num w:numId="35">
    <w:abstractNumId w:val="25"/>
  </w:num>
  <w:num w:numId="36">
    <w:abstractNumId w:val="24"/>
  </w:num>
  <w:num w:numId="37">
    <w:abstractNumId w:val="39"/>
  </w:num>
  <w:num w:numId="38">
    <w:abstractNumId w:val="43"/>
  </w:num>
  <w:num w:numId="39">
    <w:abstractNumId w:val="41"/>
  </w:num>
  <w:num w:numId="40">
    <w:abstractNumId w:val="36"/>
  </w:num>
  <w:num w:numId="41">
    <w:abstractNumId w:val="34"/>
  </w:num>
  <w:num w:numId="42">
    <w:abstractNumId w:val="14"/>
  </w:num>
  <w:num w:numId="43">
    <w:abstractNumId w:val="26"/>
  </w:num>
  <w:num w:numId="44">
    <w:abstractNumId w:val="20"/>
  </w:num>
  <w:num w:numId="45">
    <w:abstractNumId w:val="15"/>
  </w:num>
  <w:num w:numId="46">
    <w:abstractNumId w:val="4"/>
  </w:num>
  <w:num w:numId="47">
    <w:abstractNumId w:val="12"/>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gacyDocIDRemoved" w:val="True"/>
  </w:docVars>
  <w:rsids>
    <w:rsidRoot w:val="00D8155F"/>
    <w:rsid w:val="00011776"/>
    <w:rsid w:val="0001260C"/>
    <w:rsid w:val="00013164"/>
    <w:rsid w:val="00016A29"/>
    <w:rsid w:val="00026C6B"/>
    <w:rsid w:val="00027FC3"/>
    <w:rsid w:val="000302BC"/>
    <w:rsid w:val="000324B5"/>
    <w:rsid w:val="000340FB"/>
    <w:rsid w:val="000341ED"/>
    <w:rsid w:val="000421B5"/>
    <w:rsid w:val="0005012E"/>
    <w:rsid w:val="000509E7"/>
    <w:rsid w:val="00052694"/>
    <w:rsid w:val="00054D0D"/>
    <w:rsid w:val="0005515D"/>
    <w:rsid w:val="00055700"/>
    <w:rsid w:val="00061C8E"/>
    <w:rsid w:val="00065B23"/>
    <w:rsid w:val="00074EDF"/>
    <w:rsid w:val="00084298"/>
    <w:rsid w:val="00094361"/>
    <w:rsid w:val="00094EBD"/>
    <w:rsid w:val="000A3246"/>
    <w:rsid w:val="000A4BA4"/>
    <w:rsid w:val="000A66AC"/>
    <w:rsid w:val="000B0E17"/>
    <w:rsid w:val="000B1DDB"/>
    <w:rsid w:val="000B2203"/>
    <w:rsid w:val="000B76DD"/>
    <w:rsid w:val="000C4772"/>
    <w:rsid w:val="000D08E7"/>
    <w:rsid w:val="000D2555"/>
    <w:rsid w:val="000D7A4E"/>
    <w:rsid w:val="000E17E8"/>
    <w:rsid w:val="000E6D1A"/>
    <w:rsid w:val="000F112D"/>
    <w:rsid w:val="000F2EBD"/>
    <w:rsid w:val="000F6911"/>
    <w:rsid w:val="000F69D8"/>
    <w:rsid w:val="00100E22"/>
    <w:rsid w:val="00103CDF"/>
    <w:rsid w:val="0010433D"/>
    <w:rsid w:val="00107362"/>
    <w:rsid w:val="00110D3B"/>
    <w:rsid w:val="001114F7"/>
    <w:rsid w:val="001148B5"/>
    <w:rsid w:val="001150F0"/>
    <w:rsid w:val="001156AF"/>
    <w:rsid w:val="00117224"/>
    <w:rsid w:val="00117544"/>
    <w:rsid w:val="00121A5A"/>
    <w:rsid w:val="00126ABD"/>
    <w:rsid w:val="0013367A"/>
    <w:rsid w:val="00135B1C"/>
    <w:rsid w:val="001437FC"/>
    <w:rsid w:val="00146E4E"/>
    <w:rsid w:val="001476D7"/>
    <w:rsid w:val="00151063"/>
    <w:rsid w:val="00151720"/>
    <w:rsid w:val="00151F43"/>
    <w:rsid w:val="00156092"/>
    <w:rsid w:val="001572A8"/>
    <w:rsid w:val="00162E5A"/>
    <w:rsid w:val="001649EE"/>
    <w:rsid w:val="001673C5"/>
    <w:rsid w:val="0017187B"/>
    <w:rsid w:val="00172C04"/>
    <w:rsid w:val="00175923"/>
    <w:rsid w:val="001768AB"/>
    <w:rsid w:val="0019065B"/>
    <w:rsid w:val="001963BC"/>
    <w:rsid w:val="001B0E80"/>
    <w:rsid w:val="001B11FD"/>
    <w:rsid w:val="001B4226"/>
    <w:rsid w:val="001B5A99"/>
    <w:rsid w:val="001B5DD4"/>
    <w:rsid w:val="001B6195"/>
    <w:rsid w:val="001B73F6"/>
    <w:rsid w:val="001D0121"/>
    <w:rsid w:val="001D1B70"/>
    <w:rsid w:val="001D25D1"/>
    <w:rsid w:val="001D50A8"/>
    <w:rsid w:val="001E327E"/>
    <w:rsid w:val="001E3281"/>
    <w:rsid w:val="001F01B4"/>
    <w:rsid w:val="001F18CD"/>
    <w:rsid w:val="001F7DB9"/>
    <w:rsid w:val="00200951"/>
    <w:rsid w:val="00210263"/>
    <w:rsid w:val="00221926"/>
    <w:rsid w:val="00221AAE"/>
    <w:rsid w:val="00222C12"/>
    <w:rsid w:val="002236E8"/>
    <w:rsid w:val="0022445A"/>
    <w:rsid w:val="00227443"/>
    <w:rsid w:val="002321A5"/>
    <w:rsid w:val="002348A5"/>
    <w:rsid w:val="002363CA"/>
    <w:rsid w:val="00236A0B"/>
    <w:rsid w:val="00236AB0"/>
    <w:rsid w:val="00237AEC"/>
    <w:rsid w:val="002438D2"/>
    <w:rsid w:val="00243FF8"/>
    <w:rsid w:val="00246D22"/>
    <w:rsid w:val="00251EB1"/>
    <w:rsid w:val="00252DC4"/>
    <w:rsid w:val="002558FB"/>
    <w:rsid w:val="00262A25"/>
    <w:rsid w:val="002630F7"/>
    <w:rsid w:val="00273404"/>
    <w:rsid w:val="00274276"/>
    <w:rsid w:val="002857BE"/>
    <w:rsid w:val="00286558"/>
    <w:rsid w:val="00286B40"/>
    <w:rsid w:val="00286B5F"/>
    <w:rsid w:val="00290B6F"/>
    <w:rsid w:val="0029168D"/>
    <w:rsid w:val="00292E15"/>
    <w:rsid w:val="002935A9"/>
    <w:rsid w:val="00294F80"/>
    <w:rsid w:val="002A4DD8"/>
    <w:rsid w:val="002A5595"/>
    <w:rsid w:val="002A7577"/>
    <w:rsid w:val="002A777F"/>
    <w:rsid w:val="002B09F1"/>
    <w:rsid w:val="002B0DFC"/>
    <w:rsid w:val="002B35C5"/>
    <w:rsid w:val="002B3E98"/>
    <w:rsid w:val="002B78B0"/>
    <w:rsid w:val="002C378F"/>
    <w:rsid w:val="002C5E1D"/>
    <w:rsid w:val="002D1599"/>
    <w:rsid w:val="002D4362"/>
    <w:rsid w:val="002E2A6D"/>
    <w:rsid w:val="002F015B"/>
    <w:rsid w:val="002F16B3"/>
    <w:rsid w:val="002F61E3"/>
    <w:rsid w:val="00305D83"/>
    <w:rsid w:val="00305FDE"/>
    <w:rsid w:val="00311BC1"/>
    <w:rsid w:val="003134D3"/>
    <w:rsid w:val="0031487D"/>
    <w:rsid w:val="003154E8"/>
    <w:rsid w:val="00321E89"/>
    <w:rsid w:val="003239B0"/>
    <w:rsid w:val="0032598E"/>
    <w:rsid w:val="003319A7"/>
    <w:rsid w:val="00332825"/>
    <w:rsid w:val="003376F7"/>
    <w:rsid w:val="00340637"/>
    <w:rsid w:val="00340740"/>
    <w:rsid w:val="00340B4E"/>
    <w:rsid w:val="00342DB6"/>
    <w:rsid w:val="00345235"/>
    <w:rsid w:val="003473F4"/>
    <w:rsid w:val="003508EE"/>
    <w:rsid w:val="003563EF"/>
    <w:rsid w:val="00356433"/>
    <w:rsid w:val="00361628"/>
    <w:rsid w:val="0036439B"/>
    <w:rsid w:val="00376DA1"/>
    <w:rsid w:val="0038047E"/>
    <w:rsid w:val="00383EFB"/>
    <w:rsid w:val="00384141"/>
    <w:rsid w:val="00385904"/>
    <w:rsid w:val="003A0148"/>
    <w:rsid w:val="003A1E91"/>
    <w:rsid w:val="003A33A5"/>
    <w:rsid w:val="003A4FB0"/>
    <w:rsid w:val="003B5B30"/>
    <w:rsid w:val="003C09F0"/>
    <w:rsid w:val="003C265E"/>
    <w:rsid w:val="003C40E8"/>
    <w:rsid w:val="003C4C6F"/>
    <w:rsid w:val="003C50CC"/>
    <w:rsid w:val="003D34DF"/>
    <w:rsid w:val="003D6EAC"/>
    <w:rsid w:val="003D7308"/>
    <w:rsid w:val="003E09D4"/>
    <w:rsid w:val="003E13A7"/>
    <w:rsid w:val="003E3843"/>
    <w:rsid w:val="003F395F"/>
    <w:rsid w:val="003F4811"/>
    <w:rsid w:val="003F544F"/>
    <w:rsid w:val="003F5F1A"/>
    <w:rsid w:val="00401A5C"/>
    <w:rsid w:val="00413E91"/>
    <w:rsid w:val="00416C25"/>
    <w:rsid w:val="004200FB"/>
    <w:rsid w:val="004204AE"/>
    <w:rsid w:val="00425FE8"/>
    <w:rsid w:val="00427E2F"/>
    <w:rsid w:val="00436BA2"/>
    <w:rsid w:val="004406AC"/>
    <w:rsid w:val="00441CD1"/>
    <w:rsid w:val="00454846"/>
    <w:rsid w:val="0045543B"/>
    <w:rsid w:val="0046192D"/>
    <w:rsid w:val="0046330C"/>
    <w:rsid w:val="004634BE"/>
    <w:rsid w:val="00465432"/>
    <w:rsid w:val="0047003F"/>
    <w:rsid w:val="00474D96"/>
    <w:rsid w:val="00480712"/>
    <w:rsid w:val="00484142"/>
    <w:rsid w:val="00484B9C"/>
    <w:rsid w:val="00491907"/>
    <w:rsid w:val="00491948"/>
    <w:rsid w:val="00492027"/>
    <w:rsid w:val="004A0671"/>
    <w:rsid w:val="004A451E"/>
    <w:rsid w:val="004A5613"/>
    <w:rsid w:val="004A582F"/>
    <w:rsid w:val="004A6E9B"/>
    <w:rsid w:val="004B10A3"/>
    <w:rsid w:val="004B196B"/>
    <w:rsid w:val="004C458B"/>
    <w:rsid w:val="004C63D8"/>
    <w:rsid w:val="004C7846"/>
    <w:rsid w:val="004E1249"/>
    <w:rsid w:val="004E142A"/>
    <w:rsid w:val="004E2A5D"/>
    <w:rsid w:val="004E35D0"/>
    <w:rsid w:val="004E61C2"/>
    <w:rsid w:val="004E7067"/>
    <w:rsid w:val="004F030C"/>
    <w:rsid w:val="004F3D87"/>
    <w:rsid w:val="00500503"/>
    <w:rsid w:val="00504537"/>
    <w:rsid w:val="005063F3"/>
    <w:rsid w:val="0051221A"/>
    <w:rsid w:val="00512724"/>
    <w:rsid w:val="00520F5E"/>
    <w:rsid w:val="005237C4"/>
    <w:rsid w:val="0052642A"/>
    <w:rsid w:val="00530892"/>
    <w:rsid w:val="00530CD6"/>
    <w:rsid w:val="00535353"/>
    <w:rsid w:val="00535A2B"/>
    <w:rsid w:val="0053686B"/>
    <w:rsid w:val="00537681"/>
    <w:rsid w:val="00540398"/>
    <w:rsid w:val="005463F4"/>
    <w:rsid w:val="00553CBE"/>
    <w:rsid w:val="00555FBF"/>
    <w:rsid w:val="005665C2"/>
    <w:rsid w:val="00571120"/>
    <w:rsid w:val="0059572F"/>
    <w:rsid w:val="005A61CC"/>
    <w:rsid w:val="005A74C3"/>
    <w:rsid w:val="005B212C"/>
    <w:rsid w:val="005B2CCD"/>
    <w:rsid w:val="005B558F"/>
    <w:rsid w:val="005B581D"/>
    <w:rsid w:val="005C08FA"/>
    <w:rsid w:val="005C40F9"/>
    <w:rsid w:val="005C5CFC"/>
    <w:rsid w:val="005D217B"/>
    <w:rsid w:val="005D446B"/>
    <w:rsid w:val="005D5F3E"/>
    <w:rsid w:val="005D71D8"/>
    <w:rsid w:val="005E4539"/>
    <w:rsid w:val="005E73B8"/>
    <w:rsid w:val="005F17D4"/>
    <w:rsid w:val="005F1FB3"/>
    <w:rsid w:val="005F2E38"/>
    <w:rsid w:val="005F4A79"/>
    <w:rsid w:val="005F705E"/>
    <w:rsid w:val="005F770C"/>
    <w:rsid w:val="00600D46"/>
    <w:rsid w:val="00604806"/>
    <w:rsid w:val="0060730E"/>
    <w:rsid w:val="00614279"/>
    <w:rsid w:val="00620CC5"/>
    <w:rsid w:val="006221E1"/>
    <w:rsid w:val="0063019F"/>
    <w:rsid w:val="0063517A"/>
    <w:rsid w:val="0064458E"/>
    <w:rsid w:val="00644BDC"/>
    <w:rsid w:val="0064574F"/>
    <w:rsid w:val="006465C5"/>
    <w:rsid w:val="00654846"/>
    <w:rsid w:val="006577D7"/>
    <w:rsid w:val="00657E5B"/>
    <w:rsid w:val="00660F73"/>
    <w:rsid w:val="0066317C"/>
    <w:rsid w:val="006639C7"/>
    <w:rsid w:val="00667D54"/>
    <w:rsid w:val="00675E10"/>
    <w:rsid w:val="00685808"/>
    <w:rsid w:val="00691E1A"/>
    <w:rsid w:val="00695A6D"/>
    <w:rsid w:val="00697F28"/>
    <w:rsid w:val="006A3547"/>
    <w:rsid w:val="006A3A6B"/>
    <w:rsid w:val="006A3B11"/>
    <w:rsid w:val="006A50BC"/>
    <w:rsid w:val="006B1D63"/>
    <w:rsid w:val="006B60DD"/>
    <w:rsid w:val="006C5A7D"/>
    <w:rsid w:val="006C704A"/>
    <w:rsid w:val="006D3AD0"/>
    <w:rsid w:val="006D7744"/>
    <w:rsid w:val="006E3B26"/>
    <w:rsid w:val="006E5368"/>
    <w:rsid w:val="006E5C27"/>
    <w:rsid w:val="006F336C"/>
    <w:rsid w:val="006F4CE9"/>
    <w:rsid w:val="007017B0"/>
    <w:rsid w:val="0070218E"/>
    <w:rsid w:val="007065A1"/>
    <w:rsid w:val="007135EE"/>
    <w:rsid w:val="007150E1"/>
    <w:rsid w:val="00722B80"/>
    <w:rsid w:val="00722DD1"/>
    <w:rsid w:val="0074468A"/>
    <w:rsid w:val="00757661"/>
    <w:rsid w:val="00760E2D"/>
    <w:rsid w:val="00774A2B"/>
    <w:rsid w:val="007755F6"/>
    <w:rsid w:val="00780CCE"/>
    <w:rsid w:val="007862BD"/>
    <w:rsid w:val="007870BA"/>
    <w:rsid w:val="007902F3"/>
    <w:rsid w:val="00790ED1"/>
    <w:rsid w:val="00793514"/>
    <w:rsid w:val="00795394"/>
    <w:rsid w:val="00795F45"/>
    <w:rsid w:val="00797252"/>
    <w:rsid w:val="007977D0"/>
    <w:rsid w:val="007A0040"/>
    <w:rsid w:val="007A040E"/>
    <w:rsid w:val="007A2C34"/>
    <w:rsid w:val="007A7335"/>
    <w:rsid w:val="007B455D"/>
    <w:rsid w:val="007C3596"/>
    <w:rsid w:val="007C479E"/>
    <w:rsid w:val="007C534A"/>
    <w:rsid w:val="007C689D"/>
    <w:rsid w:val="007D14A8"/>
    <w:rsid w:val="007E128E"/>
    <w:rsid w:val="007E2299"/>
    <w:rsid w:val="007E4176"/>
    <w:rsid w:val="007F16BD"/>
    <w:rsid w:val="007F2F12"/>
    <w:rsid w:val="007F63B9"/>
    <w:rsid w:val="007F6E51"/>
    <w:rsid w:val="00801B02"/>
    <w:rsid w:val="00806AA8"/>
    <w:rsid w:val="00812FF0"/>
    <w:rsid w:val="008157CF"/>
    <w:rsid w:val="00820D75"/>
    <w:rsid w:val="00821688"/>
    <w:rsid w:val="008219AB"/>
    <w:rsid w:val="0082467E"/>
    <w:rsid w:val="008271F6"/>
    <w:rsid w:val="00832281"/>
    <w:rsid w:val="00832A42"/>
    <w:rsid w:val="0083319A"/>
    <w:rsid w:val="00833649"/>
    <w:rsid w:val="008476AE"/>
    <w:rsid w:val="0086294F"/>
    <w:rsid w:val="008642DB"/>
    <w:rsid w:val="00864F61"/>
    <w:rsid w:val="008667F9"/>
    <w:rsid w:val="008714D7"/>
    <w:rsid w:val="00875906"/>
    <w:rsid w:val="00883771"/>
    <w:rsid w:val="0088673E"/>
    <w:rsid w:val="00886D9E"/>
    <w:rsid w:val="0089089A"/>
    <w:rsid w:val="00894D34"/>
    <w:rsid w:val="008A4467"/>
    <w:rsid w:val="008A7FFE"/>
    <w:rsid w:val="008B06DE"/>
    <w:rsid w:val="008B10F9"/>
    <w:rsid w:val="008B64BE"/>
    <w:rsid w:val="008B6B8E"/>
    <w:rsid w:val="008B6F95"/>
    <w:rsid w:val="008C0D2B"/>
    <w:rsid w:val="008C23E6"/>
    <w:rsid w:val="008C44B6"/>
    <w:rsid w:val="008C4CD7"/>
    <w:rsid w:val="008C57F6"/>
    <w:rsid w:val="008C6567"/>
    <w:rsid w:val="008D5528"/>
    <w:rsid w:val="008D7EAD"/>
    <w:rsid w:val="008E212F"/>
    <w:rsid w:val="008F58B8"/>
    <w:rsid w:val="008F6B36"/>
    <w:rsid w:val="009008DD"/>
    <w:rsid w:val="009024B4"/>
    <w:rsid w:val="0090334E"/>
    <w:rsid w:val="009037AF"/>
    <w:rsid w:val="0090427C"/>
    <w:rsid w:val="00910237"/>
    <w:rsid w:val="00912B18"/>
    <w:rsid w:val="00913DE9"/>
    <w:rsid w:val="00915698"/>
    <w:rsid w:val="00920535"/>
    <w:rsid w:val="00922A6D"/>
    <w:rsid w:val="009242EA"/>
    <w:rsid w:val="00925E5C"/>
    <w:rsid w:val="00927A0D"/>
    <w:rsid w:val="00927EF0"/>
    <w:rsid w:val="0093251D"/>
    <w:rsid w:val="00933C83"/>
    <w:rsid w:val="009351FC"/>
    <w:rsid w:val="00936542"/>
    <w:rsid w:val="009376EA"/>
    <w:rsid w:val="00937943"/>
    <w:rsid w:val="00940447"/>
    <w:rsid w:val="009408A6"/>
    <w:rsid w:val="00941C32"/>
    <w:rsid w:val="00944330"/>
    <w:rsid w:val="0094577A"/>
    <w:rsid w:val="009459C3"/>
    <w:rsid w:val="0095190E"/>
    <w:rsid w:val="00952158"/>
    <w:rsid w:val="00952ED0"/>
    <w:rsid w:val="009615F7"/>
    <w:rsid w:val="0096439D"/>
    <w:rsid w:val="009679F7"/>
    <w:rsid w:val="00972224"/>
    <w:rsid w:val="0098369B"/>
    <w:rsid w:val="00990086"/>
    <w:rsid w:val="009939EF"/>
    <w:rsid w:val="00994DC4"/>
    <w:rsid w:val="00995739"/>
    <w:rsid w:val="009A1012"/>
    <w:rsid w:val="009A10B6"/>
    <w:rsid w:val="009A2CBA"/>
    <w:rsid w:val="009B2454"/>
    <w:rsid w:val="009B472E"/>
    <w:rsid w:val="009B53D8"/>
    <w:rsid w:val="009B7504"/>
    <w:rsid w:val="009C4A92"/>
    <w:rsid w:val="009C6CE8"/>
    <w:rsid w:val="009C6F42"/>
    <w:rsid w:val="009D4AA9"/>
    <w:rsid w:val="009E1F25"/>
    <w:rsid w:val="009E2A70"/>
    <w:rsid w:val="009E489B"/>
    <w:rsid w:val="009F3168"/>
    <w:rsid w:val="009F3454"/>
    <w:rsid w:val="009F4440"/>
    <w:rsid w:val="00A0246B"/>
    <w:rsid w:val="00A03908"/>
    <w:rsid w:val="00A05724"/>
    <w:rsid w:val="00A11C23"/>
    <w:rsid w:val="00A17D94"/>
    <w:rsid w:val="00A2092B"/>
    <w:rsid w:val="00A23BA0"/>
    <w:rsid w:val="00A24F93"/>
    <w:rsid w:val="00A314FA"/>
    <w:rsid w:val="00A3799B"/>
    <w:rsid w:val="00A413D5"/>
    <w:rsid w:val="00A47BAD"/>
    <w:rsid w:val="00A47D5F"/>
    <w:rsid w:val="00A52BEC"/>
    <w:rsid w:val="00A57777"/>
    <w:rsid w:val="00A57E0F"/>
    <w:rsid w:val="00A82F6F"/>
    <w:rsid w:val="00A862A4"/>
    <w:rsid w:val="00A903BC"/>
    <w:rsid w:val="00A92BA2"/>
    <w:rsid w:val="00A9360E"/>
    <w:rsid w:val="00A973D9"/>
    <w:rsid w:val="00AA1C3B"/>
    <w:rsid w:val="00AA20DC"/>
    <w:rsid w:val="00AA2435"/>
    <w:rsid w:val="00AA49B9"/>
    <w:rsid w:val="00AB6124"/>
    <w:rsid w:val="00AB759F"/>
    <w:rsid w:val="00AB7A77"/>
    <w:rsid w:val="00AC25D8"/>
    <w:rsid w:val="00AC4FD0"/>
    <w:rsid w:val="00AC560D"/>
    <w:rsid w:val="00AD19E4"/>
    <w:rsid w:val="00AD319B"/>
    <w:rsid w:val="00AD3673"/>
    <w:rsid w:val="00AD4A48"/>
    <w:rsid w:val="00AE0C03"/>
    <w:rsid w:val="00AE40E2"/>
    <w:rsid w:val="00AE4928"/>
    <w:rsid w:val="00AE4CE1"/>
    <w:rsid w:val="00AF4CC5"/>
    <w:rsid w:val="00B02CB3"/>
    <w:rsid w:val="00B04E9C"/>
    <w:rsid w:val="00B102F7"/>
    <w:rsid w:val="00B11BE8"/>
    <w:rsid w:val="00B1354A"/>
    <w:rsid w:val="00B22750"/>
    <w:rsid w:val="00B228D4"/>
    <w:rsid w:val="00B231A5"/>
    <w:rsid w:val="00B33726"/>
    <w:rsid w:val="00B34CB8"/>
    <w:rsid w:val="00B40CCF"/>
    <w:rsid w:val="00B40FA6"/>
    <w:rsid w:val="00B43413"/>
    <w:rsid w:val="00B51F07"/>
    <w:rsid w:val="00B55AA9"/>
    <w:rsid w:val="00B576FB"/>
    <w:rsid w:val="00B605B3"/>
    <w:rsid w:val="00B6409D"/>
    <w:rsid w:val="00B65A78"/>
    <w:rsid w:val="00B70EED"/>
    <w:rsid w:val="00B7209C"/>
    <w:rsid w:val="00B754FE"/>
    <w:rsid w:val="00B75D21"/>
    <w:rsid w:val="00B82AFD"/>
    <w:rsid w:val="00B82F44"/>
    <w:rsid w:val="00B854DA"/>
    <w:rsid w:val="00B901A9"/>
    <w:rsid w:val="00B92C29"/>
    <w:rsid w:val="00B94BF6"/>
    <w:rsid w:val="00BA5910"/>
    <w:rsid w:val="00BB3CE8"/>
    <w:rsid w:val="00BB43FD"/>
    <w:rsid w:val="00BC3E94"/>
    <w:rsid w:val="00BC3ED9"/>
    <w:rsid w:val="00BC4B4F"/>
    <w:rsid w:val="00BC5032"/>
    <w:rsid w:val="00BC59CC"/>
    <w:rsid w:val="00BD0579"/>
    <w:rsid w:val="00BD1D69"/>
    <w:rsid w:val="00BD45AE"/>
    <w:rsid w:val="00BE7523"/>
    <w:rsid w:val="00BE7E71"/>
    <w:rsid w:val="00BF06EC"/>
    <w:rsid w:val="00BF09D3"/>
    <w:rsid w:val="00BF5744"/>
    <w:rsid w:val="00BF5A88"/>
    <w:rsid w:val="00C00519"/>
    <w:rsid w:val="00C014A9"/>
    <w:rsid w:val="00C02420"/>
    <w:rsid w:val="00C04971"/>
    <w:rsid w:val="00C0615F"/>
    <w:rsid w:val="00C10CCD"/>
    <w:rsid w:val="00C10FB4"/>
    <w:rsid w:val="00C15A97"/>
    <w:rsid w:val="00C16757"/>
    <w:rsid w:val="00C17A11"/>
    <w:rsid w:val="00C25BD9"/>
    <w:rsid w:val="00C41104"/>
    <w:rsid w:val="00C41134"/>
    <w:rsid w:val="00C42CAD"/>
    <w:rsid w:val="00C4400E"/>
    <w:rsid w:val="00C44575"/>
    <w:rsid w:val="00C46B9E"/>
    <w:rsid w:val="00C527C3"/>
    <w:rsid w:val="00C552DE"/>
    <w:rsid w:val="00C55BAE"/>
    <w:rsid w:val="00C609C2"/>
    <w:rsid w:val="00C613B0"/>
    <w:rsid w:val="00C666BD"/>
    <w:rsid w:val="00C71560"/>
    <w:rsid w:val="00C80F74"/>
    <w:rsid w:val="00C84E54"/>
    <w:rsid w:val="00C8621F"/>
    <w:rsid w:val="00C906E0"/>
    <w:rsid w:val="00CA1872"/>
    <w:rsid w:val="00CA1D5A"/>
    <w:rsid w:val="00CA5910"/>
    <w:rsid w:val="00CA6A88"/>
    <w:rsid w:val="00CB0D76"/>
    <w:rsid w:val="00CB18D5"/>
    <w:rsid w:val="00CB393B"/>
    <w:rsid w:val="00CD02EB"/>
    <w:rsid w:val="00CF0F17"/>
    <w:rsid w:val="00CF2384"/>
    <w:rsid w:val="00CF2A48"/>
    <w:rsid w:val="00CF2DBD"/>
    <w:rsid w:val="00CF37B7"/>
    <w:rsid w:val="00CF7C33"/>
    <w:rsid w:val="00D025A9"/>
    <w:rsid w:val="00D11596"/>
    <w:rsid w:val="00D15049"/>
    <w:rsid w:val="00D17EF8"/>
    <w:rsid w:val="00D255AC"/>
    <w:rsid w:val="00D318BB"/>
    <w:rsid w:val="00D31E05"/>
    <w:rsid w:val="00D35E4B"/>
    <w:rsid w:val="00D42313"/>
    <w:rsid w:val="00D45220"/>
    <w:rsid w:val="00D51EF8"/>
    <w:rsid w:val="00D532DF"/>
    <w:rsid w:val="00D550EA"/>
    <w:rsid w:val="00D5683A"/>
    <w:rsid w:val="00D6010E"/>
    <w:rsid w:val="00D6075F"/>
    <w:rsid w:val="00D64A8A"/>
    <w:rsid w:val="00D64ACA"/>
    <w:rsid w:val="00D74A8F"/>
    <w:rsid w:val="00D76989"/>
    <w:rsid w:val="00D8155F"/>
    <w:rsid w:val="00D83830"/>
    <w:rsid w:val="00D8408A"/>
    <w:rsid w:val="00D85984"/>
    <w:rsid w:val="00D8641A"/>
    <w:rsid w:val="00D92897"/>
    <w:rsid w:val="00D9374F"/>
    <w:rsid w:val="00D96664"/>
    <w:rsid w:val="00D9771C"/>
    <w:rsid w:val="00D97BF8"/>
    <w:rsid w:val="00DA399C"/>
    <w:rsid w:val="00DA5E85"/>
    <w:rsid w:val="00DB01F6"/>
    <w:rsid w:val="00DB1B72"/>
    <w:rsid w:val="00DD18B8"/>
    <w:rsid w:val="00DD3ECB"/>
    <w:rsid w:val="00DD5BF9"/>
    <w:rsid w:val="00DD760C"/>
    <w:rsid w:val="00DE0FB7"/>
    <w:rsid w:val="00DE3DD6"/>
    <w:rsid w:val="00DE517B"/>
    <w:rsid w:val="00DE52F2"/>
    <w:rsid w:val="00DE5A5D"/>
    <w:rsid w:val="00DF072F"/>
    <w:rsid w:val="00DF0B84"/>
    <w:rsid w:val="00DF255F"/>
    <w:rsid w:val="00DF4C21"/>
    <w:rsid w:val="00E07E81"/>
    <w:rsid w:val="00E10E84"/>
    <w:rsid w:val="00E1125C"/>
    <w:rsid w:val="00E16D83"/>
    <w:rsid w:val="00E17AA2"/>
    <w:rsid w:val="00E267AB"/>
    <w:rsid w:val="00E27BF3"/>
    <w:rsid w:val="00E30C2C"/>
    <w:rsid w:val="00E311DC"/>
    <w:rsid w:val="00E31752"/>
    <w:rsid w:val="00E3534A"/>
    <w:rsid w:val="00E4082C"/>
    <w:rsid w:val="00E4444A"/>
    <w:rsid w:val="00E44DA1"/>
    <w:rsid w:val="00E576B4"/>
    <w:rsid w:val="00E64091"/>
    <w:rsid w:val="00E66470"/>
    <w:rsid w:val="00E67C64"/>
    <w:rsid w:val="00E71BDF"/>
    <w:rsid w:val="00E8267C"/>
    <w:rsid w:val="00E901CE"/>
    <w:rsid w:val="00E93A85"/>
    <w:rsid w:val="00E95DE1"/>
    <w:rsid w:val="00E97E26"/>
    <w:rsid w:val="00EA0931"/>
    <w:rsid w:val="00EA1B72"/>
    <w:rsid w:val="00EA3A1A"/>
    <w:rsid w:val="00EA49A8"/>
    <w:rsid w:val="00EA4F51"/>
    <w:rsid w:val="00EB0314"/>
    <w:rsid w:val="00EB2DD7"/>
    <w:rsid w:val="00EB56F6"/>
    <w:rsid w:val="00EB61E2"/>
    <w:rsid w:val="00EC0471"/>
    <w:rsid w:val="00EC3C0E"/>
    <w:rsid w:val="00EC539A"/>
    <w:rsid w:val="00ED39C3"/>
    <w:rsid w:val="00EE41E2"/>
    <w:rsid w:val="00EF1906"/>
    <w:rsid w:val="00EF1953"/>
    <w:rsid w:val="00EF2D9E"/>
    <w:rsid w:val="00EF30B1"/>
    <w:rsid w:val="00EF3BC8"/>
    <w:rsid w:val="00EF7F7D"/>
    <w:rsid w:val="00F003DC"/>
    <w:rsid w:val="00F00476"/>
    <w:rsid w:val="00F012AB"/>
    <w:rsid w:val="00F023FE"/>
    <w:rsid w:val="00F054FC"/>
    <w:rsid w:val="00F06E3E"/>
    <w:rsid w:val="00F07308"/>
    <w:rsid w:val="00F0773C"/>
    <w:rsid w:val="00F10ABD"/>
    <w:rsid w:val="00F10E90"/>
    <w:rsid w:val="00F1558B"/>
    <w:rsid w:val="00F15B84"/>
    <w:rsid w:val="00F16CBD"/>
    <w:rsid w:val="00F17078"/>
    <w:rsid w:val="00F21394"/>
    <w:rsid w:val="00F3234E"/>
    <w:rsid w:val="00F33F66"/>
    <w:rsid w:val="00F372CE"/>
    <w:rsid w:val="00F419B2"/>
    <w:rsid w:val="00F4233A"/>
    <w:rsid w:val="00F42B22"/>
    <w:rsid w:val="00F43272"/>
    <w:rsid w:val="00F45EBD"/>
    <w:rsid w:val="00F47CB7"/>
    <w:rsid w:val="00F50B67"/>
    <w:rsid w:val="00F52831"/>
    <w:rsid w:val="00F53B73"/>
    <w:rsid w:val="00F53D3E"/>
    <w:rsid w:val="00F56C3E"/>
    <w:rsid w:val="00F60C95"/>
    <w:rsid w:val="00F61714"/>
    <w:rsid w:val="00F7015E"/>
    <w:rsid w:val="00F7297C"/>
    <w:rsid w:val="00F777FA"/>
    <w:rsid w:val="00F820A6"/>
    <w:rsid w:val="00F828AE"/>
    <w:rsid w:val="00F8540B"/>
    <w:rsid w:val="00F85ED6"/>
    <w:rsid w:val="00F91098"/>
    <w:rsid w:val="00F9398C"/>
    <w:rsid w:val="00F9535D"/>
    <w:rsid w:val="00F97BF7"/>
    <w:rsid w:val="00FA0D68"/>
    <w:rsid w:val="00FA2710"/>
    <w:rsid w:val="00FA5090"/>
    <w:rsid w:val="00FA7229"/>
    <w:rsid w:val="00FA7F61"/>
    <w:rsid w:val="00FB554A"/>
    <w:rsid w:val="00FB588A"/>
    <w:rsid w:val="00FC0694"/>
    <w:rsid w:val="00FC470A"/>
    <w:rsid w:val="00FC6F29"/>
    <w:rsid w:val="00FD1341"/>
    <w:rsid w:val="00FD2F47"/>
    <w:rsid w:val="00FE363C"/>
    <w:rsid w:val="00FE3AE2"/>
    <w:rsid w:val="00FF1E9C"/>
    <w:rsid w:val="00FF6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BA4"/>
  </w:style>
  <w:style w:type="paragraph" w:styleId="Heading1">
    <w:name w:val="heading 1"/>
    <w:basedOn w:val="Normal"/>
    <w:next w:val="BodyText"/>
    <w:link w:val="Heading1Char"/>
    <w:uiPriority w:val="9"/>
    <w:qFormat/>
    <w:rsid w:val="009A2CBA"/>
    <w:pPr>
      <w:keepNext/>
      <w:spacing w:after="240"/>
      <w:outlineLvl w:val="0"/>
    </w:pPr>
    <w:rPr>
      <w:rFonts w:eastAsiaTheme="majorEastAsia" w:cstheme="majorBidi"/>
      <w:b/>
      <w:bCs/>
      <w:szCs w:val="28"/>
    </w:rPr>
  </w:style>
  <w:style w:type="paragraph" w:styleId="Heading2">
    <w:name w:val="heading 2"/>
    <w:basedOn w:val="Normal"/>
    <w:next w:val="BodyText"/>
    <w:link w:val="Heading2Char"/>
    <w:uiPriority w:val="9"/>
    <w:semiHidden/>
    <w:unhideWhenUsed/>
    <w:qFormat/>
    <w:rsid w:val="009A2CBA"/>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unhideWhenUsed/>
    <w:qFormat/>
    <w:rsid w:val="009A2CBA"/>
    <w:pPr>
      <w:keepNext/>
      <w:keepLines/>
      <w:spacing w:after="240"/>
      <w:outlineLvl w:val="2"/>
    </w:pPr>
    <w:rPr>
      <w:rFonts w:eastAsiaTheme="majorEastAsia" w:cstheme="majorBidi"/>
      <w:b/>
      <w:bCs/>
    </w:rPr>
  </w:style>
  <w:style w:type="paragraph" w:styleId="Heading4">
    <w:name w:val="heading 4"/>
    <w:basedOn w:val="Normal"/>
    <w:next w:val="BodyText"/>
    <w:link w:val="Heading4Char"/>
    <w:uiPriority w:val="9"/>
    <w:semiHidden/>
    <w:unhideWhenUsed/>
    <w:qFormat/>
    <w:rsid w:val="009A2CBA"/>
    <w:pPr>
      <w:keepNext/>
      <w:keepLines/>
      <w:spacing w:after="240"/>
      <w:outlineLvl w:val="3"/>
    </w:pPr>
    <w:rPr>
      <w:rFonts w:eastAsiaTheme="majorEastAsia" w:cstheme="majorBidi"/>
      <w:bCs/>
      <w:iCs/>
    </w:rPr>
  </w:style>
  <w:style w:type="paragraph" w:styleId="Heading5">
    <w:name w:val="heading 5"/>
    <w:basedOn w:val="Normal"/>
    <w:next w:val="BodyText"/>
    <w:link w:val="Heading5Char"/>
    <w:uiPriority w:val="9"/>
    <w:semiHidden/>
    <w:unhideWhenUsed/>
    <w:qFormat/>
    <w:rsid w:val="009A2CBA"/>
    <w:pPr>
      <w:keepNext/>
      <w:keepLines/>
      <w:spacing w:after="240"/>
      <w:outlineLvl w:val="4"/>
    </w:pPr>
    <w:rPr>
      <w:rFonts w:eastAsiaTheme="majorEastAsia" w:cstheme="majorBidi"/>
    </w:rPr>
  </w:style>
  <w:style w:type="paragraph" w:styleId="Heading6">
    <w:name w:val="heading 6"/>
    <w:basedOn w:val="Normal"/>
    <w:next w:val="BodyText"/>
    <w:link w:val="Heading6Char"/>
    <w:uiPriority w:val="9"/>
    <w:semiHidden/>
    <w:unhideWhenUsed/>
    <w:qFormat/>
    <w:rsid w:val="009A2CBA"/>
    <w:pPr>
      <w:keepNext/>
      <w:keepLines/>
      <w:spacing w:after="240"/>
      <w:outlineLvl w:val="5"/>
    </w:pPr>
    <w:rPr>
      <w:rFonts w:eastAsiaTheme="majorEastAsia" w:cstheme="majorBidi"/>
      <w:iCs/>
    </w:rPr>
  </w:style>
  <w:style w:type="paragraph" w:styleId="Heading7">
    <w:name w:val="heading 7"/>
    <w:basedOn w:val="Normal"/>
    <w:next w:val="BodyText"/>
    <w:link w:val="Heading7Char"/>
    <w:uiPriority w:val="9"/>
    <w:semiHidden/>
    <w:unhideWhenUsed/>
    <w:qFormat/>
    <w:rsid w:val="009A2CBA"/>
    <w:pPr>
      <w:keepNext/>
      <w:keepLines/>
      <w:spacing w:after="240"/>
      <w:outlineLvl w:val="6"/>
    </w:pPr>
    <w:rPr>
      <w:rFonts w:eastAsiaTheme="majorEastAsia" w:cstheme="majorBidi"/>
      <w:iCs/>
    </w:rPr>
  </w:style>
  <w:style w:type="paragraph" w:styleId="Heading8">
    <w:name w:val="heading 8"/>
    <w:basedOn w:val="Normal"/>
    <w:next w:val="BodyText"/>
    <w:link w:val="Heading8Char"/>
    <w:uiPriority w:val="9"/>
    <w:semiHidden/>
    <w:unhideWhenUsed/>
    <w:qFormat/>
    <w:rsid w:val="009A2CBA"/>
    <w:pPr>
      <w:keepNext/>
      <w:keepLines/>
      <w:spacing w:after="240"/>
      <w:outlineLvl w:val="7"/>
    </w:pPr>
    <w:rPr>
      <w:rFonts w:eastAsiaTheme="majorEastAsia" w:cstheme="majorBidi"/>
      <w:szCs w:val="20"/>
    </w:rPr>
  </w:style>
  <w:style w:type="paragraph" w:styleId="Heading9">
    <w:name w:val="heading 9"/>
    <w:basedOn w:val="Normal"/>
    <w:next w:val="BodyText"/>
    <w:link w:val="Heading9Char"/>
    <w:uiPriority w:val="9"/>
    <w:semiHidden/>
    <w:unhideWhenUsed/>
    <w:qFormat/>
    <w:rsid w:val="009A2CBA"/>
    <w:pPr>
      <w:keepNext/>
      <w:keepLines/>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40740"/>
    <w:pPr>
      <w:spacing w:after="240"/>
      <w:ind w:firstLine="720"/>
    </w:pPr>
  </w:style>
  <w:style w:type="character" w:customStyle="1" w:styleId="BodyTextChar">
    <w:name w:val="Body Text Char"/>
    <w:basedOn w:val="DefaultParagraphFont"/>
    <w:link w:val="BodyText"/>
    <w:rsid w:val="00340740"/>
  </w:style>
  <w:style w:type="character" w:customStyle="1" w:styleId="Heading1Char">
    <w:name w:val="Heading 1 Char"/>
    <w:basedOn w:val="DefaultParagraphFont"/>
    <w:link w:val="Heading1"/>
    <w:uiPriority w:val="9"/>
    <w:rsid w:val="009A2CBA"/>
    <w:rPr>
      <w:rFonts w:eastAsiaTheme="majorEastAsia" w:cstheme="majorBidi"/>
      <w:b/>
      <w:bCs/>
      <w:szCs w:val="28"/>
    </w:rPr>
  </w:style>
  <w:style w:type="character" w:customStyle="1" w:styleId="Heading2Char">
    <w:name w:val="Heading 2 Char"/>
    <w:basedOn w:val="DefaultParagraphFont"/>
    <w:link w:val="Heading2"/>
    <w:uiPriority w:val="9"/>
    <w:semiHidden/>
    <w:rsid w:val="009A2CBA"/>
    <w:rPr>
      <w:rFonts w:eastAsiaTheme="majorEastAsia" w:cstheme="majorBidi"/>
      <w:b/>
      <w:bCs/>
      <w:szCs w:val="26"/>
    </w:rPr>
  </w:style>
  <w:style w:type="character" w:customStyle="1" w:styleId="Heading3Char">
    <w:name w:val="Heading 3 Char"/>
    <w:basedOn w:val="DefaultParagraphFont"/>
    <w:link w:val="Heading3"/>
    <w:uiPriority w:val="9"/>
    <w:semiHidden/>
    <w:rsid w:val="009A2CBA"/>
    <w:rPr>
      <w:rFonts w:eastAsiaTheme="majorEastAsia" w:cstheme="majorBidi"/>
      <w:b/>
      <w:bCs/>
    </w:rPr>
  </w:style>
  <w:style w:type="character" w:customStyle="1" w:styleId="Heading4Char">
    <w:name w:val="Heading 4 Char"/>
    <w:basedOn w:val="DefaultParagraphFont"/>
    <w:link w:val="Heading4"/>
    <w:uiPriority w:val="9"/>
    <w:semiHidden/>
    <w:rsid w:val="009A2CBA"/>
    <w:rPr>
      <w:rFonts w:eastAsiaTheme="majorEastAsia" w:cstheme="majorBidi"/>
      <w:bCs/>
      <w:iCs/>
    </w:rPr>
  </w:style>
  <w:style w:type="character" w:customStyle="1" w:styleId="Heading5Char">
    <w:name w:val="Heading 5 Char"/>
    <w:basedOn w:val="DefaultParagraphFont"/>
    <w:link w:val="Heading5"/>
    <w:uiPriority w:val="9"/>
    <w:semiHidden/>
    <w:rsid w:val="009A2CBA"/>
    <w:rPr>
      <w:rFonts w:eastAsiaTheme="majorEastAsia" w:cstheme="majorBidi"/>
    </w:rPr>
  </w:style>
  <w:style w:type="character" w:customStyle="1" w:styleId="Heading6Char">
    <w:name w:val="Heading 6 Char"/>
    <w:basedOn w:val="DefaultParagraphFont"/>
    <w:link w:val="Heading6"/>
    <w:uiPriority w:val="9"/>
    <w:semiHidden/>
    <w:rsid w:val="009A2CBA"/>
    <w:rPr>
      <w:rFonts w:eastAsiaTheme="majorEastAsia" w:cstheme="majorBidi"/>
      <w:iCs/>
    </w:rPr>
  </w:style>
  <w:style w:type="character" w:customStyle="1" w:styleId="Heading7Char">
    <w:name w:val="Heading 7 Char"/>
    <w:basedOn w:val="DefaultParagraphFont"/>
    <w:link w:val="Heading7"/>
    <w:uiPriority w:val="9"/>
    <w:semiHidden/>
    <w:rsid w:val="009A2CBA"/>
    <w:rPr>
      <w:rFonts w:eastAsiaTheme="majorEastAsia" w:cstheme="majorBidi"/>
      <w:iCs/>
    </w:rPr>
  </w:style>
  <w:style w:type="character" w:customStyle="1" w:styleId="Heading8Char">
    <w:name w:val="Heading 8 Char"/>
    <w:basedOn w:val="DefaultParagraphFont"/>
    <w:link w:val="Heading8"/>
    <w:uiPriority w:val="9"/>
    <w:semiHidden/>
    <w:rsid w:val="009A2CBA"/>
    <w:rPr>
      <w:rFonts w:eastAsiaTheme="majorEastAsia" w:cstheme="majorBidi"/>
      <w:szCs w:val="20"/>
    </w:rPr>
  </w:style>
  <w:style w:type="character" w:customStyle="1" w:styleId="Heading9Char">
    <w:name w:val="Heading 9 Char"/>
    <w:basedOn w:val="DefaultParagraphFont"/>
    <w:link w:val="Heading9"/>
    <w:uiPriority w:val="9"/>
    <w:semiHidden/>
    <w:rsid w:val="009A2CBA"/>
    <w:rPr>
      <w:rFonts w:eastAsiaTheme="majorEastAsia" w:cstheme="majorBidi"/>
      <w:iCs/>
      <w:szCs w:val="20"/>
    </w:rPr>
  </w:style>
  <w:style w:type="paragraph" w:styleId="BlockText">
    <w:name w:val="Block Text"/>
    <w:basedOn w:val="Normal"/>
    <w:qFormat/>
    <w:rsid w:val="00F9535D"/>
    <w:pPr>
      <w:jc w:val="both"/>
    </w:pPr>
    <w:rPr>
      <w:rFonts w:eastAsiaTheme="minorEastAsia"/>
      <w:iCs/>
    </w:rPr>
  </w:style>
  <w:style w:type="paragraph" w:styleId="BodyText2">
    <w:name w:val="Body Text 2"/>
    <w:basedOn w:val="Normal"/>
    <w:link w:val="BodyText2Char"/>
    <w:rsid w:val="00E3534A"/>
    <w:pPr>
      <w:spacing w:line="480" w:lineRule="auto"/>
      <w:ind w:firstLine="720"/>
    </w:pPr>
  </w:style>
  <w:style w:type="character" w:customStyle="1" w:styleId="BodyText2Char">
    <w:name w:val="Body Text 2 Char"/>
    <w:basedOn w:val="DefaultParagraphFont"/>
    <w:link w:val="BodyText2"/>
    <w:rsid w:val="00E3534A"/>
  </w:style>
  <w:style w:type="paragraph" w:styleId="Quote">
    <w:name w:val="Quote"/>
    <w:basedOn w:val="Normal"/>
    <w:link w:val="QuoteChar"/>
    <w:uiPriority w:val="29"/>
    <w:qFormat/>
    <w:rsid w:val="00340740"/>
    <w:pPr>
      <w:spacing w:after="240"/>
      <w:ind w:left="720" w:right="720"/>
    </w:pPr>
    <w:rPr>
      <w:iCs/>
    </w:rPr>
  </w:style>
  <w:style w:type="character" w:customStyle="1" w:styleId="QuoteChar">
    <w:name w:val="Quote Char"/>
    <w:basedOn w:val="DefaultParagraphFont"/>
    <w:link w:val="Quote"/>
    <w:uiPriority w:val="29"/>
    <w:rsid w:val="00340740"/>
    <w:rPr>
      <w:iCs/>
    </w:rPr>
  </w:style>
  <w:style w:type="paragraph" w:customStyle="1" w:styleId="Quote2">
    <w:name w:val="Quote 2"/>
    <w:basedOn w:val="Normal"/>
    <w:link w:val="Quote2Char"/>
    <w:qFormat/>
    <w:rsid w:val="00E3534A"/>
    <w:pPr>
      <w:spacing w:line="480" w:lineRule="auto"/>
      <w:ind w:left="720" w:right="720"/>
    </w:pPr>
  </w:style>
  <w:style w:type="character" w:customStyle="1" w:styleId="Quote2Char">
    <w:name w:val="Quote 2 Char"/>
    <w:basedOn w:val="DefaultParagraphFont"/>
    <w:link w:val="Quote2"/>
    <w:rsid w:val="00E3534A"/>
  </w:style>
  <w:style w:type="paragraph" w:styleId="Title">
    <w:name w:val="Title"/>
    <w:basedOn w:val="Normal"/>
    <w:next w:val="BodyText"/>
    <w:link w:val="TitleChar"/>
    <w:uiPriority w:val="10"/>
    <w:qFormat/>
    <w:rsid w:val="00340740"/>
    <w:pPr>
      <w:keepNext/>
      <w:spacing w:after="240"/>
      <w:jc w:val="center"/>
    </w:pPr>
    <w:rPr>
      <w:rFonts w:eastAsiaTheme="majorEastAsia" w:cstheme="majorBidi"/>
      <w:kern w:val="28"/>
      <w:szCs w:val="52"/>
      <w:u w:val="single"/>
    </w:rPr>
  </w:style>
  <w:style w:type="character" w:customStyle="1" w:styleId="TitleChar">
    <w:name w:val="Title Char"/>
    <w:basedOn w:val="DefaultParagraphFont"/>
    <w:link w:val="Title"/>
    <w:uiPriority w:val="10"/>
    <w:rsid w:val="00340740"/>
    <w:rPr>
      <w:rFonts w:eastAsiaTheme="majorEastAsia" w:cstheme="majorBidi"/>
      <w:kern w:val="28"/>
      <w:szCs w:val="52"/>
      <w:u w:val="single"/>
    </w:rPr>
  </w:style>
  <w:style w:type="paragraph" w:styleId="Subtitle">
    <w:name w:val="Subtitle"/>
    <w:basedOn w:val="Normal"/>
    <w:next w:val="BodyText"/>
    <w:link w:val="SubtitleChar"/>
    <w:uiPriority w:val="11"/>
    <w:qFormat/>
    <w:rsid w:val="00340740"/>
    <w:pPr>
      <w:keepNext/>
      <w:numPr>
        <w:ilvl w:val="1"/>
      </w:numPr>
      <w:spacing w:after="240"/>
    </w:pPr>
    <w:rPr>
      <w:rFonts w:eastAsiaTheme="majorEastAsia" w:cstheme="majorBidi"/>
      <w:iCs/>
      <w:u w:val="single"/>
    </w:rPr>
  </w:style>
  <w:style w:type="character" w:customStyle="1" w:styleId="SubtitleChar">
    <w:name w:val="Subtitle Char"/>
    <w:basedOn w:val="DefaultParagraphFont"/>
    <w:link w:val="Subtitle"/>
    <w:uiPriority w:val="11"/>
    <w:rsid w:val="00340740"/>
    <w:rPr>
      <w:rFonts w:eastAsiaTheme="majorEastAsia" w:cstheme="majorBidi"/>
      <w:iCs/>
      <w:u w:val="single"/>
    </w:rPr>
  </w:style>
  <w:style w:type="paragraph" w:styleId="Header">
    <w:name w:val="header"/>
    <w:basedOn w:val="Normal"/>
    <w:link w:val="HeaderChar"/>
    <w:uiPriority w:val="99"/>
    <w:semiHidden/>
    <w:unhideWhenUsed/>
    <w:rsid w:val="009A2CBA"/>
    <w:pPr>
      <w:tabs>
        <w:tab w:val="center" w:pos="4680"/>
        <w:tab w:val="right" w:pos="9360"/>
      </w:tabs>
    </w:pPr>
  </w:style>
  <w:style w:type="character" w:customStyle="1" w:styleId="HeaderChar">
    <w:name w:val="Header Char"/>
    <w:basedOn w:val="DefaultParagraphFont"/>
    <w:link w:val="Header"/>
    <w:uiPriority w:val="99"/>
    <w:semiHidden/>
    <w:rsid w:val="009A2CBA"/>
  </w:style>
  <w:style w:type="paragraph" w:styleId="Footer">
    <w:name w:val="footer"/>
    <w:basedOn w:val="Normal"/>
    <w:link w:val="FooterChar"/>
    <w:uiPriority w:val="99"/>
    <w:unhideWhenUsed/>
    <w:rsid w:val="009A2CBA"/>
    <w:pPr>
      <w:tabs>
        <w:tab w:val="center" w:pos="4680"/>
        <w:tab w:val="right" w:pos="9360"/>
      </w:tabs>
    </w:pPr>
  </w:style>
  <w:style w:type="character" w:customStyle="1" w:styleId="FooterChar">
    <w:name w:val="Footer Char"/>
    <w:basedOn w:val="DefaultParagraphFont"/>
    <w:link w:val="Footer"/>
    <w:uiPriority w:val="99"/>
    <w:rsid w:val="009A2CBA"/>
  </w:style>
  <w:style w:type="paragraph" w:customStyle="1" w:styleId="BlockText2">
    <w:name w:val="Block Text 2"/>
    <w:basedOn w:val="Normal"/>
    <w:qFormat/>
    <w:rsid w:val="00AD3673"/>
    <w:pPr>
      <w:spacing w:line="480" w:lineRule="auto"/>
    </w:pPr>
  </w:style>
  <w:style w:type="paragraph" w:customStyle="1" w:styleId="BodyTextJ">
    <w:name w:val="Body Text J"/>
    <w:basedOn w:val="Normal"/>
    <w:qFormat/>
    <w:rsid w:val="00AD3673"/>
    <w:pPr>
      <w:spacing w:after="240"/>
      <w:ind w:firstLine="720"/>
      <w:jc w:val="both"/>
    </w:pPr>
  </w:style>
  <w:style w:type="paragraph" w:customStyle="1" w:styleId="BodyText2J">
    <w:name w:val="Body Text 2J"/>
    <w:basedOn w:val="Normal"/>
    <w:qFormat/>
    <w:rsid w:val="00AD3673"/>
    <w:pPr>
      <w:spacing w:line="480" w:lineRule="auto"/>
      <w:ind w:firstLine="720"/>
      <w:jc w:val="both"/>
    </w:pPr>
  </w:style>
  <w:style w:type="paragraph" w:customStyle="1" w:styleId="BlockTextJ">
    <w:name w:val="Block Text J"/>
    <w:basedOn w:val="Normal"/>
    <w:qFormat/>
    <w:rsid w:val="00AD3673"/>
    <w:pPr>
      <w:spacing w:after="240"/>
      <w:jc w:val="both"/>
    </w:pPr>
  </w:style>
  <w:style w:type="paragraph" w:customStyle="1" w:styleId="BlockText2J">
    <w:name w:val="Block Text 2J"/>
    <w:basedOn w:val="Normal"/>
    <w:qFormat/>
    <w:rsid w:val="00AD3673"/>
    <w:pPr>
      <w:spacing w:line="480" w:lineRule="auto"/>
      <w:jc w:val="both"/>
    </w:pPr>
  </w:style>
  <w:style w:type="paragraph" w:customStyle="1" w:styleId="QuoteJ">
    <w:name w:val="Quote J"/>
    <w:basedOn w:val="Normal"/>
    <w:qFormat/>
    <w:rsid w:val="00AD3673"/>
    <w:pPr>
      <w:spacing w:after="240"/>
      <w:ind w:left="720" w:right="720"/>
      <w:jc w:val="both"/>
    </w:pPr>
  </w:style>
  <w:style w:type="paragraph" w:customStyle="1" w:styleId="Quote2J">
    <w:name w:val="Quote 2J"/>
    <w:basedOn w:val="Normal"/>
    <w:qFormat/>
    <w:rsid w:val="00AD3673"/>
    <w:pPr>
      <w:spacing w:line="480" w:lineRule="auto"/>
      <w:ind w:left="720" w:right="720"/>
      <w:jc w:val="both"/>
    </w:pPr>
  </w:style>
  <w:style w:type="paragraph" w:customStyle="1" w:styleId="TaxDisclaimer">
    <w:name w:val="TaxDisclaimer"/>
    <w:basedOn w:val="Normal"/>
    <w:semiHidden/>
    <w:unhideWhenUsed/>
    <w:rsid w:val="008C44B6"/>
    <w:pPr>
      <w:spacing w:before="100" w:after="100"/>
    </w:pPr>
    <w:rPr>
      <w:rFonts w:ascii="Arial" w:eastAsia="Times New Roman" w:hAnsi="Arial" w:cs="Times New Roman"/>
      <w:bCs/>
      <w:sz w:val="20"/>
    </w:rPr>
  </w:style>
  <w:style w:type="paragraph" w:customStyle="1" w:styleId="ProhibitForward">
    <w:name w:val="ProhibitForward"/>
    <w:basedOn w:val="Normal"/>
    <w:semiHidden/>
    <w:unhideWhenUsed/>
    <w:qFormat/>
    <w:rsid w:val="008C44B6"/>
    <w:pPr>
      <w:jc w:val="center"/>
    </w:pPr>
    <w:rPr>
      <w:rFonts w:eastAsia="Times New Roman" w:cs="Times New Roman"/>
      <w:color w:val="FF0000"/>
      <w:sz w:val="18"/>
      <w:szCs w:val="18"/>
    </w:rPr>
  </w:style>
  <w:style w:type="character" w:customStyle="1" w:styleId="DocID">
    <w:name w:val="DocID"/>
    <w:basedOn w:val="DefaultParagraphFont"/>
    <w:semiHidden/>
    <w:qFormat/>
    <w:rsid w:val="000421B5"/>
    <w:rPr>
      <w:rFonts w:ascii="Times New Roman" w:hAnsi="Times New Roman"/>
      <w:sz w:val="16"/>
    </w:rPr>
  </w:style>
  <w:style w:type="paragraph" w:customStyle="1" w:styleId="BlockText1">
    <w:name w:val="Block Text 1"/>
    <w:basedOn w:val="Normal"/>
    <w:qFormat/>
    <w:rsid w:val="00614279"/>
    <w:pPr>
      <w:spacing w:after="240"/>
      <w:ind w:left="1440"/>
    </w:pPr>
  </w:style>
  <w:style w:type="paragraph" w:customStyle="1" w:styleId="BlockText1-2">
    <w:name w:val="Block Text 1 - 2"/>
    <w:basedOn w:val="Normal"/>
    <w:qFormat/>
    <w:rsid w:val="00614279"/>
    <w:pPr>
      <w:spacing w:line="480" w:lineRule="auto"/>
      <w:ind w:left="1440"/>
    </w:pPr>
  </w:style>
  <w:style w:type="paragraph" w:customStyle="1" w:styleId="Hang">
    <w:name w:val="Hang"/>
    <w:basedOn w:val="Normal"/>
    <w:qFormat/>
    <w:rsid w:val="00BC3ED9"/>
    <w:pPr>
      <w:spacing w:after="240"/>
      <w:ind w:left="720" w:hanging="720"/>
    </w:pPr>
  </w:style>
  <w:style w:type="paragraph" w:customStyle="1" w:styleId="Hang2">
    <w:name w:val="Hang 2"/>
    <w:basedOn w:val="Normal"/>
    <w:qFormat/>
    <w:rsid w:val="00BC3ED9"/>
    <w:pPr>
      <w:spacing w:line="480" w:lineRule="auto"/>
      <w:ind w:left="720" w:hanging="720"/>
    </w:pPr>
  </w:style>
  <w:style w:type="paragraph" w:customStyle="1" w:styleId="HangJ">
    <w:name w:val="Hang J"/>
    <w:basedOn w:val="Normal"/>
    <w:qFormat/>
    <w:rsid w:val="00BC3ED9"/>
    <w:pPr>
      <w:spacing w:after="240"/>
      <w:ind w:left="720" w:hanging="720"/>
      <w:jc w:val="both"/>
    </w:pPr>
  </w:style>
  <w:style w:type="paragraph" w:customStyle="1" w:styleId="Hang2J">
    <w:name w:val="Hang 2J"/>
    <w:basedOn w:val="Normal"/>
    <w:qFormat/>
    <w:rsid w:val="00BC3ED9"/>
    <w:pPr>
      <w:spacing w:line="480" w:lineRule="auto"/>
      <w:ind w:left="720" w:hanging="720"/>
      <w:jc w:val="both"/>
    </w:pPr>
  </w:style>
  <w:style w:type="paragraph" w:customStyle="1" w:styleId="Notary">
    <w:name w:val="Notary"/>
    <w:basedOn w:val="Normal"/>
    <w:qFormat/>
    <w:rsid w:val="001156AF"/>
    <w:pPr>
      <w:ind w:left="4320"/>
    </w:pPr>
  </w:style>
  <w:style w:type="paragraph" w:styleId="TOC1">
    <w:name w:val="toc 1"/>
    <w:basedOn w:val="Normal"/>
    <w:next w:val="Normal"/>
    <w:autoRedefine/>
    <w:uiPriority w:val="39"/>
    <w:semiHidden/>
    <w:unhideWhenUsed/>
    <w:rsid w:val="005F4A79"/>
    <w:pPr>
      <w:tabs>
        <w:tab w:val="right" w:leader="dot" w:pos="9360"/>
      </w:tabs>
      <w:spacing w:before="120" w:after="120"/>
      <w:ind w:left="720" w:right="432" w:hanging="720"/>
    </w:pPr>
    <w:rPr>
      <w:rFonts w:eastAsia="Times New Roman" w:cs="Times New Roman"/>
      <w:caps/>
      <w:noProof/>
      <w:szCs w:val="20"/>
    </w:rPr>
  </w:style>
  <w:style w:type="paragraph" w:styleId="TOC2">
    <w:name w:val="toc 2"/>
    <w:basedOn w:val="Normal"/>
    <w:next w:val="Normal"/>
    <w:autoRedefine/>
    <w:uiPriority w:val="39"/>
    <w:semiHidden/>
    <w:unhideWhenUsed/>
    <w:rsid w:val="005F4A79"/>
    <w:pPr>
      <w:tabs>
        <w:tab w:val="right" w:leader="dot" w:pos="9360"/>
      </w:tabs>
      <w:spacing w:before="120" w:after="120"/>
      <w:ind w:left="965" w:right="432" w:hanging="720"/>
    </w:pPr>
    <w:rPr>
      <w:rFonts w:eastAsia="Times New Roman" w:cs="Times New Roman"/>
      <w:smallCaps/>
      <w:noProof/>
    </w:rPr>
  </w:style>
  <w:style w:type="paragraph" w:styleId="TOC3">
    <w:name w:val="toc 3"/>
    <w:basedOn w:val="Normal"/>
    <w:next w:val="Normal"/>
    <w:autoRedefine/>
    <w:uiPriority w:val="39"/>
    <w:semiHidden/>
    <w:unhideWhenUsed/>
    <w:rsid w:val="005F4A79"/>
    <w:pPr>
      <w:tabs>
        <w:tab w:val="right" w:leader="dot" w:pos="9360"/>
      </w:tabs>
      <w:spacing w:before="120" w:after="120"/>
      <w:ind w:left="1195" w:right="432" w:hanging="720"/>
    </w:pPr>
    <w:rPr>
      <w:rFonts w:eastAsia="Times New Roman" w:cs="Times New Roman"/>
      <w:noProof/>
    </w:rPr>
  </w:style>
  <w:style w:type="paragraph" w:styleId="TOC4">
    <w:name w:val="toc 4"/>
    <w:basedOn w:val="Normal"/>
    <w:next w:val="Normal"/>
    <w:autoRedefine/>
    <w:uiPriority w:val="39"/>
    <w:semiHidden/>
    <w:unhideWhenUsed/>
    <w:rsid w:val="005F4A79"/>
    <w:pPr>
      <w:tabs>
        <w:tab w:val="right" w:leader="dot" w:pos="9360"/>
      </w:tabs>
      <w:ind w:left="1440" w:right="432" w:hanging="720"/>
    </w:pPr>
    <w:rPr>
      <w:rFonts w:eastAsia="Times New Roman" w:cs="Times New Roman"/>
      <w:noProof/>
    </w:rPr>
  </w:style>
  <w:style w:type="paragraph" w:styleId="TOC5">
    <w:name w:val="toc 5"/>
    <w:basedOn w:val="Normal"/>
    <w:next w:val="Normal"/>
    <w:autoRedefine/>
    <w:uiPriority w:val="39"/>
    <w:semiHidden/>
    <w:unhideWhenUsed/>
    <w:rsid w:val="005F4A79"/>
    <w:pPr>
      <w:tabs>
        <w:tab w:val="right" w:leader="dot" w:pos="9360"/>
      </w:tabs>
      <w:ind w:left="1685" w:right="432" w:hanging="720"/>
    </w:pPr>
    <w:rPr>
      <w:rFonts w:eastAsia="Times New Roman" w:cs="Times New Roman"/>
      <w:noProof/>
    </w:rPr>
  </w:style>
  <w:style w:type="paragraph" w:styleId="TOC6">
    <w:name w:val="toc 6"/>
    <w:basedOn w:val="Normal"/>
    <w:next w:val="Normal"/>
    <w:autoRedefine/>
    <w:semiHidden/>
    <w:unhideWhenUsed/>
    <w:rsid w:val="005F4A79"/>
    <w:pPr>
      <w:tabs>
        <w:tab w:val="right" w:leader="dot" w:pos="9360"/>
      </w:tabs>
      <w:ind w:left="1915" w:right="432" w:hanging="720"/>
    </w:pPr>
    <w:rPr>
      <w:rFonts w:eastAsia="Times New Roman" w:cs="Times New Roman"/>
      <w:noProof/>
    </w:rPr>
  </w:style>
  <w:style w:type="paragraph" w:styleId="TOC7">
    <w:name w:val="toc 7"/>
    <w:basedOn w:val="Normal"/>
    <w:next w:val="Normal"/>
    <w:autoRedefine/>
    <w:semiHidden/>
    <w:unhideWhenUsed/>
    <w:rsid w:val="005F4A79"/>
    <w:pPr>
      <w:tabs>
        <w:tab w:val="left" w:pos="5040"/>
        <w:tab w:val="right" w:leader="dot" w:pos="9360"/>
      </w:tabs>
      <w:ind w:left="2160" w:right="432" w:hanging="720"/>
    </w:pPr>
    <w:rPr>
      <w:rFonts w:eastAsia="Times New Roman" w:cs="Times New Roman"/>
      <w:noProof/>
    </w:rPr>
  </w:style>
  <w:style w:type="paragraph" w:styleId="TOC8">
    <w:name w:val="toc 8"/>
    <w:basedOn w:val="Normal"/>
    <w:next w:val="Normal"/>
    <w:autoRedefine/>
    <w:semiHidden/>
    <w:unhideWhenUsed/>
    <w:rsid w:val="005F4A79"/>
    <w:pPr>
      <w:tabs>
        <w:tab w:val="right" w:leader="dot" w:pos="9360"/>
      </w:tabs>
      <w:ind w:left="2405" w:right="432" w:hanging="720"/>
    </w:pPr>
    <w:rPr>
      <w:rFonts w:eastAsia="Times New Roman" w:cs="Times New Roman"/>
      <w:noProof/>
    </w:rPr>
  </w:style>
  <w:style w:type="paragraph" w:styleId="TOC9">
    <w:name w:val="toc 9"/>
    <w:basedOn w:val="Normal"/>
    <w:next w:val="Normal"/>
    <w:autoRedefine/>
    <w:semiHidden/>
    <w:unhideWhenUsed/>
    <w:rsid w:val="005F4A79"/>
    <w:pPr>
      <w:ind w:left="2635" w:right="432" w:hanging="720"/>
    </w:pPr>
    <w:rPr>
      <w:rFonts w:eastAsia="Times New Roman" w:cs="Times New Roman"/>
      <w:noProof/>
      <w:szCs w:val="20"/>
    </w:rPr>
  </w:style>
  <w:style w:type="paragraph" w:styleId="TOCHeading">
    <w:name w:val="TOC Heading"/>
    <w:basedOn w:val="Normal"/>
    <w:semiHidden/>
    <w:unhideWhenUsed/>
    <w:qFormat/>
    <w:rsid w:val="005F4A79"/>
    <w:pPr>
      <w:spacing w:after="240"/>
      <w:jc w:val="center"/>
    </w:pPr>
    <w:rPr>
      <w:rFonts w:eastAsia="Times New Roman" w:cs="Times New Roman"/>
      <w:b/>
      <w:szCs w:val="20"/>
    </w:rPr>
  </w:style>
  <w:style w:type="paragraph" w:customStyle="1" w:styleId="TOCPage">
    <w:name w:val="TOC Page"/>
    <w:basedOn w:val="Normal"/>
    <w:semiHidden/>
    <w:unhideWhenUsed/>
    <w:rsid w:val="005F4A79"/>
    <w:pPr>
      <w:spacing w:after="240"/>
      <w:jc w:val="right"/>
    </w:pPr>
    <w:rPr>
      <w:rFonts w:eastAsia="Times New Roman" w:cs="Times New Roman"/>
      <w:b/>
      <w:szCs w:val="20"/>
    </w:rPr>
  </w:style>
  <w:style w:type="paragraph" w:customStyle="1" w:styleId="Quote1">
    <w:name w:val="Quote 1"/>
    <w:basedOn w:val="Normal"/>
    <w:qFormat/>
    <w:rsid w:val="00B51F07"/>
    <w:pPr>
      <w:spacing w:after="240"/>
      <w:ind w:left="1440" w:right="1440"/>
      <w:jc w:val="both"/>
    </w:pPr>
  </w:style>
  <w:style w:type="paragraph" w:styleId="List">
    <w:name w:val="List"/>
    <w:basedOn w:val="Normal"/>
    <w:uiPriority w:val="99"/>
    <w:unhideWhenUsed/>
    <w:rsid w:val="00B51F07"/>
    <w:pPr>
      <w:numPr>
        <w:numId w:val="25"/>
      </w:numPr>
      <w:spacing w:after="240"/>
    </w:pPr>
  </w:style>
  <w:style w:type="paragraph" w:customStyle="1" w:styleId="ListalphaB0">
    <w:name w:val="List alpha B"/>
    <w:basedOn w:val="Normal"/>
    <w:rsid w:val="00D45220"/>
    <w:pPr>
      <w:numPr>
        <w:numId w:val="19"/>
      </w:numPr>
      <w:spacing w:after="240"/>
    </w:pPr>
    <w:rPr>
      <w:rFonts w:eastAsia="Times New Roman" w:cs="Times New Roman"/>
    </w:rPr>
  </w:style>
  <w:style w:type="paragraph" w:customStyle="1" w:styleId="Listalpha">
    <w:name w:val="List alpha"/>
    <w:basedOn w:val="Normal"/>
    <w:rsid w:val="00D45220"/>
    <w:pPr>
      <w:numPr>
        <w:numId w:val="20"/>
      </w:numPr>
      <w:spacing w:after="240"/>
    </w:pPr>
    <w:rPr>
      <w:rFonts w:eastAsia="Times New Roman" w:cs="Times New Roman"/>
    </w:rPr>
  </w:style>
  <w:style w:type="paragraph" w:customStyle="1" w:styleId="ListALPHAB">
    <w:name w:val="List ALPHA B"/>
    <w:basedOn w:val="Normal"/>
    <w:rsid w:val="00D45220"/>
    <w:pPr>
      <w:numPr>
        <w:numId w:val="21"/>
      </w:numPr>
      <w:spacing w:after="240"/>
      <w:jc w:val="both"/>
      <w:outlineLvl w:val="0"/>
    </w:pPr>
    <w:rPr>
      <w:rFonts w:eastAsia="Times New Roman" w:cs="Times New Roman"/>
    </w:rPr>
  </w:style>
  <w:style w:type="paragraph" w:customStyle="1" w:styleId="ListALPHA0">
    <w:name w:val="List ALPHA"/>
    <w:basedOn w:val="Normal"/>
    <w:rsid w:val="00D45220"/>
    <w:pPr>
      <w:numPr>
        <w:numId w:val="22"/>
      </w:numPr>
      <w:spacing w:after="240"/>
      <w:jc w:val="both"/>
      <w:outlineLvl w:val="0"/>
    </w:pPr>
    <w:rPr>
      <w:rFonts w:eastAsia="Times New Roman" w:cs="Times New Roman"/>
    </w:rPr>
  </w:style>
  <w:style w:type="paragraph" w:styleId="Closing">
    <w:name w:val="Closing"/>
    <w:basedOn w:val="Normal"/>
    <w:link w:val="ClosingChar"/>
    <w:uiPriority w:val="99"/>
    <w:rsid w:val="002630F7"/>
    <w:pPr>
      <w:spacing w:after="720"/>
      <w:ind w:left="4320"/>
      <w:contextualSpacing/>
    </w:pPr>
  </w:style>
  <w:style w:type="character" w:customStyle="1" w:styleId="ClosingChar">
    <w:name w:val="Closing Char"/>
    <w:basedOn w:val="DefaultParagraphFont"/>
    <w:link w:val="Closing"/>
    <w:uiPriority w:val="99"/>
    <w:rsid w:val="002630F7"/>
  </w:style>
  <w:style w:type="paragraph" w:customStyle="1" w:styleId="ClosingFirmName">
    <w:name w:val="ClosingFirmName"/>
    <w:basedOn w:val="Closing"/>
    <w:next w:val="Normal"/>
    <w:uiPriority w:val="99"/>
    <w:semiHidden/>
    <w:rsid w:val="002630F7"/>
    <w:pPr>
      <w:spacing w:after="240"/>
    </w:pPr>
  </w:style>
  <w:style w:type="paragraph" w:styleId="Signature">
    <w:name w:val="Signature"/>
    <w:basedOn w:val="Normal"/>
    <w:link w:val="SignatureChar"/>
    <w:uiPriority w:val="99"/>
    <w:rsid w:val="002630F7"/>
    <w:pPr>
      <w:tabs>
        <w:tab w:val="right" w:pos="9216"/>
      </w:tabs>
      <w:spacing w:after="240"/>
      <w:ind w:left="4320"/>
    </w:pPr>
  </w:style>
  <w:style w:type="character" w:customStyle="1" w:styleId="SignatureChar">
    <w:name w:val="Signature Char"/>
    <w:basedOn w:val="DefaultParagraphFont"/>
    <w:link w:val="Signature"/>
    <w:uiPriority w:val="99"/>
    <w:rsid w:val="002630F7"/>
  </w:style>
  <w:style w:type="paragraph" w:customStyle="1" w:styleId="SignatureByLine">
    <w:name w:val="SignatureByLine"/>
    <w:basedOn w:val="Signature"/>
    <w:uiPriority w:val="99"/>
    <w:semiHidden/>
    <w:rsid w:val="002630F7"/>
    <w:pPr>
      <w:ind w:left="360"/>
    </w:pPr>
  </w:style>
  <w:style w:type="paragraph" w:styleId="ListNumber">
    <w:name w:val="List Number"/>
    <w:basedOn w:val="Normal"/>
    <w:uiPriority w:val="99"/>
    <w:unhideWhenUsed/>
    <w:rsid w:val="00614279"/>
    <w:pPr>
      <w:numPr>
        <w:numId w:val="1"/>
      </w:numPr>
      <w:spacing w:after="240"/>
    </w:pPr>
  </w:style>
  <w:style w:type="paragraph" w:styleId="ListNumber2">
    <w:name w:val="List Number 2"/>
    <w:basedOn w:val="Normal"/>
    <w:uiPriority w:val="99"/>
    <w:unhideWhenUsed/>
    <w:rsid w:val="00614279"/>
    <w:pPr>
      <w:numPr>
        <w:numId w:val="3"/>
      </w:numPr>
      <w:spacing w:line="480" w:lineRule="auto"/>
      <w:contextualSpacing/>
    </w:pPr>
  </w:style>
  <w:style w:type="paragraph" w:customStyle="1" w:styleId="ListNumberB">
    <w:name w:val="List Number B"/>
    <w:basedOn w:val="Normal"/>
    <w:qFormat/>
    <w:rsid w:val="00614279"/>
    <w:pPr>
      <w:numPr>
        <w:numId w:val="23"/>
      </w:numPr>
      <w:spacing w:after="240"/>
    </w:pPr>
  </w:style>
  <w:style w:type="paragraph" w:styleId="ListBullet">
    <w:name w:val="List Bullet"/>
    <w:basedOn w:val="Normal"/>
    <w:rsid w:val="000A4BA4"/>
    <w:pPr>
      <w:numPr>
        <w:numId w:val="26"/>
      </w:numPr>
      <w:contextualSpacing/>
    </w:pPr>
  </w:style>
  <w:style w:type="paragraph" w:styleId="ListBullet2">
    <w:name w:val="List Bullet 2"/>
    <w:basedOn w:val="Normal"/>
    <w:rsid w:val="000A4BA4"/>
    <w:pPr>
      <w:numPr>
        <w:numId w:val="27"/>
      </w:numPr>
      <w:contextualSpacing/>
    </w:pPr>
  </w:style>
  <w:style w:type="paragraph" w:styleId="ListParagraph">
    <w:name w:val="List Paragraph"/>
    <w:basedOn w:val="Normal"/>
    <w:uiPriority w:val="34"/>
    <w:rsid w:val="00CA1872"/>
    <w:pPr>
      <w:ind w:left="720"/>
      <w:contextualSpacing/>
    </w:pPr>
  </w:style>
  <w:style w:type="paragraph" w:styleId="FootnoteText">
    <w:name w:val="footnote text"/>
    <w:basedOn w:val="Normal"/>
    <w:link w:val="FootnoteTextChar"/>
    <w:uiPriority w:val="99"/>
    <w:semiHidden/>
    <w:unhideWhenUsed/>
    <w:rsid w:val="0083319A"/>
    <w:rPr>
      <w:sz w:val="20"/>
      <w:szCs w:val="20"/>
    </w:rPr>
  </w:style>
  <w:style w:type="character" w:customStyle="1" w:styleId="FootnoteTextChar">
    <w:name w:val="Footnote Text Char"/>
    <w:basedOn w:val="DefaultParagraphFont"/>
    <w:link w:val="FootnoteText"/>
    <w:uiPriority w:val="99"/>
    <w:semiHidden/>
    <w:rsid w:val="0083319A"/>
    <w:rPr>
      <w:sz w:val="20"/>
      <w:szCs w:val="20"/>
    </w:rPr>
  </w:style>
  <w:style w:type="character" w:styleId="FootnoteReference">
    <w:name w:val="footnote reference"/>
    <w:basedOn w:val="DefaultParagraphFont"/>
    <w:uiPriority w:val="99"/>
    <w:semiHidden/>
    <w:unhideWhenUsed/>
    <w:rsid w:val="0083319A"/>
    <w:rPr>
      <w:vertAlign w:val="superscript"/>
    </w:rPr>
  </w:style>
  <w:style w:type="paragraph" w:styleId="EndnoteText">
    <w:name w:val="endnote text"/>
    <w:basedOn w:val="Normal"/>
    <w:link w:val="EndnoteTextChar"/>
    <w:uiPriority w:val="99"/>
    <w:semiHidden/>
    <w:unhideWhenUsed/>
    <w:rsid w:val="00C613B0"/>
    <w:rPr>
      <w:sz w:val="20"/>
      <w:szCs w:val="20"/>
    </w:rPr>
  </w:style>
  <w:style w:type="character" w:customStyle="1" w:styleId="EndnoteTextChar">
    <w:name w:val="Endnote Text Char"/>
    <w:basedOn w:val="DefaultParagraphFont"/>
    <w:link w:val="EndnoteText"/>
    <w:uiPriority w:val="99"/>
    <w:semiHidden/>
    <w:rsid w:val="00C613B0"/>
    <w:rPr>
      <w:sz w:val="20"/>
      <w:szCs w:val="20"/>
    </w:rPr>
  </w:style>
  <w:style w:type="character" w:styleId="EndnoteReference">
    <w:name w:val="endnote reference"/>
    <w:basedOn w:val="DefaultParagraphFont"/>
    <w:uiPriority w:val="99"/>
    <w:semiHidden/>
    <w:unhideWhenUsed/>
    <w:rsid w:val="00C613B0"/>
    <w:rPr>
      <w:vertAlign w:val="superscript"/>
    </w:rPr>
  </w:style>
  <w:style w:type="character" w:styleId="Hyperlink">
    <w:name w:val="Hyperlink"/>
    <w:basedOn w:val="DefaultParagraphFont"/>
    <w:uiPriority w:val="99"/>
    <w:semiHidden/>
    <w:unhideWhenUsed/>
    <w:rsid w:val="000D2555"/>
    <w:rPr>
      <w:color w:val="003366"/>
      <w:u w:val="single"/>
    </w:rPr>
  </w:style>
  <w:style w:type="character" w:styleId="FollowedHyperlink">
    <w:name w:val="FollowedHyperlink"/>
    <w:basedOn w:val="DefaultParagraphFont"/>
    <w:uiPriority w:val="99"/>
    <w:semiHidden/>
    <w:unhideWhenUsed/>
    <w:rsid w:val="00252DC4"/>
    <w:rPr>
      <w:color w:val="003366"/>
      <w:u w:val="single"/>
    </w:rPr>
  </w:style>
  <w:style w:type="paragraph" w:customStyle="1" w:styleId="Header1">
    <w:name w:val="Header1"/>
    <w:basedOn w:val="Normal"/>
    <w:rsid w:val="00252DC4"/>
    <w:pPr>
      <w:shd w:val="clear" w:color="auto" w:fill="003366"/>
      <w:spacing w:before="100" w:beforeAutospacing="1" w:after="100" w:afterAutospacing="1"/>
    </w:pPr>
    <w:rPr>
      <w:rFonts w:eastAsia="Times New Roman" w:cs="Times New Roman"/>
    </w:rPr>
  </w:style>
  <w:style w:type="paragraph" w:customStyle="1" w:styleId="tablive">
    <w:name w:val="tab_live"/>
    <w:basedOn w:val="Normal"/>
    <w:rsid w:val="00252DC4"/>
    <w:pPr>
      <w:shd w:val="clear" w:color="auto" w:fill="FFFFFF"/>
      <w:spacing w:before="100" w:beforeAutospacing="1" w:after="100" w:afterAutospacing="1"/>
    </w:pPr>
    <w:rPr>
      <w:rFonts w:eastAsia="Times New Roman" w:cs="Times New Roman"/>
    </w:rPr>
  </w:style>
  <w:style w:type="paragraph" w:customStyle="1" w:styleId="tabdead">
    <w:name w:val="tab_dead"/>
    <w:basedOn w:val="Normal"/>
    <w:rsid w:val="00252DC4"/>
    <w:pPr>
      <w:pBdr>
        <w:bottom w:val="single" w:sz="6" w:space="0" w:color="999999"/>
      </w:pBdr>
      <w:shd w:val="clear" w:color="auto" w:fill="CCCCCC"/>
      <w:spacing w:before="100" w:beforeAutospacing="1" w:after="100" w:afterAutospacing="1"/>
    </w:pPr>
    <w:rPr>
      <w:rFonts w:eastAsia="Times New Roman" w:cs="Times New Roman"/>
    </w:rPr>
  </w:style>
  <w:style w:type="paragraph" w:customStyle="1" w:styleId="navheader">
    <w:name w:val="nav_header"/>
    <w:basedOn w:val="Normal"/>
    <w:rsid w:val="00252DC4"/>
    <w:pPr>
      <w:shd w:val="clear" w:color="auto" w:fill="003366"/>
      <w:spacing w:before="100" w:beforeAutospacing="1" w:after="100" w:afterAutospacing="1"/>
    </w:pPr>
    <w:rPr>
      <w:rFonts w:ascii="Arial" w:eastAsia="Times New Roman" w:hAnsi="Arial" w:cs="Arial"/>
      <w:b/>
      <w:bCs/>
      <w:color w:val="FFFFFF"/>
    </w:rPr>
  </w:style>
  <w:style w:type="paragraph" w:customStyle="1" w:styleId="specialcontentheader">
    <w:name w:val="special_content_header"/>
    <w:basedOn w:val="Normal"/>
    <w:rsid w:val="00252DC4"/>
    <w:pPr>
      <w:shd w:val="clear" w:color="auto" w:fill="F15B2A"/>
      <w:spacing w:before="100" w:beforeAutospacing="1" w:after="100" w:afterAutospacing="1"/>
    </w:pPr>
    <w:rPr>
      <w:rFonts w:ascii="Arial" w:eastAsia="Times New Roman" w:hAnsi="Arial" w:cs="Arial"/>
      <w:b/>
      <w:bCs/>
      <w:color w:val="FFFFFF"/>
    </w:rPr>
  </w:style>
  <w:style w:type="paragraph" w:customStyle="1" w:styleId="toolbar">
    <w:name w:val="toolbar"/>
    <w:basedOn w:val="Normal"/>
    <w:rsid w:val="00252DC4"/>
    <w:pPr>
      <w:pBdr>
        <w:top w:val="single" w:sz="6" w:space="2" w:color="EEEEEE"/>
        <w:left w:val="single" w:sz="6" w:space="4" w:color="EEEEEE"/>
        <w:bottom w:val="single" w:sz="6" w:space="2" w:color="666666"/>
        <w:right w:val="single" w:sz="6" w:space="4" w:color="666666"/>
      </w:pBdr>
      <w:shd w:val="clear" w:color="auto" w:fill="CCCCCC"/>
      <w:spacing w:before="100" w:beforeAutospacing="1" w:after="100" w:afterAutospacing="1"/>
    </w:pPr>
    <w:rPr>
      <w:rFonts w:eastAsia="Times New Roman" w:cs="Times New Roman"/>
      <w:color w:val="000000"/>
    </w:rPr>
  </w:style>
  <w:style w:type="paragraph" w:customStyle="1" w:styleId="red">
    <w:name w:val="red"/>
    <w:basedOn w:val="Normal"/>
    <w:rsid w:val="00252DC4"/>
    <w:pPr>
      <w:spacing w:before="100" w:beforeAutospacing="1" w:after="100" w:afterAutospacing="1"/>
    </w:pPr>
    <w:rPr>
      <w:rFonts w:eastAsia="Times New Roman" w:cs="Times New Roman"/>
      <w:color w:val="CC0000"/>
    </w:rPr>
  </w:style>
  <w:style w:type="paragraph" w:customStyle="1" w:styleId="green">
    <w:name w:val="green"/>
    <w:basedOn w:val="Normal"/>
    <w:rsid w:val="00252DC4"/>
    <w:pPr>
      <w:spacing w:before="100" w:beforeAutospacing="1" w:after="100" w:afterAutospacing="1"/>
    </w:pPr>
    <w:rPr>
      <w:rFonts w:eastAsia="Times New Roman" w:cs="Times New Roman"/>
      <w:color w:val="339900"/>
    </w:rPr>
  </w:style>
  <w:style w:type="paragraph" w:customStyle="1" w:styleId="dead">
    <w:name w:val="dead"/>
    <w:basedOn w:val="Normal"/>
    <w:rsid w:val="00252DC4"/>
    <w:pPr>
      <w:spacing w:before="100" w:beforeAutospacing="1" w:after="100" w:afterAutospacing="1"/>
    </w:pPr>
    <w:rPr>
      <w:rFonts w:eastAsia="Times New Roman" w:cs="Times New Roman"/>
      <w:color w:val="666666"/>
    </w:rPr>
  </w:style>
  <w:style w:type="paragraph" w:customStyle="1" w:styleId="live">
    <w:name w:val="live"/>
    <w:basedOn w:val="Normal"/>
    <w:rsid w:val="00252DC4"/>
    <w:pPr>
      <w:spacing w:before="100" w:beforeAutospacing="1" w:after="100" w:afterAutospacing="1"/>
    </w:pPr>
    <w:rPr>
      <w:rFonts w:eastAsia="Times New Roman" w:cs="Times New Roman"/>
    </w:rPr>
  </w:style>
  <w:style w:type="paragraph" w:customStyle="1" w:styleId="orgname">
    <w:name w:val="org_name"/>
    <w:basedOn w:val="Normal"/>
    <w:rsid w:val="00252DC4"/>
    <w:pPr>
      <w:spacing w:before="100" w:beforeAutospacing="1" w:after="100" w:afterAutospacing="1"/>
      <w:jc w:val="right"/>
    </w:pPr>
    <w:rPr>
      <w:rFonts w:eastAsia="Times New Roman" w:cs="Times New Roman"/>
      <w:color w:val="FFFFFF"/>
    </w:rPr>
  </w:style>
  <w:style w:type="paragraph" w:customStyle="1" w:styleId="formwidth">
    <w:name w:val="form_width"/>
    <w:basedOn w:val="Normal"/>
    <w:rsid w:val="00252DC4"/>
    <w:pPr>
      <w:spacing w:before="100" w:beforeAutospacing="1" w:after="100" w:afterAutospacing="1"/>
    </w:pPr>
    <w:rPr>
      <w:rFonts w:eastAsia="Times New Roman" w:cs="Times New Roman"/>
    </w:rPr>
  </w:style>
  <w:style w:type="paragraph" w:customStyle="1" w:styleId="box">
    <w:name w:val="box"/>
    <w:basedOn w:val="Normal"/>
    <w:rsid w:val="00252DC4"/>
    <w:pPr>
      <w:pBdr>
        <w:top w:val="single" w:sz="6" w:space="0" w:color="003366"/>
        <w:left w:val="single" w:sz="6" w:space="0" w:color="003366"/>
        <w:bottom w:val="single" w:sz="6" w:space="0" w:color="003366"/>
        <w:right w:val="single" w:sz="6" w:space="0" w:color="003366"/>
      </w:pBdr>
      <w:spacing w:before="100" w:beforeAutospacing="1" w:after="100" w:afterAutospacing="1"/>
    </w:pPr>
    <w:rPr>
      <w:rFonts w:eastAsia="Times New Roman" w:cs="Times New Roman"/>
    </w:rPr>
  </w:style>
  <w:style w:type="paragraph" w:customStyle="1" w:styleId="greybox">
    <w:name w:val="grey_box"/>
    <w:basedOn w:val="Normal"/>
    <w:rsid w:val="00252DC4"/>
    <w:pPr>
      <w:pBdr>
        <w:top w:val="single" w:sz="6" w:space="4" w:color="CCCCCC"/>
        <w:left w:val="single" w:sz="6" w:space="4" w:color="CCCCCC"/>
        <w:bottom w:val="single" w:sz="6" w:space="4" w:color="CCCCCC"/>
        <w:right w:val="single" w:sz="6" w:space="4" w:color="CCCCCC"/>
      </w:pBdr>
      <w:shd w:val="clear" w:color="auto" w:fill="EEEEEE"/>
      <w:spacing w:before="100" w:beforeAutospacing="1" w:after="100" w:afterAutospacing="1"/>
    </w:pPr>
    <w:rPr>
      <w:rFonts w:eastAsia="Times New Roman" w:cs="Times New Roman"/>
    </w:rPr>
  </w:style>
  <w:style w:type="paragraph" w:customStyle="1" w:styleId="tiny">
    <w:name w:val="tiny"/>
    <w:basedOn w:val="Normal"/>
    <w:rsid w:val="00252DC4"/>
    <w:pPr>
      <w:spacing w:before="100" w:beforeAutospacing="1" w:after="100" w:afterAutospacing="1"/>
    </w:pPr>
    <w:rPr>
      <w:rFonts w:ascii="Arial" w:eastAsia="Times New Roman" w:hAnsi="Arial" w:cs="Arial"/>
      <w:sz w:val="15"/>
      <w:szCs w:val="15"/>
    </w:rPr>
  </w:style>
  <w:style w:type="paragraph" w:customStyle="1" w:styleId="large">
    <w:name w:val="large"/>
    <w:basedOn w:val="Normal"/>
    <w:rsid w:val="00252DC4"/>
    <w:pPr>
      <w:spacing w:before="100" w:beforeAutospacing="1" w:after="100" w:afterAutospacing="1"/>
    </w:pPr>
    <w:rPr>
      <w:rFonts w:ascii="Arial" w:eastAsia="Times New Roman" w:hAnsi="Arial" w:cs="Arial"/>
      <w:b/>
      <w:bCs/>
      <w:sz w:val="23"/>
      <w:szCs w:val="23"/>
    </w:rPr>
  </w:style>
  <w:style w:type="paragraph" w:customStyle="1" w:styleId="pageheader">
    <w:name w:val="page_header"/>
    <w:basedOn w:val="Normal"/>
    <w:rsid w:val="00252DC4"/>
    <w:pPr>
      <w:spacing w:before="225" w:after="150"/>
      <w:ind w:left="150" w:right="150"/>
    </w:pPr>
    <w:rPr>
      <w:rFonts w:ascii="Arial" w:eastAsia="Times New Roman" w:hAnsi="Arial" w:cs="Arial"/>
      <w:b/>
      <w:bCs/>
      <w:sz w:val="27"/>
      <w:szCs w:val="27"/>
    </w:rPr>
  </w:style>
  <w:style w:type="paragraph" w:customStyle="1" w:styleId="navlarge">
    <w:name w:val="nav_large"/>
    <w:basedOn w:val="Normal"/>
    <w:rsid w:val="00252DC4"/>
    <w:pPr>
      <w:spacing w:before="100" w:beforeAutospacing="1" w:after="100" w:afterAutospacing="1"/>
    </w:pPr>
    <w:rPr>
      <w:rFonts w:ascii="Verdana" w:eastAsia="Times New Roman" w:hAnsi="Verdana" w:cs="Times New Roman"/>
      <w:b/>
      <w:bCs/>
      <w:sz w:val="20"/>
      <w:szCs w:val="20"/>
    </w:rPr>
  </w:style>
  <w:style w:type="paragraph" w:customStyle="1" w:styleId="navsmall">
    <w:name w:val="nav_small"/>
    <w:basedOn w:val="Normal"/>
    <w:rsid w:val="00252DC4"/>
    <w:pPr>
      <w:spacing w:before="100" w:beforeAutospacing="1" w:after="100" w:afterAutospacing="1"/>
    </w:pPr>
    <w:rPr>
      <w:rFonts w:ascii="Arial" w:eastAsia="Times New Roman" w:hAnsi="Arial" w:cs="Arial"/>
      <w:sz w:val="17"/>
      <w:szCs w:val="17"/>
    </w:rPr>
  </w:style>
  <w:style w:type="paragraph" w:customStyle="1" w:styleId="bottomline">
    <w:name w:val="bottom_line"/>
    <w:basedOn w:val="Normal"/>
    <w:rsid w:val="00252DC4"/>
    <w:pPr>
      <w:pBdr>
        <w:bottom w:val="single" w:sz="6" w:space="0" w:color="000000"/>
      </w:pBdr>
      <w:spacing w:before="100" w:beforeAutospacing="1" w:after="100" w:afterAutospacing="1"/>
    </w:pPr>
    <w:rPr>
      <w:rFonts w:eastAsia="Times New Roman" w:cs="Times New Roman"/>
    </w:rPr>
  </w:style>
  <w:style w:type="paragraph" w:customStyle="1" w:styleId="topline">
    <w:name w:val="top_line"/>
    <w:basedOn w:val="Normal"/>
    <w:rsid w:val="00252DC4"/>
    <w:pPr>
      <w:pBdr>
        <w:top w:val="single" w:sz="6" w:space="0" w:color="000000"/>
      </w:pBdr>
      <w:spacing w:before="100" w:beforeAutospacing="1" w:after="100" w:afterAutospacing="1"/>
    </w:pPr>
    <w:rPr>
      <w:rFonts w:eastAsia="Times New Roman" w:cs="Times New Roman"/>
    </w:rPr>
  </w:style>
  <w:style w:type="paragraph" w:customStyle="1" w:styleId="bottomlinegrey">
    <w:name w:val="bottom_line_grey"/>
    <w:basedOn w:val="Normal"/>
    <w:rsid w:val="00252DC4"/>
    <w:pPr>
      <w:pBdr>
        <w:bottom w:val="single" w:sz="6" w:space="0" w:color="CCCCCC"/>
      </w:pBdr>
      <w:spacing w:before="100" w:beforeAutospacing="1" w:after="100" w:afterAutospacing="1"/>
    </w:pPr>
    <w:rPr>
      <w:rFonts w:eastAsia="Times New Roman" w:cs="Times New Roman"/>
    </w:rPr>
  </w:style>
  <w:style w:type="paragraph" w:customStyle="1" w:styleId="note">
    <w:name w:val="note"/>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columnheader">
    <w:name w:val="column_header"/>
    <w:basedOn w:val="Normal"/>
    <w:rsid w:val="00252DC4"/>
    <w:pPr>
      <w:shd w:val="clear" w:color="auto" w:fill="EEEEEE"/>
      <w:spacing w:before="100" w:beforeAutospacing="1" w:after="100" w:afterAutospacing="1"/>
    </w:pPr>
    <w:rPr>
      <w:rFonts w:eastAsia="Times New Roman" w:cs="Times New Roman"/>
      <w:b/>
      <w:bCs/>
      <w:color w:val="000000"/>
    </w:rPr>
  </w:style>
  <w:style w:type="paragraph" w:customStyle="1" w:styleId="litegreyrow">
    <w:name w:val="lite_grey_row"/>
    <w:basedOn w:val="Normal"/>
    <w:rsid w:val="00252DC4"/>
    <w:pPr>
      <w:shd w:val="clear" w:color="auto" w:fill="EEEEEE"/>
      <w:spacing w:before="100" w:beforeAutospacing="1" w:after="100" w:afterAutospacing="1"/>
    </w:pPr>
    <w:rPr>
      <w:rFonts w:eastAsia="Times New Roman" w:cs="Times New Roman"/>
    </w:rPr>
  </w:style>
  <w:style w:type="paragraph" w:customStyle="1" w:styleId="whiterow">
    <w:name w:val="white_row"/>
    <w:basedOn w:val="Normal"/>
    <w:rsid w:val="00252DC4"/>
    <w:pPr>
      <w:shd w:val="clear" w:color="auto" w:fill="FFFFFF"/>
      <w:spacing w:before="100" w:beforeAutospacing="1" w:after="100" w:afterAutospacing="1"/>
    </w:pPr>
    <w:rPr>
      <w:rFonts w:eastAsia="Times New Roman" w:cs="Times New Roman"/>
    </w:rPr>
  </w:style>
  <w:style w:type="paragraph" w:customStyle="1" w:styleId="submitbut">
    <w:name w:val="submit_but"/>
    <w:basedOn w:val="Normal"/>
    <w:rsid w:val="00252DC4"/>
    <w:pPr>
      <w:pBdr>
        <w:top w:val="outset" w:sz="6" w:space="0" w:color="EEEEEE"/>
        <w:left w:val="outset" w:sz="6" w:space="0" w:color="EEEEEE"/>
        <w:bottom w:val="outset" w:sz="6" w:space="0" w:color="EEEEEE"/>
        <w:right w:val="outset" w:sz="6" w:space="0" w:color="EEEEEE"/>
      </w:pBdr>
      <w:shd w:val="clear" w:color="auto" w:fill="CCCCCC"/>
      <w:spacing w:before="100" w:beforeAutospacing="1" w:after="100" w:afterAutospacing="1"/>
    </w:pPr>
    <w:rPr>
      <w:rFonts w:eastAsia="Times New Roman" w:cs="Times New Roman"/>
    </w:rPr>
  </w:style>
  <w:style w:type="paragraph" w:customStyle="1" w:styleId="content">
    <w:name w:val="content"/>
    <w:basedOn w:val="Normal"/>
    <w:rsid w:val="00252DC4"/>
    <w:pPr>
      <w:spacing w:before="100" w:beforeAutospacing="1" w:after="100" w:afterAutospacing="1"/>
    </w:pPr>
    <w:rPr>
      <w:rFonts w:eastAsia="Times New Roman" w:cs="Times New Roman"/>
    </w:rPr>
  </w:style>
  <w:style w:type="paragraph" w:customStyle="1" w:styleId="message">
    <w:name w:val="message"/>
    <w:basedOn w:val="Normal"/>
    <w:rsid w:val="00252DC4"/>
    <w:pPr>
      <w:pBdr>
        <w:top w:val="single" w:sz="6" w:space="4" w:color="CC0000"/>
        <w:left w:val="single" w:sz="6" w:space="4" w:color="CC0000"/>
        <w:bottom w:val="single" w:sz="6" w:space="4" w:color="CC0000"/>
        <w:right w:val="single" w:sz="6" w:space="4" w:color="CC0000"/>
      </w:pBdr>
      <w:shd w:val="clear" w:color="auto" w:fill="FFEEEE"/>
      <w:spacing w:before="100" w:beforeAutospacing="1" w:after="100" w:afterAutospacing="1"/>
    </w:pPr>
    <w:rPr>
      <w:rFonts w:ascii="Verdana" w:eastAsia="Times New Roman" w:hAnsi="Verdana" w:cs="Times New Roman"/>
      <w:b/>
      <w:bCs/>
      <w:color w:val="CC0000"/>
      <w:sz w:val="18"/>
      <w:szCs w:val="18"/>
    </w:rPr>
  </w:style>
  <w:style w:type="paragraph" w:customStyle="1" w:styleId="highlight">
    <w:name w:val="highlight"/>
    <w:basedOn w:val="Normal"/>
    <w:rsid w:val="00252DC4"/>
    <w:pPr>
      <w:pBdr>
        <w:top w:val="single" w:sz="6" w:space="2" w:color="99CC99"/>
        <w:left w:val="single" w:sz="6" w:space="2" w:color="99CC99"/>
        <w:bottom w:val="single" w:sz="6" w:space="2" w:color="99CC99"/>
        <w:right w:val="single" w:sz="6" w:space="2" w:color="99CC99"/>
      </w:pBdr>
      <w:shd w:val="clear" w:color="auto" w:fill="CAEECA"/>
      <w:spacing w:before="30" w:after="30"/>
      <w:ind w:left="30" w:right="30"/>
    </w:pPr>
    <w:rPr>
      <w:rFonts w:ascii="Verdana" w:eastAsia="Times New Roman" w:hAnsi="Verdana" w:cs="Times New Roman"/>
      <w:b/>
      <w:bCs/>
      <w:color w:val="000000"/>
      <w:sz w:val="18"/>
      <w:szCs w:val="18"/>
    </w:rPr>
  </w:style>
  <w:style w:type="paragraph" w:customStyle="1" w:styleId="articletitle">
    <w:name w:val="article_title"/>
    <w:basedOn w:val="Normal"/>
    <w:rsid w:val="00252DC4"/>
    <w:pPr>
      <w:spacing w:before="150"/>
    </w:pPr>
    <w:rPr>
      <w:rFonts w:ascii="Arial" w:eastAsia="Times New Roman" w:hAnsi="Arial" w:cs="Arial"/>
      <w:b/>
      <w:bCs/>
      <w:sz w:val="27"/>
      <w:szCs w:val="27"/>
    </w:rPr>
  </w:style>
  <w:style w:type="paragraph" w:customStyle="1" w:styleId="articledate">
    <w:name w:val="article_date"/>
    <w:basedOn w:val="Normal"/>
    <w:rsid w:val="00252DC4"/>
    <w:pPr>
      <w:spacing w:after="150"/>
    </w:pPr>
    <w:rPr>
      <w:rFonts w:eastAsia="Times New Roman" w:cs="Times New Roman"/>
      <w:color w:val="666666"/>
    </w:rPr>
  </w:style>
  <w:style w:type="paragraph" w:customStyle="1" w:styleId="pagerlive">
    <w:name w:val="pager_live"/>
    <w:basedOn w:val="Normal"/>
    <w:rsid w:val="00252DC4"/>
    <w:pPr>
      <w:pBdr>
        <w:top w:val="single" w:sz="6" w:space="2" w:color="99CC99"/>
        <w:left w:val="single" w:sz="6" w:space="2" w:color="99CC99"/>
        <w:bottom w:val="single" w:sz="6" w:space="2" w:color="99CC99"/>
        <w:right w:val="single" w:sz="6" w:space="2" w:color="99CC99"/>
      </w:pBdr>
      <w:shd w:val="clear" w:color="auto" w:fill="CAEECA"/>
    </w:pPr>
    <w:rPr>
      <w:rFonts w:ascii="Arial" w:eastAsia="Times New Roman" w:hAnsi="Arial" w:cs="Arial"/>
      <w:b/>
      <w:bCs/>
      <w:color w:val="000000"/>
      <w:sz w:val="18"/>
      <w:szCs w:val="18"/>
    </w:rPr>
  </w:style>
  <w:style w:type="paragraph" w:customStyle="1" w:styleId="pagerdead">
    <w:name w:val="pager_dead"/>
    <w:basedOn w:val="Normal"/>
    <w:rsid w:val="00252DC4"/>
    <w:pPr>
      <w:pBdr>
        <w:top w:val="single" w:sz="6" w:space="2" w:color="CCCCCC"/>
        <w:left w:val="single" w:sz="6" w:space="2" w:color="CCCCCC"/>
        <w:bottom w:val="single" w:sz="6" w:space="2" w:color="CCCCCC"/>
        <w:right w:val="single" w:sz="6" w:space="2" w:color="CCCCCC"/>
      </w:pBdr>
      <w:shd w:val="clear" w:color="auto" w:fill="EEEEEE"/>
    </w:pPr>
    <w:rPr>
      <w:rFonts w:ascii="Arial" w:eastAsia="Times New Roman" w:hAnsi="Arial" w:cs="Arial"/>
      <w:color w:val="000000"/>
      <w:sz w:val="18"/>
      <w:szCs w:val="18"/>
    </w:rPr>
  </w:style>
  <w:style w:type="paragraph" w:customStyle="1" w:styleId="errhilite">
    <w:name w:val="errhilite"/>
    <w:basedOn w:val="Normal"/>
    <w:rsid w:val="00252DC4"/>
    <w:pPr>
      <w:pBdr>
        <w:top w:val="inset" w:sz="12" w:space="0" w:color="CC0000"/>
        <w:left w:val="inset" w:sz="12" w:space="0" w:color="CC0000"/>
        <w:bottom w:val="inset" w:sz="12" w:space="0" w:color="CC0000"/>
        <w:right w:val="inset" w:sz="12" w:space="0" w:color="CC0000"/>
      </w:pBdr>
      <w:shd w:val="clear" w:color="auto" w:fill="FFEEEE"/>
      <w:spacing w:before="100" w:beforeAutospacing="1" w:after="100" w:afterAutospacing="1"/>
    </w:pPr>
    <w:rPr>
      <w:rFonts w:eastAsia="Times New Roman" w:cs="Times New Roman"/>
      <w:color w:val="CC0000"/>
    </w:rPr>
  </w:style>
  <w:style w:type="paragraph" w:customStyle="1" w:styleId="calgreyheader">
    <w:name w:val="cal_grey_header"/>
    <w:basedOn w:val="Normal"/>
    <w:rsid w:val="00252DC4"/>
    <w:pPr>
      <w:pBdr>
        <w:top w:val="single" w:sz="6" w:space="2" w:color="000000"/>
        <w:bottom w:val="single" w:sz="6" w:space="2" w:color="000000"/>
      </w:pBdr>
      <w:shd w:val="clear" w:color="auto" w:fill="CCCCCC"/>
      <w:spacing w:before="100" w:beforeAutospacing="1" w:after="100" w:afterAutospacing="1"/>
    </w:pPr>
    <w:rPr>
      <w:rFonts w:eastAsia="Times New Roman" w:cs="Times New Roman"/>
      <w:b/>
      <w:bCs/>
      <w:color w:val="000000"/>
    </w:rPr>
  </w:style>
  <w:style w:type="paragraph" w:customStyle="1" w:styleId="callitegreyheader">
    <w:name w:val="cal_lite_grey_header"/>
    <w:basedOn w:val="Normal"/>
    <w:rsid w:val="00252DC4"/>
    <w:pPr>
      <w:pBdr>
        <w:bottom w:val="single" w:sz="6" w:space="0" w:color="000000"/>
      </w:pBdr>
      <w:shd w:val="clear" w:color="auto" w:fill="EEEEEE"/>
      <w:spacing w:before="100" w:beforeAutospacing="1" w:after="100" w:afterAutospacing="1"/>
    </w:pPr>
    <w:rPr>
      <w:rFonts w:eastAsia="Times New Roman" w:cs="Times New Roman"/>
      <w:b/>
      <w:bCs/>
      <w:color w:val="000000"/>
    </w:rPr>
  </w:style>
  <w:style w:type="paragraph" w:customStyle="1" w:styleId="calwhiteheader">
    <w:name w:val="cal_white_header"/>
    <w:basedOn w:val="Normal"/>
    <w:rsid w:val="00252DC4"/>
    <w:pPr>
      <w:pBdr>
        <w:bottom w:val="single" w:sz="6" w:space="0" w:color="000000"/>
      </w:pBdr>
      <w:spacing w:before="100" w:beforeAutospacing="1" w:after="100" w:afterAutospacing="1"/>
    </w:pPr>
    <w:rPr>
      <w:rFonts w:eastAsia="Times New Roman" w:cs="Times New Roman"/>
      <w:b/>
      <w:bCs/>
      <w:color w:val="000000"/>
    </w:rPr>
  </w:style>
  <w:style w:type="paragraph" w:customStyle="1" w:styleId="notepad">
    <w:name w:val="notepad"/>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bulletlist">
    <w:name w:val="bullet_list"/>
    <w:basedOn w:val="Normal"/>
    <w:rsid w:val="00252DC4"/>
    <w:pPr>
      <w:spacing w:before="75"/>
      <w:ind w:left="195"/>
    </w:pPr>
    <w:rPr>
      <w:rFonts w:eastAsia="Times New Roman" w:cs="Times New Roman"/>
      <w:color w:val="DDDDDD"/>
    </w:rPr>
  </w:style>
  <w:style w:type="paragraph" w:customStyle="1" w:styleId="bulletlistnobullet">
    <w:name w:val="bullet_list_no_bullet"/>
    <w:basedOn w:val="Normal"/>
    <w:rsid w:val="00252DC4"/>
    <w:pPr>
      <w:spacing w:before="75"/>
    </w:pPr>
    <w:rPr>
      <w:rFonts w:eastAsia="Times New Roman" w:cs="Times New Roman"/>
      <w:color w:val="DDDDDD"/>
    </w:rPr>
  </w:style>
  <w:style w:type="paragraph" w:customStyle="1" w:styleId="iconmenu">
    <w:name w:val="icon_menu"/>
    <w:basedOn w:val="Normal"/>
    <w:rsid w:val="00252DC4"/>
    <w:rPr>
      <w:rFonts w:eastAsia="Times New Roman" w:cs="Times New Roman"/>
      <w:b/>
      <w:bCs/>
      <w:sz w:val="18"/>
      <w:szCs w:val="18"/>
    </w:rPr>
  </w:style>
  <w:style w:type="paragraph" w:customStyle="1" w:styleId="contentcopyright">
    <w:name w:val="content_copyright"/>
    <w:basedOn w:val="Normal"/>
    <w:rsid w:val="00252DC4"/>
    <w:pPr>
      <w:spacing w:before="300"/>
      <w:ind w:left="300" w:right="300"/>
    </w:pPr>
    <w:rPr>
      <w:rFonts w:eastAsia="Times New Roman" w:cs="Times New Roman"/>
      <w:color w:val="666666"/>
    </w:rPr>
  </w:style>
  <w:style w:type="paragraph" w:customStyle="1" w:styleId="eventicon1">
    <w:name w:val="event_icon_1"/>
    <w:basedOn w:val="Normal"/>
    <w:rsid w:val="00252DC4"/>
    <w:pPr>
      <w:pBdr>
        <w:top w:val="single" w:sz="6" w:space="0" w:color="CC0000"/>
        <w:left w:val="single" w:sz="6" w:space="2" w:color="CC0000"/>
        <w:bottom w:val="single" w:sz="6" w:space="0" w:color="CC0000"/>
        <w:right w:val="single" w:sz="6" w:space="2" w:color="CC0000"/>
      </w:pBdr>
      <w:spacing w:before="100" w:beforeAutospacing="1" w:after="100" w:afterAutospacing="1"/>
    </w:pPr>
    <w:rPr>
      <w:rFonts w:eastAsia="Times New Roman" w:cs="Times New Roman"/>
      <w:b/>
      <w:bCs/>
      <w:sz w:val="18"/>
      <w:szCs w:val="18"/>
    </w:rPr>
  </w:style>
  <w:style w:type="paragraph" w:customStyle="1" w:styleId="eventicon2">
    <w:name w:val="event_icon_2"/>
    <w:basedOn w:val="Normal"/>
    <w:rsid w:val="00252DC4"/>
    <w:pPr>
      <w:pBdr>
        <w:top w:val="single" w:sz="6" w:space="0" w:color="0000CC"/>
        <w:left w:val="single" w:sz="6" w:space="2" w:color="0000CC"/>
        <w:bottom w:val="single" w:sz="6" w:space="0" w:color="0000CC"/>
        <w:right w:val="single" w:sz="6" w:space="2" w:color="0000CC"/>
      </w:pBdr>
      <w:spacing w:before="100" w:beforeAutospacing="1" w:after="100" w:afterAutospacing="1"/>
    </w:pPr>
    <w:rPr>
      <w:rFonts w:eastAsia="Times New Roman" w:cs="Times New Roman"/>
      <w:b/>
      <w:bCs/>
      <w:sz w:val="18"/>
      <w:szCs w:val="18"/>
    </w:rPr>
  </w:style>
  <w:style w:type="paragraph" w:customStyle="1" w:styleId="eventicon3">
    <w:name w:val="event_icon_3"/>
    <w:basedOn w:val="Normal"/>
    <w:rsid w:val="00252DC4"/>
    <w:pPr>
      <w:pBdr>
        <w:top w:val="single" w:sz="6" w:space="0" w:color="9933CC"/>
        <w:left w:val="single" w:sz="6" w:space="3" w:color="9933CC"/>
        <w:bottom w:val="single" w:sz="6" w:space="0" w:color="9933CC"/>
        <w:right w:val="single" w:sz="6" w:space="3" w:color="9933CC"/>
      </w:pBdr>
      <w:spacing w:before="100" w:beforeAutospacing="1" w:after="100" w:afterAutospacing="1"/>
    </w:pPr>
    <w:rPr>
      <w:rFonts w:eastAsia="Times New Roman" w:cs="Times New Roman"/>
      <w:b/>
      <w:bCs/>
      <w:sz w:val="18"/>
      <w:szCs w:val="18"/>
    </w:rPr>
  </w:style>
  <w:style w:type="paragraph" w:customStyle="1" w:styleId="eventicon4">
    <w:name w:val="event_icon_4"/>
    <w:basedOn w:val="Normal"/>
    <w:rsid w:val="00252DC4"/>
    <w:pPr>
      <w:pBdr>
        <w:top w:val="single" w:sz="6" w:space="0" w:color="FF6600"/>
        <w:left w:val="single" w:sz="6" w:space="2" w:color="FF6600"/>
        <w:bottom w:val="single" w:sz="6" w:space="0" w:color="FF6600"/>
        <w:right w:val="single" w:sz="6" w:space="2" w:color="FF6600"/>
      </w:pBdr>
      <w:spacing w:before="100" w:beforeAutospacing="1" w:after="100" w:afterAutospacing="1"/>
    </w:pPr>
    <w:rPr>
      <w:rFonts w:eastAsia="Times New Roman" w:cs="Times New Roman"/>
      <w:b/>
      <w:bCs/>
      <w:sz w:val="18"/>
      <w:szCs w:val="18"/>
    </w:rPr>
  </w:style>
  <w:style w:type="paragraph" w:customStyle="1" w:styleId="eventicon5">
    <w:name w:val="event_icon_5"/>
    <w:basedOn w:val="Normal"/>
    <w:rsid w:val="00252DC4"/>
    <w:pPr>
      <w:pBdr>
        <w:top w:val="single" w:sz="6" w:space="0" w:color="330000"/>
        <w:left w:val="single" w:sz="6" w:space="2" w:color="330000"/>
        <w:bottom w:val="single" w:sz="6" w:space="0" w:color="330000"/>
        <w:right w:val="single" w:sz="6" w:space="2" w:color="330000"/>
      </w:pBdr>
      <w:spacing w:before="100" w:beforeAutospacing="1" w:after="100" w:afterAutospacing="1"/>
    </w:pPr>
    <w:rPr>
      <w:rFonts w:eastAsia="Times New Roman" w:cs="Times New Roman"/>
      <w:b/>
      <w:bCs/>
      <w:sz w:val="18"/>
      <w:szCs w:val="18"/>
    </w:rPr>
  </w:style>
  <w:style w:type="paragraph" w:customStyle="1" w:styleId="eventicon7">
    <w:name w:val="event_icon_7"/>
    <w:basedOn w:val="Normal"/>
    <w:rsid w:val="00252DC4"/>
    <w:pPr>
      <w:pBdr>
        <w:top w:val="single" w:sz="6" w:space="0" w:color="CCCC00"/>
        <w:left w:val="single" w:sz="6" w:space="2" w:color="CCCC00"/>
        <w:bottom w:val="single" w:sz="6" w:space="0" w:color="CCCC00"/>
        <w:right w:val="single" w:sz="6" w:space="2" w:color="CCCC00"/>
      </w:pBdr>
      <w:spacing w:before="100" w:beforeAutospacing="1" w:after="100" w:afterAutospacing="1"/>
    </w:pPr>
    <w:rPr>
      <w:rFonts w:eastAsia="Times New Roman" w:cs="Times New Roman"/>
      <w:b/>
      <w:bCs/>
      <w:sz w:val="18"/>
      <w:szCs w:val="18"/>
    </w:rPr>
  </w:style>
  <w:style w:type="paragraph" w:customStyle="1" w:styleId="eventicon8">
    <w:name w:val="event_icon_8"/>
    <w:basedOn w:val="Normal"/>
    <w:rsid w:val="00252DC4"/>
    <w:pPr>
      <w:pBdr>
        <w:top w:val="single" w:sz="6" w:space="0" w:color="4C9900"/>
        <w:left w:val="single" w:sz="6" w:space="2" w:color="4C9900"/>
        <w:bottom w:val="single" w:sz="6" w:space="0" w:color="4C9900"/>
        <w:right w:val="single" w:sz="6" w:space="2" w:color="4C9900"/>
      </w:pBdr>
      <w:spacing w:before="100" w:beforeAutospacing="1" w:after="100" w:afterAutospacing="1"/>
    </w:pPr>
    <w:rPr>
      <w:rFonts w:eastAsia="Times New Roman" w:cs="Times New Roman"/>
      <w:b/>
      <w:bCs/>
      <w:sz w:val="18"/>
      <w:szCs w:val="18"/>
    </w:rPr>
  </w:style>
  <w:style w:type="paragraph" w:customStyle="1" w:styleId="calwhiteheader1">
    <w:name w:val="cal_white_header1"/>
    <w:basedOn w:val="Normal"/>
    <w:rsid w:val="00252DC4"/>
    <w:pPr>
      <w:pBdr>
        <w:bottom w:val="single" w:sz="6" w:space="0" w:color="000000"/>
      </w:pBdr>
      <w:spacing w:before="100" w:beforeAutospacing="1" w:after="100" w:afterAutospacing="1"/>
    </w:pPr>
    <w:rPr>
      <w:rFonts w:eastAsia="Times New Roman" w:cs="Times New Roman"/>
      <w:b/>
      <w:bCs/>
      <w:color w:val="000000"/>
      <w:sz w:val="21"/>
      <w:szCs w:val="21"/>
    </w:rPr>
  </w:style>
  <w:style w:type="paragraph" w:styleId="NormalWeb">
    <w:name w:val="Normal (Web)"/>
    <w:basedOn w:val="Normal"/>
    <w:uiPriority w:val="99"/>
    <w:semiHidden/>
    <w:unhideWhenUsed/>
    <w:rsid w:val="00252DC4"/>
    <w:pPr>
      <w:spacing w:before="100" w:beforeAutospacing="1" w:after="100" w:afterAutospacing="1"/>
    </w:pPr>
    <w:rPr>
      <w:rFonts w:eastAsia="Times New Roman" w:cs="Times New Roman"/>
    </w:rPr>
  </w:style>
  <w:style w:type="paragraph" w:customStyle="1" w:styleId="Header2">
    <w:name w:val="Header2"/>
    <w:basedOn w:val="Normal"/>
    <w:rsid w:val="001E327E"/>
    <w:pPr>
      <w:shd w:val="clear" w:color="auto" w:fill="003366"/>
      <w:spacing w:before="100" w:beforeAutospacing="1" w:after="100" w:afterAutospacing="1"/>
    </w:pPr>
    <w:rPr>
      <w:rFonts w:eastAsia="Times New Roman" w:cs="Times New Roman"/>
    </w:rPr>
  </w:style>
  <w:style w:type="paragraph" w:customStyle="1" w:styleId="calsponsoredheader">
    <w:name w:val="cal_sponsored_header"/>
    <w:basedOn w:val="Normal"/>
    <w:rsid w:val="001D25D1"/>
    <w:pPr>
      <w:pBdr>
        <w:bottom w:val="single" w:sz="6" w:space="0" w:color="333333"/>
      </w:pBdr>
      <w:shd w:val="clear" w:color="auto" w:fill="FFFFE8"/>
      <w:spacing w:before="100" w:beforeAutospacing="1" w:after="100" w:afterAutospacing="1"/>
    </w:pPr>
    <w:rPr>
      <w:rFonts w:eastAsia="Times New Roman" w:cs="Times New Roman"/>
      <w:b/>
      <w:bCs/>
      <w:color w:val="000000"/>
    </w:rPr>
  </w:style>
  <w:style w:type="paragraph" w:customStyle="1" w:styleId="sponsored-event-header">
    <w:name w:val="sponsored-event-header"/>
    <w:basedOn w:val="Normal"/>
    <w:rsid w:val="001D25D1"/>
    <w:rPr>
      <w:rFonts w:eastAsia="Times New Roman" w:cs="Times New Roman"/>
    </w:rPr>
  </w:style>
  <w:style w:type="paragraph" w:customStyle="1" w:styleId="sponsored-event-content">
    <w:name w:val="sponsored-event-content"/>
    <w:basedOn w:val="Normal"/>
    <w:rsid w:val="001D25D1"/>
    <w:rPr>
      <w:rFonts w:eastAsia="Times New Roman" w:cs="Times New Roman"/>
      <w:vanish/>
    </w:rPr>
  </w:style>
  <w:style w:type="paragraph" w:customStyle="1" w:styleId="sponsored-event-click">
    <w:name w:val="sponsored-event-click"/>
    <w:basedOn w:val="Normal"/>
    <w:rsid w:val="001D25D1"/>
    <w:pPr>
      <w:pBdr>
        <w:top w:val="single" w:sz="6" w:space="8" w:color="CCCCCC"/>
        <w:left w:val="single" w:sz="6" w:space="8" w:color="CCCCCC"/>
        <w:bottom w:val="single" w:sz="6" w:space="8" w:color="CCCCCC"/>
        <w:right w:val="single" w:sz="6" w:space="0" w:color="CCCCCC"/>
      </w:pBdr>
      <w:shd w:val="clear" w:color="auto" w:fill="F9F9F9"/>
      <w:spacing w:before="100" w:beforeAutospacing="1" w:after="100" w:afterAutospacing="1"/>
    </w:pPr>
    <w:rPr>
      <w:rFonts w:eastAsia="Times New Roman" w:cs="Times New Roman"/>
      <w:sz w:val="25"/>
      <w:szCs w:val="25"/>
    </w:rPr>
  </w:style>
  <w:style w:type="paragraph" w:customStyle="1" w:styleId="sponsored-event-hover-text">
    <w:name w:val="sponsored-event-hover-text"/>
    <w:basedOn w:val="Normal"/>
    <w:rsid w:val="001D25D1"/>
    <w:pPr>
      <w:spacing w:before="100" w:beforeAutospacing="1" w:after="100" w:afterAutospacing="1"/>
      <w:ind w:left="300"/>
    </w:pPr>
    <w:rPr>
      <w:rFonts w:eastAsia="Times New Roman" w:cs="Times New Roman"/>
      <w:color w:val="CC0000"/>
    </w:rPr>
  </w:style>
  <w:style w:type="paragraph" w:customStyle="1" w:styleId="bluemessage">
    <w:name w:val="blue_message"/>
    <w:basedOn w:val="Normal"/>
    <w:rsid w:val="001D25D1"/>
    <w:pPr>
      <w:pBdr>
        <w:top w:val="single" w:sz="6" w:space="8" w:color="003366"/>
        <w:left w:val="single" w:sz="6" w:space="8" w:color="003366"/>
        <w:bottom w:val="single" w:sz="6" w:space="8" w:color="003366"/>
        <w:right w:val="single" w:sz="6" w:space="8" w:color="003366"/>
      </w:pBdr>
      <w:shd w:val="clear" w:color="auto" w:fill="E5EAF1"/>
      <w:spacing w:before="300" w:after="300"/>
      <w:ind w:left="300" w:right="300"/>
    </w:pPr>
    <w:rPr>
      <w:rFonts w:ascii="Verdana" w:eastAsia="Times New Roman" w:hAnsi="Verdana" w:cs="Times New Roman"/>
      <w:color w:val="000000"/>
      <w:sz w:val="18"/>
      <w:szCs w:val="18"/>
    </w:rPr>
  </w:style>
  <w:style w:type="paragraph" w:customStyle="1" w:styleId="Header3">
    <w:name w:val="Header3"/>
    <w:basedOn w:val="Normal"/>
    <w:rsid w:val="008B64BE"/>
    <w:pPr>
      <w:shd w:val="clear" w:color="auto" w:fill="003366"/>
      <w:spacing w:before="100" w:beforeAutospacing="1" w:after="100" w:afterAutospacing="1"/>
    </w:pPr>
    <w:rPr>
      <w:rFonts w:eastAsia="Times New Roman" w:cs="Times New Roman"/>
    </w:rPr>
  </w:style>
  <w:style w:type="paragraph" w:customStyle="1" w:styleId="jquery-button">
    <w:name w:val="jquery-button"/>
    <w:basedOn w:val="Normal"/>
    <w:rsid w:val="00C02420"/>
    <w:pPr>
      <w:spacing w:before="100" w:beforeAutospacing="1" w:after="100" w:afterAutospacing="1"/>
    </w:pPr>
    <w:rPr>
      <w:rFonts w:eastAsia="Times New Roman" w:cs="Times New Roman"/>
      <w:color w:val="000000"/>
      <w:sz w:val="20"/>
      <w:szCs w:val="20"/>
    </w:rPr>
  </w:style>
  <w:style w:type="paragraph" w:customStyle="1" w:styleId="billflag">
    <w:name w:val="bill_flag"/>
    <w:basedOn w:val="Normal"/>
    <w:rsid w:val="00C02420"/>
    <w:pPr>
      <w:ind w:left="50" w:right="50"/>
      <w:textAlignment w:val="top"/>
    </w:pPr>
    <w:rPr>
      <w:rFonts w:eastAsia="Times New Roman" w:cs="Times New Roman"/>
    </w:rPr>
  </w:style>
  <w:style w:type="paragraph" w:customStyle="1" w:styleId="tooltip">
    <w:name w:val="tooltip"/>
    <w:basedOn w:val="Normal"/>
    <w:rsid w:val="007C479E"/>
    <w:pPr>
      <w:pBdr>
        <w:top w:val="single" w:sz="4" w:space="1" w:color="EEEEEE"/>
        <w:left w:val="single" w:sz="4" w:space="10" w:color="EEEEEE"/>
        <w:bottom w:val="single" w:sz="4" w:space="1" w:color="EEEEEE"/>
        <w:right w:val="single" w:sz="4" w:space="3" w:color="EEEEEE"/>
      </w:pBdr>
      <w:shd w:val="clear" w:color="auto" w:fill="FFFFFF"/>
      <w:spacing w:before="100" w:beforeAutospacing="1" w:after="100" w:afterAutospacing="1"/>
    </w:pPr>
    <w:rPr>
      <w:rFonts w:eastAsia="Times New Roman" w:cs="Times New Roman"/>
    </w:rPr>
  </w:style>
  <w:style w:type="paragraph" w:customStyle="1" w:styleId="small-tooltip">
    <w:name w:val="small-tooltip"/>
    <w:basedOn w:val="Normal"/>
    <w:rsid w:val="007C479E"/>
    <w:pPr>
      <w:spacing w:before="100" w:beforeAutospacing="1" w:after="100" w:afterAutospacing="1"/>
    </w:pPr>
    <w:rPr>
      <w:rFonts w:eastAsia="Times New Roman" w:cs="Times New Roman"/>
      <w:sz w:val="12"/>
      <w:szCs w:val="12"/>
    </w:rPr>
  </w:style>
  <w:style w:type="paragraph" w:customStyle="1" w:styleId="large-tooltip">
    <w:name w:val="large-tooltip"/>
    <w:basedOn w:val="Normal"/>
    <w:rsid w:val="007C479E"/>
    <w:pPr>
      <w:spacing w:before="100" w:beforeAutospacing="1" w:after="100" w:afterAutospacing="1"/>
    </w:pPr>
    <w:rPr>
      <w:rFonts w:eastAsia="Times New Roman" w:cs="Times New Roman"/>
      <w:b/>
      <w:bCs/>
      <w:sz w:val="13"/>
      <w:szCs w:val="13"/>
    </w:rPr>
  </w:style>
  <w:style w:type="paragraph" w:customStyle="1" w:styleId="more-items">
    <w:name w:val="more-items"/>
    <w:basedOn w:val="Normal"/>
    <w:rsid w:val="007C479E"/>
    <w:pPr>
      <w:spacing w:before="100" w:beforeAutospacing="1" w:after="200"/>
      <w:jc w:val="right"/>
    </w:pPr>
    <w:rPr>
      <w:rFonts w:eastAsia="Times New Roman" w:cs="Times New Roman"/>
      <w:b/>
      <w:bCs/>
    </w:rPr>
  </w:style>
  <w:style w:type="paragraph" w:customStyle="1" w:styleId="button-link">
    <w:name w:val="button-link"/>
    <w:basedOn w:val="Normal"/>
    <w:rsid w:val="007C479E"/>
    <w:pPr>
      <w:pBdr>
        <w:top w:val="single" w:sz="4" w:space="5" w:color="999999"/>
        <w:left w:val="single" w:sz="4" w:space="8" w:color="999999"/>
        <w:bottom w:val="single" w:sz="4" w:space="5" w:color="999999"/>
        <w:right w:val="single" w:sz="4" w:space="8" w:color="999999"/>
      </w:pBdr>
      <w:shd w:val="clear" w:color="auto" w:fill="CCCCCC"/>
      <w:spacing w:before="100" w:beforeAutospacing="1" w:after="100" w:afterAutospacing="1"/>
    </w:pPr>
    <w:rPr>
      <w:rFonts w:eastAsia="Times New Roman" w:cs="Times New Roman"/>
      <w:color w:val="000000"/>
    </w:rPr>
  </w:style>
  <w:style w:type="character" w:customStyle="1" w:styleId="text">
    <w:name w:val="text"/>
    <w:basedOn w:val="DefaultParagraphFont"/>
    <w:rsid w:val="00436BA2"/>
  </w:style>
  <w:style w:type="paragraph" w:styleId="z-TopofForm">
    <w:name w:val="HTML Top of Form"/>
    <w:basedOn w:val="Normal"/>
    <w:next w:val="Normal"/>
    <w:link w:val="z-TopofFormChar"/>
    <w:hidden/>
    <w:uiPriority w:val="99"/>
    <w:semiHidden/>
    <w:unhideWhenUsed/>
    <w:rsid w:val="00915698"/>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15698"/>
    <w:rPr>
      <w:rFonts w:ascii="Arial" w:eastAsia="Times New Roman" w:hAnsi="Arial" w:cs="Arial"/>
      <w:vanish/>
      <w:sz w:val="16"/>
      <w:szCs w:val="16"/>
    </w:rPr>
  </w:style>
  <w:style w:type="character" w:customStyle="1" w:styleId="tiny1">
    <w:name w:val="tiny1"/>
    <w:basedOn w:val="DefaultParagraphFont"/>
    <w:rsid w:val="00915698"/>
    <w:rPr>
      <w:rFonts w:ascii="Arial" w:hAnsi="Arial" w:cs="Arial" w:hint="default"/>
      <w:sz w:val="10"/>
      <w:szCs w:val="10"/>
    </w:rPr>
  </w:style>
  <w:style w:type="paragraph" w:styleId="z-BottomofForm">
    <w:name w:val="HTML Bottom of Form"/>
    <w:basedOn w:val="Normal"/>
    <w:next w:val="Normal"/>
    <w:link w:val="z-BottomofFormChar"/>
    <w:hidden/>
    <w:uiPriority w:val="99"/>
    <w:semiHidden/>
    <w:unhideWhenUsed/>
    <w:rsid w:val="0091569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15698"/>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915698"/>
    <w:rPr>
      <w:rFonts w:ascii="Tahoma" w:hAnsi="Tahoma" w:cs="Tahoma"/>
      <w:sz w:val="16"/>
      <w:szCs w:val="16"/>
    </w:rPr>
  </w:style>
  <w:style w:type="character" w:customStyle="1" w:styleId="BalloonTextChar">
    <w:name w:val="Balloon Text Char"/>
    <w:basedOn w:val="DefaultParagraphFont"/>
    <w:link w:val="BalloonText"/>
    <w:uiPriority w:val="99"/>
    <w:semiHidden/>
    <w:rsid w:val="009156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353592">
      <w:bodyDiv w:val="1"/>
      <w:marLeft w:val="0"/>
      <w:marRight w:val="0"/>
      <w:marTop w:val="0"/>
      <w:marBottom w:val="0"/>
      <w:divBdr>
        <w:top w:val="none" w:sz="0" w:space="0" w:color="auto"/>
        <w:left w:val="none" w:sz="0" w:space="0" w:color="auto"/>
        <w:bottom w:val="none" w:sz="0" w:space="0" w:color="auto"/>
        <w:right w:val="none" w:sz="0" w:space="0" w:color="auto"/>
      </w:divBdr>
    </w:div>
    <w:div w:id="403259763">
      <w:bodyDiv w:val="1"/>
      <w:marLeft w:val="0"/>
      <w:marRight w:val="0"/>
      <w:marTop w:val="0"/>
      <w:marBottom w:val="0"/>
      <w:divBdr>
        <w:top w:val="none" w:sz="0" w:space="0" w:color="auto"/>
        <w:left w:val="none" w:sz="0" w:space="0" w:color="auto"/>
        <w:bottom w:val="none" w:sz="0" w:space="0" w:color="auto"/>
        <w:right w:val="none" w:sz="0" w:space="0" w:color="auto"/>
      </w:divBdr>
      <w:divsChild>
        <w:div w:id="1736007620">
          <w:marLeft w:val="0"/>
          <w:marRight w:val="0"/>
          <w:marTop w:val="0"/>
          <w:marBottom w:val="0"/>
          <w:divBdr>
            <w:top w:val="none" w:sz="0" w:space="0" w:color="auto"/>
            <w:left w:val="none" w:sz="0" w:space="0" w:color="auto"/>
            <w:bottom w:val="none" w:sz="0" w:space="0" w:color="auto"/>
            <w:right w:val="none" w:sz="0" w:space="0" w:color="auto"/>
          </w:divBdr>
          <w:divsChild>
            <w:div w:id="1656686502">
              <w:marLeft w:val="0"/>
              <w:marRight w:val="0"/>
              <w:marTop w:val="0"/>
              <w:marBottom w:val="0"/>
              <w:divBdr>
                <w:top w:val="none" w:sz="0" w:space="0" w:color="auto"/>
                <w:left w:val="none" w:sz="0" w:space="0" w:color="auto"/>
                <w:bottom w:val="none" w:sz="0" w:space="0" w:color="auto"/>
                <w:right w:val="none" w:sz="0" w:space="0" w:color="auto"/>
              </w:divBdr>
              <w:divsChild>
                <w:div w:id="1388576926">
                  <w:marLeft w:val="0"/>
                  <w:marRight w:val="0"/>
                  <w:marTop w:val="0"/>
                  <w:marBottom w:val="0"/>
                  <w:divBdr>
                    <w:top w:val="none" w:sz="0" w:space="0" w:color="auto"/>
                    <w:left w:val="none" w:sz="0" w:space="0" w:color="auto"/>
                    <w:bottom w:val="none" w:sz="0" w:space="0" w:color="auto"/>
                    <w:right w:val="none" w:sz="0" w:space="0" w:color="auto"/>
                  </w:divBdr>
                  <w:divsChild>
                    <w:div w:id="521824339">
                      <w:marLeft w:val="0"/>
                      <w:marRight w:val="0"/>
                      <w:marTop w:val="0"/>
                      <w:marBottom w:val="0"/>
                      <w:divBdr>
                        <w:top w:val="none" w:sz="0" w:space="0" w:color="auto"/>
                        <w:left w:val="none" w:sz="0" w:space="0" w:color="auto"/>
                        <w:bottom w:val="none" w:sz="0" w:space="0" w:color="auto"/>
                        <w:right w:val="none" w:sz="0" w:space="0" w:color="auto"/>
                      </w:divBdr>
                      <w:divsChild>
                        <w:div w:id="2011905683">
                          <w:marLeft w:val="0"/>
                          <w:marRight w:val="0"/>
                          <w:marTop w:val="0"/>
                          <w:marBottom w:val="0"/>
                          <w:divBdr>
                            <w:top w:val="none" w:sz="0" w:space="0" w:color="auto"/>
                            <w:left w:val="none" w:sz="0" w:space="0" w:color="auto"/>
                            <w:bottom w:val="none" w:sz="0" w:space="0" w:color="auto"/>
                            <w:right w:val="none" w:sz="0" w:space="0" w:color="auto"/>
                          </w:divBdr>
                          <w:divsChild>
                            <w:div w:id="2113544811">
                              <w:marLeft w:val="0"/>
                              <w:marRight w:val="0"/>
                              <w:marTop w:val="0"/>
                              <w:marBottom w:val="0"/>
                              <w:divBdr>
                                <w:top w:val="none" w:sz="0" w:space="0" w:color="auto"/>
                                <w:left w:val="none" w:sz="0" w:space="0" w:color="auto"/>
                                <w:bottom w:val="none" w:sz="0" w:space="0" w:color="auto"/>
                                <w:right w:val="none" w:sz="0" w:space="0" w:color="auto"/>
                              </w:divBdr>
                              <w:divsChild>
                                <w:div w:id="971446960">
                                  <w:marLeft w:val="0"/>
                                  <w:marRight w:val="0"/>
                                  <w:marTop w:val="0"/>
                                  <w:marBottom w:val="0"/>
                                  <w:divBdr>
                                    <w:top w:val="none" w:sz="0" w:space="0" w:color="auto"/>
                                    <w:left w:val="none" w:sz="0" w:space="0" w:color="auto"/>
                                    <w:bottom w:val="none" w:sz="0" w:space="0" w:color="auto"/>
                                    <w:right w:val="none" w:sz="0" w:space="0" w:color="auto"/>
                                  </w:divBdr>
                                </w:div>
                                <w:div w:id="1818643953">
                                  <w:marLeft w:val="0"/>
                                  <w:marRight w:val="0"/>
                                  <w:marTop w:val="0"/>
                                  <w:marBottom w:val="0"/>
                                  <w:divBdr>
                                    <w:top w:val="none" w:sz="0" w:space="0" w:color="auto"/>
                                    <w:left w:val="none" w:sz="0" w:space="0" w:color="auto"/>
                                    <w:bottom w:val="none" w:sz="0" w:space="0" w:color="auto"/>
                                    <w:right w:val="none" w:sz="0" w:space="0" w:color="auto"/>
                                  </w:divBdr>
                                </w:div>
                                <w:div w:id="1186677282">
                                  <w:marLeft w:val="0"/>
                                  <w:marRight w:val="0"/>
                                  <w:marTop w:val="0"/>
                                  <w:marBottom w:val="0"/>
                                  <w:divBdr>
                                    <w:top w:val="none" w:sz="0" w:space="0" w:color="auto"/>
                                    <w:left w:val="none" w:sz="0" w:space="0" w:color="auto"/>
                                    <w:bottom w:val="none" w:sz="0" w:space="0" w:color="auto"/>
                                    <w:right w:val="none" w:sz="0" w:space="0" w:color="auto"/>
                                  </w:divBdr>
                                </w:div>
                                <w:div w:id="1021013190">
                                  <w:marLeft w:val="0"/>
                                  <w:marRight w:val="0"/>
                                  <w:marTop w:val="0"/>
                                  <w:marBottom w:val="0"/>
                                  <w:divBdr>
                                    <w:top w:val="none" w:sz="0" w:space="0" w:color="auto"/>
                                    <w:left w:val="none" w:sz="0" w:space="0" w:color="auto"/>
                                    <w:bottom w:val="none" w:sz="0" w:space="0" w:color="auto"/>
                                    <w:right w:val="none" w:sz="0" w:space="0" w:color="auto"/>
                                  </w:divBdr>
                                </w:div>
                                <w:div w:id="361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034124">
      <w:bodyDiv w:val="1"/>
      <w:marLeft w:val="0"/>
      <w:marRight w:val="0"/>
      <w:marTop w:val="0"/>
      <w:marBottom w:val="0"/>
      <w:divBdr>
        <w:top w:val="none" w:sz="0" w:space="0" w:color="auto"/>
        <w:left w:val="none" w:sz="0" w:space="0" w:color="auto"/>
        <w:bottom w:val="none" w:sz="0" w:space="0" w:color="auto"/>
        <w:right w:val="none" w:sz="0" w:space="0" w:color="auto"/>
      </w:divBdr>
    </w:div>
    <w:div w:id="561216315">
      <w:bodyDiv w:val="1"/>
      <w:marLeft w:val="0"/>
      <w:marRight w:val="0"/>
      <w:marTop w:val="0"/>
      <w:marBottom w:val="0"/>
      <w:divBdr>
        <w:top w:val="none" w:sz="0" w:space="0" w:color="auto"/>
        <w:left w:val="none" w:sz="0" w:space="0" w:color="auto"/>
        <w:bottom w:val="none" w:sz="0" w:space="0" w:color="auto"/>
        <w:right w:val="none" w:sz="0" w:space="0" w:color="auto"/>
      </w:divBdr>
      <w:divsChild>
        <w:div w:id="761604223">
          <w:marLeft w:val="75"/>
          <w:marRight w:val="75"/>
          <w:marTop w:val="75"/>
          <w:marBottom w:val="75"/>
          <w:divBdr>
            <w:top w:val="none" w:sz="0" w:space="0" w:color="auto"/>
            <w:left w:val="none" w:sz="0" w:space="0" w:color="auto"/>
            <w:bottom w:val="none" w:sz="0" w:space="0" w:color="auto"/>
            <w:right w:val="none" w:sz="0" w:space="0" w:color="auto"/>
          </w:divBdr>
        </w:div>
      </w:divsChild>
    </w:div>
    <w:div w:id="647512821">
      <w:bodyDiv w:val="1"/>
      <w:marLeft w:val="0"/>
      <w:marRight w:val="0"/>
      <w:marTop w:val="0"/>
      <w:marBottom w:val="0"/>
      <w:divBdr>
        <w:top w:val="none" w:sz="0" w:space="0" w:color="auto"/>
        <w:left w:val="none" w:sz="0" w:space="0" w:color="auto"/>
        <w:bottom w:val="none" w:sz="0" w:space="0" w:color="auto"/>
        <w:right w:val="none" w:sz="0" w:space="0" w:color="auto"/>
      </w:divBdr>
    </w:div>
    <w:div w:id="751467578">
      <w:bodyDiv w:val="1"/>
      <w:marLeft w:val="0"/>
      <w:marRight w:val="0"/>
      <w:marTop w:val="0"/>
      <w:marBottom w:val="0"/>
      <w:divBdr>
        <w:top w:val="none" w:sz="0" w:space="0" w:color="auto"/>
        <w:left w:val="none" w:sz="0" w:space="0" w:color="auto"/>
        <w:bottom w:val="none" w:sz="0" w:space="0" w:color="auto"/>
        <w:right w:val="none" w:sz="0" w:space="0" w:color="auto"/>
      </w:divBdr>
    </w:div>
    <w:div w:id="844444112">
      <w:bodyDiv w:val="1"/>
      <w:marLeft w:val="0"/>
      <w:marRight w:val="0"/>
      <w:marTop w:val="0"/>
      <w:marBottom w:val="0"/>
      <w:divBdr>
        <w:top w:val="none" w:sz="0" w:space="0" w:color="auto"/>
        <w:left w:val="none" w:sz="0" w:space="0" w:color="auto"/>
        <w:bottom w:val="none" w:sz="0" w:space="0" w:color="auto"/>
        <w:right w:val="none" w:sz="0" w:space="0" w:color="auto"/>
      </w:divBdr>
    </w:div>
    <w:div w:id="885600364">
      <w:bodyDiv w:val="1"/>
      <w:marLeft w:val="0"/>
      <w:marRight w:val="0"/>
      <w:marTop w:val="0"/>
      <w:marBottom w:val="0"/>
      <w:divBdr>
        <w:top w:val="none" w:sz="0" w:space="0" w:color="auto"/>
        <w:left w:val="none" w:sz="0" w:space="0" w:color="auto"/>
        <w:bottom w:val="none" w:sz="0" w:space="0" w:color="auto"/>
        <w:right w:val="none" w:sz="0" w:space="0" w:color="auto"/>
      </w:divBdr>
    </w:div>
    <w:div w:id="908921433">
      <w:bodyDiv w:val="1"/>
      <w:marLeft w:val="0"/>
      <w:marRight w:val="0"/>
      <w:marTop w:val="0"/>
      <w:marBottom w:val="0"/>
      <w:divBdr>
        <w:top w:val="none" w:sz="0" w:space="0" w:color="auto"/>
        <w:left w:val="none" w:sz="0" w:space="0" w:color="auto"/>
        <w:bottom w:val="none" w:sz="0" w:space="0" w:color="auto"/>
        <w:right w:val="none" w:sz="0" w:space="0" w:color="auto"/>
      </w:divBdr>
    </w:div>
    <w:div w:id="1041393975">
      <w:bodyDiv w:val="1"/>
      <w:marLeft w:val="0"/>
      <w:marRight w:val="0"/>
      <w:marTop w:val="0"/>
      <w:marBottom w:val="0"/>
      <w:divBdr>
        <w:top w:val="none" w:sz="0" w:space="0" w:color="auto"/>
        <w:left w:val="none" w:sz="0" w:space="0" w:color="auto"/>
        <w:bottom w:val="none" w:sz="0" w:space="0" w:color="auto"/>
        <w:right w:val="none" w:sz="0" w:space="0" w:color="auto"/>
      </w:divBdr>
    </w:div>
    <w:div w:id="1262571908">
      <w:bodyDiv w:val="1"/>
      <w:marLeft w:val="0"/>
      <w:marRight w:val="0"/>
      <w:marTop w:val="0"/>
      <w:marBottom w:val="0"/>
      <w:divBdr>
        <w:top w:val="none" w:sz="0" w:space="0" w:color="auto"/>
        <w:left w:val="none" w:sz="0" w:space="0" w:color="auto"/>
        <w:bottom w:val="none" w:sz="0" w:space="0" w:color="auto"/>
        <w:right w:val="none" w:sz="0" w:space="0" w:color="auto"/>
      </w:divBdr>
    </w:div>
    <w:div w:id="1289704390">
      <w:bodyDiv w:val="1"/>
      <w:marLeft w:val="0"/>
      <w:marRight w:val="0"/>
      <w:marTop w:val="0"/>
      <w:marBottom w:val="0"/>
      <w:divBdr>
        <w:top w:val="none" w:sz="0" w:space="0" w:color="auto"/>
        <w:left w:val="none" w:sz="0" w:space="0" w:color="auto"/>
        <w:bottom w:val="none" w:sz="0" w:space="0" w:color="auto"/>
        <w:right w:val="none" w:sz="0" w:space="0" w:color="auto"/>
      </w:divBdr>
    </w:div>
    <w:div w:id="1320496251">
      <w:bodyDiv w:val="1"/>
      <w:marLeft w:val="0"/>
      <w:marRight w:val="0"/>
      <w:marTop w:val="0"/>
      <w:marBottom w:val="0"/>
      <w:divBdr>
        <w:top w:val="none" w:sz="0" w:space="0" w:color="auto"/>
        <w:left w:val="none" w:sz="0" w:space="0" w:color="auto"/>
        <w:bottom w:val="none" w:sz="0" w:space="0" w:color="auto"/>
        <w:right w:val="none" w:sz="0" w:space="0" w:color="auto"/>
      </w:divBdr>
    </w:div>
    <w:div w:id="1531796024">
      <w:bodyDiv w:val="1"/>
      <w:marLeft w:val="0"/>
      <w:marRight w:val="0"/>
      <w:marTop w:val="0"/>
      <w:marBottom w:val="0"/>
      <w:divBdr>
        <w:top w:val="none" w:sz="0" w:space="0" w:color="auto"/>
        <w:left w:val="none" w:sz="0" w:space="0" w:color="auto"/>
        <w:bottom w:val="none" w:sz="0" w:space="0" w:color="auto"/>
        <w:right w:val="none" w:sz="0" w:space="0" w:color="auto"/>
      </w:divBdr>
    </w:div>
    <w:div w:id="1747264183">
      <w:bodyDiv w:val="1"/>
      <w:marLeft w:val="0"/>
      <w:marRight w:val="0"/>
      <w:marTop w:val="0"/>
      <w:marBottom w:val="0"/>
      <w:divBdr>
        <w:top w:val="none" w:sz="0" w:space="0" w:color="auto"/>
        <w:left w:val="none" w:sz="0" w:space="0" w:color="auto"/>
        <w:bottom w:val="none" w:sz="0" w:space="0" w:color="auto"/>
        <w:right w:val="none" w:sz="0" w:space="0" w:color="auto"/>
      </w:divBdr>
    </w:div>
    <w:div w:id="1824853066">
      <w:bodyDiv w:val="1"/>
      <w:marLeft w:val="0"/>
      <w:marRight w:val="0"/>
      <w:marTop w:val="0"/>
      <w:marBottom w:val="0"/>
      <w:divBdr>
        <w:top w:val="none" w:sz="0" w:space="0" w:color="auto"/>
        <w:left w:val="none" w:sz="0" w:space="0" w:color="auto"/>
        <w:bottom w:val="none" w:sz="0" w:space="0" w:color="auto"/>
        <w:right w:val="none" w:sz="0" w:space="0" w:color="auto"/>
      </w:divBdr>
    </w:div>
    <w:div w:id="1835563565">
      <w:bodyDiv w:val="1"/>
      <w:marLeft w:val="0"/>
      <w:marRight w:val="0"/>
      <w:marTop w:val="0"/>
      <w:marBottom w:val="0"/>
      <w:divBdr>
        <w:top w:val="none" w:sz="0" w:space="0" w:color="auto"/>
        <w:left w:val="none" w:sz="0" w:space="0" w:color="auto"/>
        <w:bottom w:val="none" w:sz="0" w:space="0" w:color="auto"/>
        <w:right w:val="none" w:sz="0" w:space="0" w:color="auto"/>
      </w:divBdr>
    </w:div>
    <w:div w:id="1868445622">
      <w:bodyDiv w:val="1"/>
      <w:marLeft w:val="0"/>
      <w:marRight w:val="0"/>
      <w:marTop w:val="0"/>
      <w:marBottom w:val="0"/>
      <w:divBdr>
        <w:top w:val="none" w:sz="0" w:space="0" w:color="auto"/>
        <w:left w:val="none" w:sz="0" w:space="0" w:color="auto"/>
        <w:bottom w:val="none" w:sz="0" w:space="0" w:color="auto"/>
        <w:right w:val="none" w:sz="0" w:space="0" w:color="auto"/>
      </w:divBdr>
    </w:div>
    <w:div w:id="1934587838">
      <w:bodyDiv w:val="1"/>
      <w:marLeft w:val="0"/>
      <w:marRight w:val="0"/>
      <w:marTop w:val="0"/>
      <w:marBottom w:val="0"/>
      <w:divBdr>
        <w:top w:val="none" w:sz="0" w:space="0" w:color="auto"/>
        <w:left w:val="none" w:sz="0" w:space="0" w:color="auto"/>
        <w:bottom w:val="none" w:sz="0" w:space="0" w:color="auto"/>
        <w:right w:val="none" w:sz="0" w:space="0" w:color="auto"/>
      </w:divBdr>
    </w:div>
    <w:div w:id="212141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senate.gov/Session/Bill/2014/0154" TargetMode="External"/><Relationship Id="rId13" Type="http://schemas.openxmlformats.org/officeDocument/2006/relationships/hyperlink" Target="http://www.flsenate.gov/Session/Bill/2014/0357" TargetMode="External"/><Relationship Id="rId18" Type="http://schemas.openxmlformats.org/officeDocument/2006/relationships/hyperlink" Target="http://www.flsenate.gov/Session/Bill/2014/0460" TargetMode="External"/><Relationship Id="rId3" Type="http://schemas.openxmlformats.org/officeDocument/2006/relationships/settings" Target="settings.xml"/><Relationship Id="rId21" Type="http://schemas.openxmlformats.org/officeDocument/2006/relationships/hyperlink" Target="http://www.flsenate.gov/Session/Bill/2014/0612" TargetMode="External"/><Relationship Id="rId7" Type="http://schemas.openxmlformats.org/officeDocument/2006/relationships/hyperlink" Target="http://www.flsenate.gov/Session/Bill/2014/0147" TargetMode="External"/><Relationship Id="rId12" Type="http://schemas.openxmlformats.org/officeDocument/2006/relationships/hyperlink" Target="http://www.flsenate.gov/Session/Bill/2014/0288" TargetMode="External"/><Relationship Id="rId17" Type="http://schemas.openxmlformats.org/officeDocument/2006/relationships/hyperlink" Target="http://www.flsenate.gov/Session/Bill/2014/044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flsenate.gov/Session/Bill/2014/0429" TargetMode="External"/><Relationship Id="rId20" Type="http://schemas.openxmlformats.org/officeDocument/2006/relationships/hyperlink" Target="http://www.flsenate.gov/Session/Bill/2014/059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lsenate.gov/Session/Bill/2014/0272"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flsenate.gov/Session/Bill/2014/0416" TargetMode="External"/><Relationship Id="rId23" Type="http://schemas.openxmlformats.org/officeDocument/2006/relationships/footer" Target="footer2.xml"/><Relationship Id="rId10" Type="http://schemas.openxmlformats.org/officeDocument/2006/relationships/hyperlink" Target="http://www.flsenate.gov/Session/Bill/2014/0213" TargetMode="External"/><Relationship Id="rId19" Type="http://schemas.openxmlformats.org/officeDocument/2006/relationships/hyperlink" Target="http://www.flsenate.gov/Session/Bill/2014/0541" TargetMode="External"/><Relationship Id="rId4" Type="http://schemas.openxmlformats.org/officeDocument/2006/relationships/webSettings" Target="webSettings.xml"/><Relationship Id="rId9" Type="http://schemas.openxmlformats.org/officeDocument/2006/relationships/hyperlink" Target="http://www.flsenate.gov/Session/Bill/2014/0155" TargetMode="External"/><Relationship Id="rId14" Type="http://schemas.openxmlformats.org/officeDocument/2006/relationships/hyperlink" Target="http://www.flsenate.gov/Session/Bill/2014/0359"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2405</Words>
  <Characters>13710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16083</CharactersWithSpaces>
  <SharedDoc>false</SharedDoc>
  <HyperlinkBase>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2013-12-09T14:05:00Z</cp:lastPrinted>
  <dcterms:created xsi:type="dcterms:W3CDTF">2014-01-12T16:05:00Z</dcterms:created>
  <dcterms:modified xsi:type="dcterms:W3CDTF">2014-01-13T13:52:00Z</dcterms:modified>
  <cp:category> </cp:category>
  <cp:contentStatus>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#26801277_v1</vt:lpwstr>
  </property>
</Properties>
</file>